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《三亚市城市竖向规划（2025-2035年）》及《三亚市建设工程渣土管理办法》</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STZX-CG-2024-017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三亚市自然资源和规划局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四通工程咨询（海南）有限公司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三亚市自然资源和规划局</w:t>
      </w:r>
      <w:r>
        <w:rPr>
          <w:rFonts w:ascii="仿宋_GB2312" w:hAnsi="仿宋_GB2312" w:cs="仿宋_GB2312" w:eastAsia="仿宋_GB2312"/>
        </w:rPr>
        <w:t xml:space="preserve"> 的委托， </w:t>
      </w:r>
      <w:r>
        <w:rPr>
          <w:rFonts w:ascii="仿宋_GB2312" w:hAnsi="仿宋_GB2312" w:cs="仿宋_GB2312" w:eastAsia="仿宋_GB2312"/>
        </w:rPr>
        <w:t>四通工程咨询（海南）有限公司</w:t>
      </w:r>
      <w:r>
        <w:rPr>
          <w:rFonts w:ascii="仿宋_GB2312" w:hAnsi="仿宋_GB2312" w:cs="仿宋_GB2312" w:eastAsia="仿宋_GB2312"/>
        </w:rPr>
        <w:t xml:space="preserve"> 对 </w:t>
      </w:r>
      <w:r>
        <w:rPr>
          <w:rFonts w:ascii="仿宋_GB2312" w:hAnsi="仿宋_GB2312" w:cs="仿宋_GB2312" w:eastAsia="仿宋_GB2312"/>
        </w:rPr>
        <w:t>《三亚市城市竖向规划（2025-2035年）》及《三亚市建设工程渣土管理办法》</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STZX-CG-2024-017</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《三亚市城市竖向规划（2025-2035年）》及《三亚市建设工程渣土管理办法》</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2,350,000.00元</w:t>
      </w:r>
      <w:r>
        <w:rPr>
          <w:rFonts w:ascii="仿宋_GB2312" w:hAnsi="仿宋_GB2312" w:cs="仿宋_GB2312" w:eastAsia="仿宋_GB2312"/>
        </w:rPr>
        <w:t>贰佰叁拾伍万元整</w:t>
      </w:r>
    </w:p>
    <w:p>
      <w:pPr>
        <w:pStyle w:val="null3"/>
        <w:ind w:firstLine="480"/>
        <w:jc w:val="left"/>
      </w:pPr>
      <w:r>
        <w:rPr>
          <w:rFonts w:ascii="仿宋_GB2312" w:hAnsi="仿宋_GB2312" w:cs="仿宋_GB2312" w:eastAsia="仿宋_GB2312"/>
        </w:rPr>
        <w:t xml:space="preserve">5.最高限价（如有）： </w:t>
      </w:r>
      <w:r>
        <w:rPr>
          <w:rFonts w:ascii="仿宋_GB2312" w:hAnsi="仿宋_GB2312" w:cs="仿宋_GB2312" w:eastAsia="仿宋_GB2312"/>
        </w:rPr>
        <w:t>2,350,000.00元</w:t>
      </w:r>
    </w:p>
    <w:p>
      <w:pPr>
        <w:pStyle w:val="null3"/>
        <w:ind w:firstLine="480"/>
        <w:jc w:val="left"/>
      </w:pPr>
      <w:r>
        <w:rPr>
          <w:rFonts w:ascii="仿宋_GB2312" w:hAnsi="仿宋_GB2312" w:cs="仿宋_GB2312" w:eastAsia="仿宋_GB2312"/>
        </w:rPr>
        <w:t>6.采购需求：详见“第三章 采购需求 ”</w:t>
      </w:r>
    </w:p>
    <w:p>
      <w:pPr>
        <w:pStyle w:val="null3"/>
        <w:ind w:firstLine="480"/>
        <w:jc w:val="left"/>
      </w:pPr>
      <w:r>
        <w:rPr>
          <w:rFonts w:ascii="仿宋_GB2312" w:hAnsi="仿宋_GB2312" w:cs="仿宋_GB2312" w:eastAsia="仿宋_GB2312"/>
        </w:rPr>
        <w:t>7.合同履行期限：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合同签订之日起180日历天内完成（不包括评审、汇报和评审纪要等的等待时间）。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1、资质：供应商须具有行政主管部门核发的城乡规划编制乙级（含)或以上资质证书，如资质证书超出有效期，应提供相关部门的延期说明</w:t>
      </w:r>
    </w:p>
    <w:p>
      <w:pPr>
        <w:pStyle w:val="null3"/>
        <w:jc w:val="left"/>
      </w:pPr>
      <w:r>
        <w:rPr>
          <w:rFonts w:ascii="仿宋_GB2312" w:hAnsi="仿宋_GB2312" w:cs="仿宋_GB2312" w:eastAsia="仿宋_GB2312"/>
        </w:rPr>
        <w:t>2、单位负责人为同一人或者存在直接控股、管理关系的不同供应商，不得参加同一合同项下的政府采购活动，为采购项目提供整体设计、规范编制或者项目管理、监理、检测等服务的供应商，不得再参加该项目的采购活动：提供声明函加盖公章</w:t>
      </w:r>
    </w:p>
    <w:p>
      <w:pPr>
        <w:pStyle w:val="null3"/>
        <w:jc w:val="left"/>
      </w:pPr>
      <w:r>
        <w:rPr>
          <w:rFonts w:ascii="仿宋_GB2312" w:hAnsi="仿宋_GB2312" w:cs="仿宋_GB2312" w:eastAsia="仿宋_GB2312"/>
        </w:rPr>
        <w:t>3、《政府采购供应商信用承诺书》：提供《政府采购供应商信用承诺书》</w:t>
      </w:r>
    </w:p>
    <w:p>
      <w:pPr>
        <w:pStyle w:val="null3"/>
        <w:jc w:val="left"/>
      </w:pPr>
      <w:r>
        <w:rPr>
          <w:rFonts w:ascii="仿宋_GB2312" w:hAnsi="仿宋_GB2312" w:cs="仿宋_GB2312" w:eastAsia="仿宋_GB2312"/>
        </w:rPr>
        <w:t>4、供应商参加政府采购活动前三年内（成立不足三年的，从成立之日起计算），在经营活动中无环保类行政处罚记录：提供声明函加盖公章</w:t>
      </w:r>
    </w:p>
    <w:p>
      <w:pPr>
        <w:pStyle w:val="null3"/>
        <w:jc w:val="left"/>
      </w:pPr>
      <w:r>
        <w:rPr>
          <w:rFonts w:ascii="仿宋_GB2312" w:hAnsi="仿宋_GB2312" w:cs="仿宋_GB2312" w:eastAsia="仿宋_GB2312"/>
        </w:rPr>
        <w:t>5、供应商在“中国执行信息公开网”(http://zxgk.court.gov.cn/shixin/）没有被列入失信被执行人，“信用中国”网站（www.creditchina.gov.cn）没有被列入重大税收违法失信主体、政府采购严重违法失信名单和“中国政府采购网”（www.ccgp.gov.cn）没有被列入政府采购严重违法失信行为信息记录名单：提供信用承诺书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三亚市自然资源和规划局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三亚市河东路182号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李雪芳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0898-88253539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四通工程咨询（海南）有限公司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海南省三亚市吉阳区吉阳和兴家园E3 栋808房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张李红</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19389911008</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采购包1：2,350,000.00元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自响应文件开启之日起90日历天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费用参考《国家发展改革委关于进一步放开建设项目专业服务价格的通知》（发改价格〔2015〕299号）及参照《海南省物价局关于降低部分招标代理服务收费标准的通知》琼价费管【2011】534号文收取。代理费为：￥21930.00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1.各供应商的相关证明材料必须在响应文件内提供加盖公章扫描件； 2.磋商响应文件中所附的有关证明、证书、证件等材料均为真实有效的，采购人在开标结束后有权对投标提交的证明、证书、证件等原件材料进行核实。经核实若虚假材料的，若为成交供应商的还将取消其成交资格，若已签订合同则取消合同并同时上报建设行政主管部门进行处罚。 3.最高限价为：《三亚市城市竖向规划（2025-2035年）》及《三亚市建设工程渣土管理办法》的最高限价为：2350000.00元。报价最高不允许超出此最高限价否则按废标处理，所有报价保留两位小数。 4. 参加政府采购活动的中 小企业提供《中小企业声明函》原件，未提供的，视为放弃享受小微企业价格扣除优惠政策。 5.参加政府采购活动的监狱企业提供监狱企业证明文件，未提供的，视为放弃享受小微企业价格扣除优惠政策。 参加政府采购活动的残疾人福利性单位应当提供《残疾人福利性单位声明函》原件，未提供的，视为放弃享受小微企业价格扣除优惠政策。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联系人：李雪芳</w:t>
      </w:r>
    </w:p>
    <w:p>
      <w:pPr>
        <w:pStyle w:val="null3"/>
        <w:jc w:val="left"/>
      </w:pPr>
      <w:r>
        <w:rPr>
          <w:rFonts w:ascii="仿宋_GB2312" w:hAnsi="仿宋_GB2312" w:cs="仿宋_GB2312" w:eastAsia="仿宋_GB2312"/>
        </w:rPr>
        <w:t>联系电话：0898-88253539</w:t>
      </w:r>
    </w:p>
    <w:p>
      <w:pPr>
        <w:pStyle w:val="null3"/>
        <w:jc w:val="left"/>
      </w:pPr>
      <w:r>
        <w:rPr>
          <w:rFonts w:ascii="仿宋_GB2312" w:hAnsi="仿宋_GB2312" w:cs="仿宋_GB2312" w:eastAsia="仿宋_GB2312"/>
        </w:rPr>
        <w:t>地址：三亚市吉阳区河东路182号</w:t>
      </w:r>
    </w:p>
    <w:p>
      <w:pPr>
        <w:pStyle w:val="null3"/>
        <w:jc w:val="left"/>
      </w:pPr>
      <w:r>
        <w:rPr>
          <w:rFonts w:ascii="仿宋_GB2312" w:hAnsi="仿宋_GB2312" w:cs="仿宋_GB2312" w:eastAsia="仿宋_GB2312"/>
        </w:rPr>
        <w:t>邮编：572099</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b/>
        </w:rPr>
        <w:t>项目背景</w:t>
      </w:r>
    </w:p>
    <w:p>
      <w:pPr>
        <w:pStyle w:val="null3"/>
        <w:ind w:firstLine="560"/>
        <w:jc w:val="both"/>
      </w:pPr>
      <w:r>
        <w:rPr>
          <w:rFonts w:ascii="仿宋_GB2312" w:hAnsi="仿宋_GB2312" w:cs="仿宋_GB2312" w:eastAsia="仿宋_GB2312"/>
          <w:sz w:val="28"/>
        </w:rPr>
        <w:t>为应对日益突出的建设工程渣土产消矛盾，实现源头减量，同时为提高城市韧性承载能力，拟开展《三亚市城市竖向规划（2025-2035年）》及《三亚市建设工程渣土管理办法》编制，建立和完善地面高程规划控制体系，为未来城市发展、基础设施建设以及各片区控规竖向编制提供有效支撑。</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2,350,000.00</w:t>
      </w:r>
    </w:p>
    <w:p>
      <w:pPr>
        <w:pStyle w:val="null3"/>
        <w:jc w:val="left"/>
      </w:pPr>
      <w:r>
        <w:rPr>
          <w:rFonts w:ascii="仿宋_GB2312" w:hAnsi="仿宋_GB2312" w:cs="仿宋_GB2312" w:eastAsia="仿宋_GB2312"/>
        </w:rPr>
        <w:t>采购包最高限价（元）: 2,350,000.00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C23080100-行业规划服务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2,350,000.00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C23080100-行业规划服务</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2,350,000.00</w:t>
            </w:r>
          </w:p>
        </w:tc>
        <w:tc>
          <w:tcPr>
            <w:tcW w:type="dxa" w:w="1384"/>
          </w:tcPr>
          <w:p>
            <w:pPr>
              <w:pStyle w:val="null3"/>
              <w:jc w:val="left"/>
            </w:pPr>
            <w:r>
              <w:rPr>
                <w:rFonts w:ascii="仿宋_GB2312" w:hAnsi="仿宋_GB2312" w:cs="仿宋_GB2312" w:eastAsia="仿宋_GB2312"/>
              </w:rPr>
              <w:t>总价</w:t>
            </w:r>
          </w:p>
        </w:tc>
        <w:tc>
          <w:tcPr>
            <w:tcW w:type="dxa" w:w="1038"/>
          </w:tcP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标的名称：C23080100-行业规划服务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一）服务</w:t>
            </w:r>
            <w:r>
              <w:rPr>
                <w:rFonts w:ascii="仿宋_GB2312" w:hAnsi="仿宋_GB2312" w:cs="仿宋_GB2312" w:eastAsia="仿宋_GB2312"/>
                <w:sz w:val="28"/>
              </w:rPr>
              <w:t>范围</w:t>
            </w:r>
          </w:p>
          <w:p>
            <w:pPr>
              <w:pStyle w:val="null3"/>
              <w:ind w:firstLine="560"/>
              <w:jc w:val="both"/>
            </w:pPr>
            <w:r>
              <w:rPr>
                <w:rFonts w:ascii="仿宋_GB2312" w:hAnsi="仿宋_GB2312" w:cs="仿宋_GB2312" w:eastAsia="仿宋_GB2312"/>
                <w:sz w:val="28"/>
              </w:rPr>
              <w:t>本次竖向规划工作范围为已批及在编控制性详细规划范围，面积约442平方公里。</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二</w:t>
            </w:r>
            <w:r>
              <w:rPr>
                <w:rFonts w:ascii="仿宋_GB2312" w:hAnsi="仿宋_GB2312" w:cs="仿宋_GB2312" w:eastAsia="仿宋_GB2312"/>
                <w:sz w:val="28"/>
              </w:rPr>
              <w:t>）服务内容</w:t>
            </w:r>
          </w:p>
          <w:p>
            <w:pPr>
              <w:pStyle w:val="null3"/>
              <w:ind w:firstLine="560"/>
              <w:jc w:val="both"/>
            </w:pPr>
            <w:r>
              <w:rPr>
                <w:rFonts w:ascii="仿宋_GB2312" w:hAnsi="仿宋_GB2312" w:cs="仿宋_GB2312" w:eastAsia="仿宋_GB2312"/>
                <w:sz w:val="28"/>
              </w:rPr>
              <w:t>从三亚市发展实际出发，对现行控规竖向方案进行技术评估，分析存在问题。充分与城市综合交通规划、防洪排涝规划、水系专项规划、地下空间规划等进行规划协同，系统提出竖向控制标准、竖向规划方案、土方调配方案，制定建设工程渣土管理办法，主要内容如下：</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《三亚市城市竖向规划（2025-2035年）》</w:t>
            </w:r>
          </w:p>
          <w:p>
            <w:pPr>
              <w:pStyle w:val="null3"/>
              <w:ind w:firstLine="560"/>
              <w:jc w:val="both"/>
            </w:pPr>
            <w:r>
              <w:rPr>
                <w:rFonts w:ascii="仿宋_GB2312" w:hAnsi="仿宋_GB2312" w:cs="仿宋_GB2312" w:eastAsia="仿宋_GB2312"/>
                <w:sz w:val="28"/>
              </w:rPr>
              <w:t>（1）现状分析</w:t>
            </w:r>
          </w:p>
          <w:p>
            <w:pPr>
              <w:pStyle w:val="null3"/>
              <w:ind w:firstLine="560"/>
              <w:jc w:val="both"/>
            </w:pPr>
            <w:r>
              <w:rPr>
                <w:rFonts w:ascii="仿宋_GB2312" w:hAnsi="仿宋_GB2312" w:cs="仿宋_GB2312" w:eastAsia="仿宋_GB2312"/>
                <w:sz w:val="28"/>
              </w:rPr>
              <w:t>对现状分析要素主要包括:地形地理、气候降雨、河流水系、土地利用、现状建设情况、道路和轨道交通等内容。</w:t>
            </w:r>
          </w:p>
          <w:p>
            <w:pPr>
              <w:pStyle w:val="null3"/>
              <w:ind w:firstLine="560"/>
              <w:jc w:val="both"/>
            </w:pPr>
            <w:r>
              <w:rPr>
                <w:rFonts w:ascii="仿宋_GB2312" w:hAnsi="仿宋_GB2312" w:cs="仿宋_GB2312" w:eastAsia="仿宋_GB2312"/>
                <w:sz w:val="28"/>
              </w:rPr>
              <w:t>（2）现行控规竖向评估</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）对竖向主要控制要素现状情况进行分析。</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）整合现行控规覆盖区域地形及控规道路竖向，推导地块规划标高。</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）测算场平挖方量、填方量及地下空间开发量，综合分析评估现行控规竖向方案存在的问题。</w:t>
            </w:r>
          </w:p>
          <w:p>
            <w:pPr>
              <w:pStyle w:val="null3"/>
              <w:ind w:firstLine="560"/>
              <w:jc w:val="both"/>
            </w:pPr>
            <w:r>
              <w:rPr>
                <w:rFonts w:ascii="仿宋_GB2312" w:hAnsi="仿宋_GB2312" w:cs="仿宋_GB2312" w:eastAsia="仿宋_GB2312"/>
                <w:sz w:val="28"/>
              </w:rPr>
              <w:t>（3）竖向规划方案</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）与防洪防涝、综合交通、地下空间、海绵城市等相关规划协同。</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）根据现状道路、建筑等竖向标高及城市防洪排涝等因素，确定规划范围内道路规划竖向。</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）提出建设用地竖向控制规划原则，根据规划道路竖向、用地类型等确定建设用地的竖向标高。</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）综合测算规划范围内基础挖方量、基础填方量、地下空间开发等分项土方规模，对竖向方案调整优化前后土方规模进行评估。</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）合理确定土方平衡分区，优先保障分区内土方平衡，并提出片区间统筹协调解决方案。</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《三亚市建设工程渣土管理办法》</w:t>
            </w:r>
          </w:p>
          <w:p>
            <w:pPr>
              <w:pStyle w:val="null3"/>
              <w:ind w:firstLine="560"/>
              <w:jc w:val="both"/>
            </w:pPr>
            <w:r>
              <w:rPr>
                <w:rFonts w:ascii="仿宋_GB2312" w:hAnsi="仿宋_GB2312" w:cs="仿宋_GB2312" w:eastAsia="仿宋_GB2312"/>
                <w:sz w:val="28"/>
              </w:rPr>
              <w:t>（1）总则</w:t>
            </w:r>
          </w:p>
          <w:p>
            <w:pPr>
              <w:pStyle w:val="null3"/>
              <w:ind w:firstLine="560"/>
              <w:jc w:val="both"/>
            </w:pPr>
            <w:r>
              <w:rPr>
                <w:rFonts w:ascii="仿宋_GB2312" w:hAnsi="仿宋_GB2312" w:cs="仿宋_GB2312" w:eastAsia="仿宋_GB2312"/>
                <w:sz w:val="28"/>
              </w:rPr>
              <w:t>本办法适用范围、工程渣土定义、管理原则及相关职能部门职责分工。</w:t>
            </w:r>
          </w:p>
          <w:p>
            <w:pPr>
              <w:pStyle w:val="null3"/>
              <w:ind w:firstLine="560"/>
              <w:jc w:val="both"/>
            </w:pPr>
            <w:r>
              <w:rPr>
                <w:rFonts w:ascii="仿宋_GB2312" w:hAnsi="仿宋_GB2312" w:cs="仿宋_GB2312" w:eastAsia="仿宋_GB2312"/>
                <w:sz w:val="28"/>
              </w:rPr>
              <w:t>（2）工程渣土管理要求</w:t>
            </w:r>
          </w:p>
          <w:p>
            <w:pPr>
              <w:pStyle w:val="null3"/>
              <w:ind w:firstLine="560"/>
              <w:jc w:val="both"/>
            </w:pPr>
            <w:r>
              <w:rPr>
                <w:rFonts w:ascii="仿宋_GB2312" w:hAnsi="仿宋_GB2312" w:cs="仿宋_GB2312" w:eastAsia="仿宋_GB2312"/>
                <w:sz w:val="28"/>
              </w:rPr>
              <w:t>工程渣土排放核准申请及管理要求；工程渣土运输核准申请及管理要求；工程渣土场和工程渣土中转场选址、建设、封场及日常监管要求，工程渣土场设置及日常运营要求。</w:t>
            </w:r>
          </w:p>
          <w:p>
            <w:pPr>
              <w:pStyle w:val="null3"/>
              <w:ind w:firstLine="560"/>
              <w:jc w:val="both"/>
            </w:pPr>
            <w:r>
              <w:rPr>
                <w:rFonts w:ascii="仿宋_GB2312" w:hAnsi="仿宋_GB2312" w:cs="仿宋_GB2312" w:eastAsia="仿宋_GB2312"/>
                <w:sz w:val="28"/>
              </w:rPr>
              <w:t>（3）行政处罚及本办法解释部门、实施期限</w:t>
            </w:r>
          </w:p>
          <w:p>
            <w:pPr>
              <w:pStyle w:val="null3"/>
              <w:ind w:firstLine="560"/>
              <w:jc w:val="both"/>
            </w:pPr>
            <w:r>
              <w:rPr>
                <w:rFonts w:ascii="仿宋_GB2312" w:hAnsi="仿宋_GB2312" w:cs="仿宋_GB2312" w:eastAsia="仿宋_GB2312"/>
                <w:sz w:val="28"/>
              </w:rPr>
              <w:t>明确行政处罚依据、本办法解释部门及实施期限。</w:t>
            </w:r>
          </w:p>
          <w:p>
            <w:pPr>
              <w:pStyle w:val="null3"/>
              <w:ind w:firstLine="560"/>
              <w:jc w:val="both"/>
            </w:pPr>
            <w:r>
              <w:rPr>
                <w:rFonts w:ascii="仿宋_GB2312" w:hAnsi="仿宋_GB2312" w:cs="仿宋_GB2312" w:eastAsia="仿宋_GB2312"/>
                <w:sz w:val="28"/>
              </w:rPr>
              <w:t>（三）项目技术团队</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项目技术团队应当具备城乡规划、道路交通、给排水等相关专业职称技术人员。</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未经采购人同意不得更换相关技术团队人员。</w:t>
            </w:r>
          </w:p>
          <w:p>
            <w:pPr>
              <w:pStyle w:val="null3"/>
              <w:ind w:firstLine="560"/>
              <w:jc w:val="both"/>
            </w:pPr>
            <w:r>
              <w:rPr>
                <w:rFonts w:ascii="仿宋_GB2312" w:hAnsi="仿宋_GB2312" w:cs="仿宋_GB2312" w:eastAsia="仿宋_GB2312"/>
                <w:sz w:val="24"/>
              </w:rPr>
              <w:t>3.《三亚市建设工程渣土管理办法》编制人员要求：至少需具有1名法律专业人员。</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2"/>
              <w:jc w:val="both"/>
            </w:pPr>
            <w:r>
              <w:rPr>
                <w:rFonts w:ascii="仿宋_GB2312" w:hAnsi="仿宋_GB2312" w:cs="仿宋_GB2312" w:eastAsia="仿宋_GB2312"/>
                <w:sz w:val="28"/>
                <w:b/>
              </w:rPr>
              <w:t>一、服务地点及期限</w:t>
            </w:r>
          </w:p>
          <w:p>
            <w:pPr>
              <w:pStyle w:val="null3"/>
              <w:ind w:firstLine="560"/>
              <w:jc w:val="both"/>
            </w:pPr>
            <w:r>
              <w:rPr>
                <w:rFonts w:ascii="仿宋_GB2312" w:hAnsi="仿宋_GB2312" w:cs="仿宋_GB2312" w:eastAsia="仿宋_GB2312"/>
                <w:sz w:val="28"/>
              </w:rPr>
              <w:t>（一）服务地点：海南省三亚市</w:t>
            </w:r>
          </w:p>
          <w:p>
            <w:pPr>
              <w:pStyle w:val="null3"/>
              <w:ind w:firstLine="560"/>
              <w:jc w:val="both"/>
            </w:pPr>
            <w:r>
              <w:rPr>
                <w:rFonts w:ascii="仿宋_GB2312" w:hAnsi="仿宋_GB2312" w:cs="仿宋_GB2312" w:eastAsia="仿宋_GB2312"/>
                <w:sz w:val="28"/>
              </w:rPr>
              <w:t>（二）服务期限：合同签订之日起180日历天内完成（不包括评审、汇报和评审纪要等的等待时间）。</w:t>
            </w:r>
          </w:p>
          <w:p>
            <w:pPr>
              <w:pStyle w:val="null3"/>
              <w:ind w:firstLine="562"/>
              <w:jc w:val="both"/>
            </w:pPr>
            <w:r>
              <w:rPr>
                <w:rFonts w:ascii="仿宋_GB2312" w:hAnsi="仿宋_GB2312" w:cs="仿宋_GB2312" w:eastAsia="仿宋_GB2312"/>
                <w:sz w:val="28"/>
                <w:b/>
              </w:rPr>
              <w:t>二、项目质量、成果形式及付款方式等</w:t>
            </w:r>
          </w:p>
          <w:p>
            <w:pPr>
              <w:pStyle w:val="null3"/>
              <w:ind w:firstLine="560"/>
              <w:jc w:val="both"/>
            </w:pPr>
            <w:r>
              <w:rPr>
                <w:rFonts w:ascii="仿宋_GB2312" w:hAnsi="仿宋_GB2312" w:cs="仿宋_GB2312" w:eastAsia="仿宋_GB2312"/>
                <w:sz w:val="28"/>
              </w:rPr>
              <w:t>（一）项目质量</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《三亚市城市竖向规划（2025-2035年）》</w:t>
            </w:r>
          </w:p>
          <w:p>
            <w:pPr>
              <w:pStyle w:val="null3"/>
              <w:ind w:firstLine="560"/>
              <w:jc w:val="both"/>
            </w:pPr>
            <w:r>
              <w:rPr>
                <w:rFonts w:ascii="仿宋_GB2312" w:hAnsi="仿宋_GB2312" w:cs="仿宋_GB2312" w:eastAsia="仿宋_GB2312"/>
                <w:sz w:val="28"/>
              </w:rPr>
              <w:t>成果包括规划文本、说明书、图集。文本应当规范、准确、含义清晰。图纸内容应与文本一致。说明书、文本应准确、完整地阐述技术路线和规划方案。</w:t>
            </w:r>
          </w:p>
          <w:p>
            <w:pPr>
              <w:pStyle w:val="null3"/>
              <w:ind w:firstLine="560"/>
              <w:jc w:val="both"/>
            </w:pPr>
            <w:r>
              <w:rPr>
                <w:rFonts w:ascii="仿宋_GB2312" w:hAnsi="仿宋_GB2312" w:cs="仿宋_GB2312" w:eastAsia="仿宋_GB2312"/>
                <w:sz w:val="28"/>
              </w:rPr>
              <w:t>规划图集包括但不限于地形现状分析图、用地现状图、用地规划图、道路系统规划图、竖向分区规划图、道路竖向规划图、场地竖向规划图、土方调配规划图、分区竖向详细规划图（图纸数量依据分区数量确定）。</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《三亚市建设工程渣土管理办法》</w:t>
            </w:r>
          </w:p>
          <w:p>
            <w:pPr>
              <w:pStyle w:val="null3"/>
              <w:ind w:firstLine="560"/>
              <w:jc w:val="both"/>
            </w:pPr>
            <w:r>
              <w:rPr>
                <w:rFonts w:ascii="仿宋_GB2312" w:hAnsi="仿宋_GB2312" w:cs="仿宋_GB2312" w:eastAsia="仿宋_GB2312"/>
                <w:sz w:val="28"/>
              </w:rPr>
              <w:t>管理办法应根据《中华人民共和国固体废物污染环境防治法》《城市市容和环境卫生管理条例》《城市建筑垃圾管理规定》《海南省建筑垃圾管理规定》等有关规定，按照“属地管理、市域统筹、部门监管”原则，结合三亚市实际情况制定，系统构建“源头控制有力、运输监管严密、处置规范有序、执法查处严厉”的工程渣土全流程管理机制。</w:t>
            </w:r>
          </w:p>
          <w:p>
            <w:pPr>
              <w:pStyle w:val="null3"/>
              <w:ind w:firstLine="560"/>
              <w:jc w:val="both"/>
            </w:pPr>
            <w:r>
              <w:rPr>
                <w:rFonts w:ascii="仿宋_GB2312" w:hAnsi="仿宋_GB2312" w:cs="仿宋_GB2312" w:eastAsia="仿宋_GB2312"/>
                <w:sz w:val="28"/>
              </w:rPr>
              <w:t>（二）成果形式</w:t>
            </w:r>
          </w:p>
          <w:p>
            <w:pPr>
              <w:pStyle w:val="null3"/>
              <w:ind w:firstLine="560"/>
              <w:jc w:val="both"/>
            </w:pPr>
            <w:r>
              <w:rPr>
                <w:rFonts w:ascii="仿宋_GB2312" w:hAnsi="仿宋_GB2312" w:cs="仿宋_GB2312" w:eastAsia="仿宋_GB2312"/>
                <w:sz w:val="28"/>
              </w:rPr>
              <w:t>文本文件采用PDF或WORD或PPT格式文件，图形文件采用CAD或JPG或PDF格式文件，汇报演示文件采用PPT格式文件。提供规划编制纸质成果5套，相应电子文件1套。</w:t>
            </w:r>
          </w:p>
          <w:p>
            <w:pPr>
              <w:pStyle w:val="null3"/>
              <w:ind w:firstLine="560"/>
              <w:jc w:val="both"/>
            </w:pPr>
            <w:r>
              <w:rPr>
                <w:rFonts w:ascii="仿宋_GB2312" w:hAnsi="仿宋_GB2312" w:cs="仿宋_GB2312" w:eastAsia="仿宋_GB2312"/>
                <w:sz w:val="28"/>
              </w:rPr>
              <w:t>（三）付款方式</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合同签订生效后，支付项目费用的20%</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通过专家评审后，支付项目费用的50%</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通过市政府专题会议审议后，支付项目费用的30%；</w:t>
            </w:r>
          </w:p>
          <w:p>
            <w:pPr>
              <w:pStyle w:val="null3"/>
              <w:ind w:firstLine="560"/>
              <w:jc w:val="both"/>
            </w:pPr>
            <w:r>
              <w:rPr>
                <w:rFonts w:ascii="仿宋_GB2312" w:hAnsi="仿宋_GB2312" w:cs="仿宋_GB2312" w:eastAsia="仿宋_GB2312"/>
                <w:sz w:val="28"/>
              </w:rPr>
              <w:t>（四）验收方式</w:t>
            </w:r>
          </w:p>
          <w:p>
            <w:pPr>
              <w:pStyle w:val="null3"/>
              <w:ind w:firstLine="560"/>
              <w:jc w:val="both"/>
            </w:pPr>
            <w:r>
              <w:rPr>
                <w:rFonts w:ascii="仿宋_GB2312" w:hAnsi="仿宋_GB2312" w:cs="仿宋_GB2312" w:eastAsia="仿宋_GB2312"/>
                <w:sz w:val="28"/>
              </w:rPr>
              <w:t>乙方根据法律、法规和规范性文件、行业标准及合同约定提交成果至采购人签收且成果通过专家评审会议、市政府专题会议即视为验收通过。</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磋商保证金缴纳证明材料 其他材料 中小企业声明函 残疾人福利性单位声明函 商务应答表 法定代表人资格证明书或法定代表人授权委托书 监狱企业的证明文件 技术参数响应表</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w:t>
            </w:r>
          </w:p>
        </w:tc>
        <w:tc>
          <w:tcPr>
            <w:tcW w:type="dxa" w:w="3322"/>
          </w:tcPr>
          <w:p>
            <w:pPr>
              <w:pStyle w:val="null3"/>
              <w:jc w:val="left"/>
            </w:pPr>
            <w:r>
              <w:rPr>
                <w:rFonts w:ascii="仿宋_GB2312" w:hAnsi="仿宋_GB2312" w:cs="仿宋_GB2312" w:eastAsia="仿宋_GB2312"/>
              </w:rPr>
              <w:t>供应商须具有行政主管部门核发的城乡规划编制乙级（含)或以上资质证书，如资质证书超出有效期，应提供相关部门的延期说明</w:t>
            </w:r>
          </w:p>
        </w:tc>
        <w:tc>
          <w:tcPr>
            <w:tcW w:type="dxa" w:w="1661"/>
          </w:tcPr>
          <w:p>
            <w:pPr>
              <w:pStyle w:val="null3"/>
              <w:jc w:val="left"/>
            </w:pPr>
            <w:r>
              <w:rPr>
                <w:rFonts w:ascii="仿宋_GB2312" w:hAnsi="仿宋_GB2312" w:cs="仿宋_GB2312" w:eastAsia="仿宋_GB2312"/>
              </w:rPr>
              <w:t>供应商应提交的相关证明材料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供应商参加政府采购活动前三年内（成立不足三年的，从成立之日起计算），在经营活动中无环保类行政处罚记录</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供应商在“中国执行信息公开网”(http://zxgk.court.gov.cn/shixin/）没有被列入失信被执行人，“信用中国”网站（www.creditchina.gov.cn）没有被列入重大税收违法失信主体、政府采购严重违法失信名单和“中国政府采购网”（www.ccgp.gov.cn）没有被列入政府采购严重违法失信行为信息记录名单</w:t>
            </w:r>
          </w:p>
        </w:tc>
        <w:tc>
          <w:tcPr>
            <w:tcW w:type="dxa" w:w="3322"/>
          </w:tcPr>
          <w:p>
            <w:pPr>
              <w:pStyle w:val="null3"/>
              <w:jc w:val="left"/>
            </w:pPr>
            <w:r>
              <w:rPr>
                <w:rFonts w:ascii="仿宋_GB2312" w:hAnsi="仿宋_GB2312" w:cs="仿宋_GB2312" w:eastAsia="仿宋_GB2312"/>
              </w:rPr>
              <w:t>提供信用承诺书加盖公章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响应有效期</w:t>
            </w:r>
          </w:p>
        </w:tc>
        <w:tc>
          <w:tcPr>
            <w:tcW w:type="dxa" w:w="3322"/>
          </w:tcPr>
          <w:p>
            <w:pPr>
              <w:pStyle w:val="null3"/>
              <w:jc w:val="left"/>
            </w:pPr>
            <w:r>
              <w:rPr>
                <w:rFonts w:ascii="仿宋_GB2312" w:hAnsi="仿宋_GB2312" w:cs="仿宋_GB2312" w:eastAsia="仿宋_GB2312"/>
              </w:rPr>
              <w:t>响应有效期是否满足磋商文件要求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 商务应答表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技术部分63.00分</w:t>
            </w:r>
          </w:p>
          <w:p>
            <w:pPr>
              <w:pStyle w:val="null3"/>
              <w:jc w:val="left"/>
            </w:pPr>
            <w:r>
              <w:rPr>
                <w:rFonts w:ascii="仿宋_GB2312" w:hAnsi="仿宋_GB2312" w:cs="仿宋_GB2312" w:eastAsia="仿宋_GB2312"/>
              </w:rPr>
              <w:t>商务部分27.00分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项目理解</w:t>
            </w:r>
          </w:p>
        </w:tc>
        <w:tc>
          <w:tcPr>
            <w:tcW w:type="dxa" w:w="2492"/>
          </w:tcPr>
          <w:p>
            <w:pPr>
              <w:pStyle w:val="null3"/>
              <w:jc w:val="left"/>
            </w:pPr>
            <w:r>
              <w:rPr>
                <w:rFonts w:ascii="仿宋_GB2312" w:hAnsi="仿宋_GB2312" w:cs="仿宋_GB2312" w:eastAsia="仿宋_GB2312"/>
              </w:rPr>
              <w:t>（1）根据供应商对项目的理解，应包含但不限于以下内容： ①项目背景解读； ②项目任务理解； 供应商提供上述内容的，每项得2分，满分4分，未提供不得分。 （2）根据供应商提供对项目的理解程度进行赋分： A.对项目的背景理解深刻，了解项目开展的必要性，准确把握工作的重点、难点，整体方案完全满足采购需求的得6分； B.基本了解工作开展的背景，基本能满足采购需求的得4分； C.对项目的理解有欠缺、不全面的得2分； D.不提供不得分。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技术响应文件</w:t>
            </w:r>
          </w:p>
        </w:tc>
      </w:tr>
      <w:tr>
        <w:tc>
          <w:tcPr>
            <w:tcW w:type="dxa" w:w="831"/>
            <w:vMerge/>
          </w:tcPr>
          <w:p/>
        </w:tc>
        <w:tc>
          <w:tcPr>
            <w:tcW w:type="dxa" w:w="1661"/>
          </w:tcPr>
          <w:p>
            <w:pPr>
              <w:pStyle w:val="null3"/>
              <w:jc w:val="left"/>
            </w:pPr>
            <w:r>
              <w:rPr>
                <w:rFonts w:ascii="仿宋_GB2312" w:hAnsi="仿宋_GB2312" w:cs="仿宋_GB2312" w:eastAsia="仿宋_GB2312"/>
              </w:rPr>
              <w:t>现状分析</w:t>
            </w:r>
          </w:p>
        </w:tc>
        <w:tc>
          <w:tcPr>
            <w:tcW w:type="dxa" w:w="2492"/>
          </w:tcPr>
          <w:p>
            <w:pPr>
              <w:pStyle w:val="null3"/>
              <w:jc w:val="left"/>
            </w:pPr>
            <w:r>
              <w:rPr>
                <w:rFonts w:ascii="仿宋_GB2312" w:hAnsi="仿宋_GB2312" w:cs="仿宋_GB2312" w:eastAsia="仿宋_GB2312"/>
              </w:rPr>
              <w:t>（1）根据供应商对现状情况分析进行评分，包含但不限于以下内容： ①系统梳理现状用地建设情况、城市交通、河流水系、防洪防涝等现状情况，及三亚市在工程渣土管理方面的相关政策； ②提出存在问题及相应对策。 供应商提供上述内容的，每项得2分，满分4分，未提供不得分。 （2）根据供应商提供的现状情况分析进行赋分： A.现状分析方案内容详细、分析具体、完整，满足项目采购需求的得6分； B.现状分析方案内容基本能够满足采购需求的得4分； C.现状分析方案不合理的得2分； D.未提供不得分。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技术响应文件</w:t>
            </w:r>
          </w:p>
        </w:tc>
      </w:tr>
      <w:tr>
        <w:tc>
          <w:tcPr>
            <w:tcW w:type="dxa" w:w="831"/>
            <w:vMerge/>
          </w:tcPr>
          <w:p/>
        </w:tc>
        <w:tc>
          <w:tcPr>
            <w:tcW w:type="dxa" w:w="1661"/>
          </w:tcPr>
          <w:p>
            <w:pPr>
              <w:pStyle w:val="null3"/>
              <w:jc w:val="left"/>
            </w:pPr>
            <w:r>
              <w:rPr>
                <w:rFonts w:ascii="仿宋_GB2312" w:hAnsi="仿宋_GB2312" w:cs="仿宋_GB2312" w:eastAsia="仿宋_GB2312"/>
              </w:rPr>
              <w:t>竖向规划方案</w:t>
            </w:r>
          </w:p>
        </w:tc>
        <w:tc>
          <w:tcPr>
            <w:tcW w:type="dxa" w:w="2492"/>
          </w:tcPr>
          <w:p>
            <w:pPr>
              <w:pStyle w:val="null3"/>
              <w:jc w:val="left"/>
            </w:pPr>
            <w:r>
              <w:rPr>
                <w:rFonts w:ascii="仿宋_GB2312" w:hAnsi="仿宋_GB2312" w:cs="仿宋_GB2312" w:eastAsia="仿宋_GB2312"/>
              </w:rPr>
              <w:t>（1）根据供应商对竖向规划思路进行评分，内容包含但不限于： ①竖向规划要素分析； ②竖向规划思路； ③竖向规划方案。 供应商提供上述内容的，每项得3分，满分9分，未提供不得分。 （2）根据供应商提供的竖向规划思路、重点规划内容科学性进行赋分： A.竖向规划思路清晰，针对性强、要素完整、科学合理，重点规划内容满足项目需求的得15分； B.竖向规划思路基本能够满足采购需求的得10分； C.提供规划思路不清晰、不完整、不合理的得5分。 D.不提供不得分。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技术响应文件</w:t>
            </w:r>
          </w:p>
        </w:tc>
      </w:tr>
      <w:tr>
        <w:tc>
          <w:tcPr>
            <w:tcW w:type="dxa" w:w="831"/>
            <w:vMerge/>
          </w:tcPr>
          <w:p/>
        </w:tc>
        <w:tc>
          <w:tcPr>
            <w:tcW w:type="dxa" w:w="1661"/>
          </w:tcPr>
          <w:p>
            <w:pPr>
              <w:pStyle w:val="null3"/>
              <w:jc w:val="left"/>
            </w:pPr>
            <w:r>
              <w:rPr>
                <w:rFonts w:ascii="仿宋_GB2312" w:hAnsi="仿宋_GB2312" w:cs="仿宋_GB2312" w:eastAsia="仿宋_GB2312"/>
              </w:rPr>
              <w:t>质量保证措施</w:t>
            </w:r>
          </w:p>
        </w:tc>
        <w:tc>
          <w:tcPr>
            <w:tcW w:type="dxa" w:w="2492"/>
          </w:tcPr>
          <w:p>
            <w:pPr>
              <w:pStyle w:val="null3"/>
              <w:jc w:val="left"/>
            </w:pPr>
            <w:r>
              <w:rPr>
                <w:rFonts w:ascii="仿宋_GB2312" w:hAnsi="仿宋_GB2312" w:cs="仿宋_GB2312" w:eastAsia="仿宋_GB2312"/>
              </w:rPr>
              <w:t>（1）根据供应商提供的质量保证措施进行评分，方案内容包括但不限于：①质量保证体系；②质量保证措施。供应商提供上述内容的，每项得1.5分，满分3分，未提供不得分。 （2）根据供应商提供的质量保证进行赋分： A.质量保证措施详细优化，科学合理、保措施清晰、完整、严谨、合理且便于实施的得6分； B.质量保证措施详细，保障措施清晰、完整合理的得3分； C.质量保证措施详细，保证措施完整的得1分； D.不提供不得分。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技术响应文件</w:t>
            </w:r>
          </w:p>
        </w:tc>
      </w:tr>
      <w:tr>
        <w:tc>
          <w:tcPr>
            <w:tcW w:type="dxa" w:w="831"/>
            <w:vMerge/>
          </w:tcPr>
          <w:p/>
        </w:tc>
        <w:tc>
          <w:tcPr>
            <w:tcW w:type="dxa" w:w="1661"/>
          </w:tcPr>
          <w:p>
            <w:pPr>
              <w:pStyle w:val="null3"/>
              <w:jc w:val="left"/>
            </w:pPr>
            <w:r>
              <w:rPr>
                <w:rFonts w:ascii="仿宋_GB2312" w:hAnsi="仿宋_GB2312" w:cs="仿宋_GB2312" w:eastAsia="仿宋_GB2312"/>
              </w:rPr>
              <w:t>《三亚市建设工程渣土管理办法》编制</w:t>
            </w:r>
          </w:p>
        </w:tc>
        <w:tc>
          <w:tcPr>
            <w:tcW w:type="dxa" w:w="2492"/>
          </w:tcPr>
          <w:p>
            <w:pPr>
              <w:pStyle w:val="null3"/>
              <w:jc w:val="left"/>
            </w:pPr>
            <w:r>
              <w:rPr>
                <w:rFonts w:ascii="仿宋_GB2312" w:hAnsi="仿宋_GB2312" w:cs="仿宋_GB2312" w:eastAsia="仿宋_GB2312"/>
              </w:rPr>
              <w:t>（1）根据供应商提供的管理办法编制内容进行评分，内容包含但不限于： ①建设工程渣土管理办法，包括编制依据、适用范围、部门职责分工及工程渣土排放、运输、处理等全流程管理要求。 供应商提供上述内容全面的得5分，未提供不得分； （2）根据供应商对办法适用范围、工程渣土定义、管理原则及相关职能部门职责分工等进行赋分： A.内容科学合理，实用性强，思路清晰，能够完全根据实际情况制订，考虑问题周全，实施过程务实的得5分； B.内容科学合理，实用性较强，思路较清晰，能够根据实际情况制订，考虑问题基本周全，的得3分； C.内容基本合理实用性不强，思路不清晰，不能够根据实际情况制订，考虑问题不周全的得1分； D.不提供不得分。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技术响应文件</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（1）2021年1月1日以来，供应商具备类似项目业绩的，每个得2分；本项最高得8分。 证明材料：提供合同复印件或中标（成交）通知书复印件加盖公章，时间以合同签订时间或中标（成交）通知书发出时间为准。 （2）编制法律、法规等类似业绩，每个得2分，本项最高得2分。 证明材料：提供合同复印件加盖公章。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jc w:val="left"/>
            </w:pPr>
            <w:r>
              <w:rPr>
                <w:rFonts w:ascii="仿宋_GB2312" w:hAnsi="仿宋_GB2312" w:cs="仿宋_GB2312" w:eastAsia="仿宋_GB2312"/>
              </w:rPr>
              <w:t>团队技术实力（项目 负责人）</w:t>
            </w:r>
          </w:p>
        </w:tc>
        <w:tc>
          <w:tcPr>
            <w:tcW w:type="dxa" w:w="2492"/>
          </w:tcPr>
          <w:p>
            <w:pPr>
              <w:pStyle w:val="null3"/>
              <w:jc w:val="left"/>
            </w:pPr>
            <w:r>
              <w:rPr>
                <w:rFonts w:ascii="仿宋_GB2312" w:hAnsi="仿宋_GB2312" w:cs="仿宋_GB2312" w:eastAsia="仿宋_GB2312"/>
              </w:rPr>
              <w:t>（1）项目负责人具有城乡（市）规划专业正高级职称的，得3分；具有城乡（市）规划专业高级职称的，得1分；本项最高得3分。 （2）项目负责人具有注册城乡规划师资格的，得2分。 证明材料：提供人员2024年任意3个月社保证明材料及职称证书、注册证复印件加盖公章。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项目管理机构</w:t>
            </w:r>
          </w:p>
        </w:tc>
      </w:tr>
      <w:tr>
        <w:tc>
          <w:tcPr>
            <w:tcW w:type="dxa" w:w="831"/>
            <w:vMerge/>
          </w:tcPr>
          <w:p/>
        </w:tc>
        <w:tc>
          <w:tcPr>
            <w:tcW w:type="dxa" w:w="1661"/>
          </w:tcPr>
          <w:p>
            <w:pPr>
              <w:pStyle w:val="null3"/>
              <w:jc w:val="left"/>
            </w:pPr>
            <w:r>
              <w:rPr>
                <w:rFonts w:ascii="仿宋_GB2312" w:hAnsi="仿宋_GB2312" w:cs="仿宋_GB2312" w:eastAsia="仿宋_GB2312"/>
              </w:rPr>
              <w:t>团队技术实力（项目团队成员）</w:t>
            </w:r>
          </w:p>
        </w:tc>
        <w:tc>
          <w:tcPr>
            <w:tcW w:type="dxa" w:w="2492"/>
          </w:tcPr>
          <w:p>
            <w:pPr>
              <w:pStyle w:val="null3"/>
              <w:jc w:val="left"/>
            </w:pPr>
            <w:r>
              <w:rPr>
                <w:rFonts w:ascii="仿宋_GB2312" w:hAnsi="仿宋_GB2312" w:cs="仿宋_GB2312" w:eastAsia="仿宋_GB2312"/>
              </w:rPr>
              <w:t>规划项目组成员（不含项目负责人），具有规划类、交通类、给排水类、建筑类、环境类、风景园林类专业高级及以上职称的，专业齐全得10分，每缺少一个专业扣2分，扣完为止。本项最高得10分。 证明材料：提供人员2024年任意3个月社保证明材料及职称证复印件加盖公章。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项目管理机构</w:t>
            </w:r>
          </w:p>
        </w:tc>
      </w:tr>
      <w:tr>
        <w:tc>
          <w:tcPr>
            <w:tcW w:type="dxa" w:w="831"/>
            <w:vMerge/>
          </w:tcPr>
          <w:p/>
        </w:tc>
        <w:tc>
          <w:tcPr>
            <w:tcW w:type="dxa" w:w="1661"/>
          </w:tcPr>
          <w:p>
            <w:pPr>
              <w:pStyle w:val="null3"/>
              <w:jc w:val="left"/>
            </w:pPr>
            <w:r>
              <w:rPr>
                <w:rFonts w:ascii="仿宋_GB2312" w:hAnsi="仿宋_GB2312" w:cs="仿宋_GB2312" w:eastAsia="仿宋_GB2312"/>
              </w:rPr>
              <w:t>团队技术实力（项目团队成员）</w:t>
            </w:r>
          </w:p>
        </w:tc>
        <w:tc>
          <w:tcPr>
            <w:tcW w:type="dxa" w:w="2492"/>
          </w:tcPr>
          <w:p>
            <w:pPr>
              <w:pStyle w:val="null3"/>
              <w:jc w:val="left"/>
            </w:pPr>
            <w:r>
              <w:rPr>
                <w:rFonts w:ascii="仿宋_GB2312" w:hAnsi="仿宋_GB2312" w:cs="仿宋_GB2312" w:eastAsia="仿宋_GB2312"/>
              </w:rPr>
              <w:t>《三亚市建设工程渣土管理办法》编制人员要求：至少需具有1名法律专业人员，本项最高得分2分。 证明材料：提供单位协议复印件加盖公章。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项目管理机构</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详见附件：技术服务合同.docx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STZX-CG-2024-017</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《三亚市城市竖向规划（2025-2035年）》及《三亚市建设工程渣土管理办法》</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《三亚市城市竖向规划（2025-2035年）》及《三亚市建设工程渣土管理办法》</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C23080100-行业规划服务</w:t>
            </w:r>
          </w:p>
        </w:tc>
        <w:tc>
          <w:tcPr>
            <w:tcW w:type="dxa" w:w="1038"/>
          </w:tcPr>
          <w:p>
            <w:pPr>
              <w:pStyle w:val="null3"/>
              <w:jc w:val="left"/>
            </w:pPr>
            <w:r>
              <w:rPr>
                <w:rFonts w:ascii="仿宋_GB2312" w:hAnsi="仿宋_GB2312" w:cs="仿宋_GB2312" w:eastAsia="仿宋_GB2312"/>
              </w:rPr>
              <w:t xml:space="preserve"> 1.00个</w:t>
            </w:r>
          </w:p>
        </w:tc>
        <w:tc>
          <w:tcPr>
            <w:tcW w:type="dxa" w:w="1038"/>
          </w:tcPr>
          <w:p>
            <w:pPr>
              <w:pStyle w:val="null3"/>
              <w:jc w:val="left"/>
            </w:pPr>
            <w:r>
              <w:rPr>
                <w:rFonts w:ascii="仿宋_GB2312" w:hAnsi="仿宋_GB2312" w:cs="仿宋_GB2312" w:eastAsia="仿宋_GB2312"/>
              </w:rPr>
              <w:t xml:space="preserve"> 2350000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详见附件：项目管理机构</w:t>
      </w:r>
    </w:p>
    <w:p>
      <w:pPr>
        <w:pStyle w:val="null3"/>
        <w:ind w:firstLine="960"/>
        <w:jc w:val="left"/>
      </w:pPr>
      <w:r>
        <w:rPr>
          <w:rFonts w:ascii="仿宋_GB2312" w:hAnsi="仿宋_GB2312" w:cs="仿宋_GB2312" w:eastAsia="仿宋_GB2312"/>
        </w:rPr>
        <w:t>详见附件：技术响应文件</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