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2025年三亚市托育服务指导中心托育园第三方运营服务项目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[琼05556123]20250200001[CS]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三亚市卫生健康服务中心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致瑞（海南）项目管理有限公司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三亚市卫生健康服务中心</w:t>
      </w:r>
      <w:r>
        <w:rPr>
          <w:rFonts w:ascii="仿宋_GB2312" w:hAnsi="仿宋_GB2312" w:cs="仿宋_GB2312" w:eastAsia="仿宋_GB2312"/>
        </w:rPr>
        <w:t xml:space="preserve"> 的委托， </w:t>
      </w:r>
      <w:r>
        <w:rPr>
          <w:rFonts w:ascii="仿宋_GB2312" w:hAnsi="仿宋_GB2312" w:cs="仿宋_GB2312" w:eastAsia="仿宋_GB2312"/>
        </w:rPr>
        <w:t>致瑞（海南）项目管理有限公司</w:t>
      </w:r>
      <w:r>
        <w:rPr>
          <w:rFonts w:ascii="仿宋_GB2312" w:hAnsi="仿宋_GB2312" w:cs="仿宋_GB2312" w:eastAsia="仿宋_GB2312"/>
        </w:rPr>
        <w:t xml:space="preserve"> 对 </w:t>
      </w:r>
      <w:r>
        <w:rPr>
          <w:rFonts w:ascii="仿宋_GB2312" w:hAnsi="仿宋_GB2312" w:cs="仿宋_GB2312" w:eastAsia="仿宋_GB2312"/>
        </w:rPr>
        <w:t>2025年三亚市托育服务指导中心托育园第三方运营服务项目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[琼05556123]20250200001[CS]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2025年三亚市托育服务指导中心托育园第三方运营服务项目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2,193,072.70元</w:t>
      </w:r>
      <w:r>
        <w:rPr>
          <w:rFonts w:ascii="仿宋_GB2312" w:hAnsi="仿宋_GB2312" w:cs="仿宋_GB2312" w:eastAsia="仿宋_GB2312"/>
        </w:rPr>
        <w:t>贰佰壹拾玖万叁仟零柒拾贰元柒角</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2,193,072.70元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1、提供《政府采购供应商信用承诺书》：提供承诺书加盖公章，格式详见附件1</w:t>
      </w:r>
    </w:p>
    <w:p>
      <w:pPr>
        <w:pStyle w:val="null3"/>
        <w:jc w:val="left"/>
      </w:pPr>
      <w:r>
        <w:rPr>
          <w:rFonts w:ascii="仿宋_GB2312" w:hAnsi="仿宋_GB2312" w:cs="仿宋_GB2312" w:eastAsia="仿宋_GB2312"/>
        </w:rPr>
        <w:t>2、提供无环保类行政处罚记录声明函：提供声明函加盖公章，格式详见附件2</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3.本项目全程线上开标。如需云平台相关咨询，请拨打以下热线电话： 热线一：0898-66220881 热线二：0898-66220882。 4.根据《三亚市人民政府办公室关于印发&lt;三亚市创建一流营商环境 2021年实施方案&gt;的通知》（三府办〔2021〕44 号）和《三亚市金融发展局关于印发&lt;创建一流营商环境“获得信贷”指标2021年专项行动方案&gt;的通知》，三亚市在探索开展“政采贷”业务，中标或成交供应商可凭借与采购单位签订的政府采购合同向开展政府采购合同融资业务的银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三亚市卫生健康服务中心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三亚市迎宾路339号上海交通大学医学院附属上海儿童医学中心海南医院行政楼2楼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张雅倩</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0898-88272763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致瑞（海南）项目管理有限公司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海南省三亚市吉阳区迎宾路蓝立方苏商大厦1205室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陈奕冠</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0898-38210812</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采购包1：2,193,072.70元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代理服务费收费标准：参照国家计委计价格[2002]1980号文通知规定标准给予部分优惠收费，招标代理服务费为：￥19635.67元（大写：壹万玖仟陆佰叁拾伍元陆角柒分）在签发中标通知书时，由 中标人 一次性以货币形式支付本项目100%招标代理服务费。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提供与参与本项目的供应商之间，单位负责人不为同一人，也不存在直接控股、管理关系的承诺书。（格式详见本文件）</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联系电话：0898-38210812</w:t>
      </w:r>
    </w:p>
    <w:p>
      <w:pPr>
        <w:pStyle w:val="null3"/>
        <w:jc w:val="left"/>
      </w:pPr>
      <w:r>
        <w:rPr>
          <w:rFonts w:ascii="仿宋_GB2312" w:hAnsi="仿宋_GB2312" w:cs="仿宋_GB2312" w:eastAsia="仿宋_GB2312"/>
        </w:rPr>
        <w:t>地址：海南省三亚市吉阳区迎宾路苏商大厦1205室</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color w:val="000000"/>
        </w:rPr>
        <w:t>2025年三亚市托育服务指导中心托育园第三方运营服务项目，拟通过竞争性磋商的方式选取 1家有实力、有资质、有婴幼儿照护服务经验的服务公司进行合作、建设和运营。</w:t>
      </w:r>
    </w:p>
    <w:p>
      <w:pPr>
        <w:pStyle w:val="null3"/>
        <w:ind w:firstLine="632"/>
        <w:jc w:val="left"/>
      </w:pPr>
      <w:r>
        <w:rPr>
          <w:rFonts w:ascii="仿宋_GB2312" w:hAnsi="仿宋_GB2312" w:cs="仿宋_GB2312" w:eastAsia="仿宋_GB2312"/>
          <w:sz w:val="32"/>
          <w:color w:val="000000"/>
        </w:rPr>
        <w:t>三亚市托育服务指导中心托育园位于三亚市榆亚路时代海岸</w:t>
      </w:r>
      <w:r>
        <w:rPr>
          <w:rFonts w:ascii="仿宋_GB2312" w:hAnsi="仿宋_GB2312" w:cs="仿宋_GB2312" w:eastAsia="仿宋_GB2312"/>
          <w:sz w:val="32"/>
          <w:color w:val="000000"/>
        </w:rPr>
        <w:t>2号楼时代海岸会所一层及负一层 ，总面积为1937.47平方米，为市级公办纯托育机构。设立4个班级（3个托大班、1 个托小班），共提供75个托位，面向全市0-3岁婴幼儿招生。托育园需配备园长 1 人，主管1人，财务 1 人，保育人员12人（主班、副班、保育员），卫生保健员 1 人，安全员1 人，厨师 3人（主厨、副厨、厨工），保洁1人。</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2,193,072.70</w:t>
      </w:r>
    </w:p>
    <w:p>
      <w:pPr>
        <w:pStyle w:val="null3"/>
        <w:jc w:val="left"/>
      </w:pPr>
      <w:r>
        <w:rPr>
          <w:rFonts w:ascii="仿宋_GB2312" w:hAnsi="仿宋_GB2312" w:cs="仿宋_GB2312" w:eastAsia="仿宋_GB2312"/>
        </w:rPr>
        <w:t>采购包最高限价（元）: 2,193,072.70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C05010100-托育服务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2,193,072.70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C05010100-托育服务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2,193,072.70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标的名称：C05010100-托育服务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left"/>
            </w:pPr>
            <w:r>
              <w:rPr>
                <w:rFonts w:ascii="仿宋_GB2312" w:hAnsi="仿宋_GB2312" w:cs="仿宋_GB2312" w:eastAsia="仿宋_GB2312"/>
                <w:sz w:val="32"/>
                <w:color w:val="000000"/>
              </w:rPr>
              <w:t>（一）运营期内，项目的运营维护管理由中选供应商和运营主体负责，运营期间运营区域内产生的设备日常维护费、清洁费等全部费用由中选供应商和运营主体承担。</w:t>
            </w:r>
          </w:p>
          <w:p>
            <w:pPr>
              <w:pStyle w:val="null3"/>
              <w:ind w:firstLine="640"/>
              <w:jc w:val="left"/>
            </w:pPr>
            <w:r>
              <w:rPr>
                <w:rFonts w:ascii="仿宋_GB2312" w:hAnsi="仿宋_GB2312" w:cs="仿宋_GB2312" w:eastAsia="仿宋_GB2312"/>
                <w:sz w:val="32"/>
                <w:color w:val="000000"/>
              </w:rPr>
              <w:t>（二）在管理服务期内由于中选供应商和运营主体或其职工责任造成群众、幼儿、园方人身伤亡和财产损失的，由中选供应商和运营主体承担责任和负责赔偿。</w:t>
            </w:r>
          </w:p>
          <w:p>
            <w:pPr>
              <w:pStyle w:val="null3"/>
              <w:ind w:firstLine="640"/>
              <w:jc w:val="left"/>
            </w:pPr>
            <w:r>
              <w:rPr>
                <w:rFonts w:ascii="仿宋_GB2312" w:hAnsi="仿宋_GB2312" w:cs="仿宋_GB2312" w:eastAsia="仿宋_GB2312"/>
                <w:sz w:val="32"/>
                <w:color w:val="000000"/>
              </w:rPr>
              <w:t>（三）中选供应商和运营主体全面负责托育机构的安全工作。因消防安全、校园安全、食品安全、传染病等安全事故造成的经济损失和人身伤害，均由中选供应商和运营主体负全责，与采购人无关。在运营期内，中选供应商和运营主体为本项目的安全生产责任人和消防安全责任人，应对其原因导致的安全或消防事故承担全部责任，并应当在出现安全责任或消防事故一小时内按照有关规定向负有安全监督管理职责的有关部门、消防部门、卫健部门进行报告。</w:t>
            </w:r>
          </w:p>
          <w:p>
            <w:pPr>
              <w:pStyle w:val="null3"/>
              <w:ind w:firstLine="640"/>
              <w:jc w:val="left"/>
            </w:pPr>
            <w:r>
              <w:rPr>
                <w:rFonts w:ascii="仿宋_GB2312" w:hAnsi="仿宋_GB2312" w:cs="仿宋_GB2312" w:eastAsia="仿宋_GB2312"/>
                <w:sz w:val="32"/>
                <w:color w:val="000000"/>
              </w:rPr>
              <w:t>（四）中选供应商和运营主体应针对自然灾害、重特大事故、环境公害、消防安全及人为破坏等突发情况建立相应的应急预案、设立相应的组织、提供相应的指挥和设备等保障体系，并保证在出现重大意外事件时其保障体系能够正常启动。当发生重大或紧急事故时，能随时启动响应机制，配合相关责任或实施主体，完成相应抢修、抢险责任等。</w:t>
            </w:r>
          </w:p>
          <w:p>
            <w:pPr>
              <w:pStyle w:val="null3"/>
              <w:ind w:firstLine="640"/>
              <w:jc w:val="left"/>
            </w:pPr>
            <w:r>
              <w:rPr>
                <w:rFonts w:ascii="仿宋_GB2312" w:hAnsi="仿宋_GB2312" w:cs="仿宋_GB2312" w:eastAsia="仿宋_GB2312"/>
                <w:sz w:val="32"/>
                <w:color w:val="000000"/>
              </w:rPr>
              <w:t>（五）中选供应商和运营主体要落实安全管理责任，完善消防配套设施，建立健全突发公共事件预防预警及应急处置预案，定期开展安全检查、培训和演习；落实专业化维保，建立设施设备维护保养制度，配备专业人员，所有设备按要求定期检测，按时维护和保养，确保设施设备正常运行，安全使用；除不可抗力外，发生经相关监管部门认定的重大安全责任事故或重伤、死亡事故的，由中选供应商和运营主体承担连带责任</w:t>
            </w:r>
            <w:r>
              <w:rPr>
                <w:rFonts w:ascii="仿宋_GB2312" w:hAnsi="仿宋_GB2312" w:cs="仿宋_GB2312" w:eastAsia="仿宋_GB2312"/>
                <w:sz w:val="32"/>
                <w:color w:val="000000"/>
              </w:rPr>
              <w:t>,承担所有的法律及经济责任，采购人可无条件单方面解除委托协议。</w:t>
            </w:r>
          </w:p>
          <w:p>
            <w:pPr>
              <w:pStyle w:val="null3"/>
              <w:ind w:firstLine="640"/>
              <w:jc w:val="left"/>
            </w:pPr>
            <w:r>
              <w:rPr>
                <w:rFonts w:ascii="仿宋_GB2312" w:hAnsi="仿宋_GB2312" w:cs="仿宋_GB2312" w:eastAsia="仿宋_GB2312"/>
                <w:sz w:val="32"/>
                <w:color w:val="000000"/>
              </w:rPr>
              <w:t>（六）中选供应商和运营主体所产生的所有费用由中选供应商和运营主体承担。在运营管理期内，因中选供应商和运营主体的经营治理行为所产生的任何债务，均由中选供应商和运营主体承担连带责任。采购人和项目主管部门审核中选供应商和运营主体拟定的管理制度和管理服务年度预算，并提出合理化建议，督促中选供应商和运营主体健全有关的制度规程、工作规范。对中选供应商和运营主体不称职的工作人员，采购人有权要求整改，整改不到位的，采购人和项目主管部门有权更换中选供应商和运营主体。</w:t>
            </w:r>
          </w:p>
          <w:p>
            <w:pPr>
              <w:pStyle w:val="null3"/>
              <w:ind w:firstLine="640"/>
              <w:jc w:val="left"/>
            </w:pPr>
            <w:r>
              <w:rPr>
                <w:rFonts w:ascii="仿宋_GB2312" w:hAnsi="仿宋_GB2312" w:cs="仿宋_GB2312" w:eastAsia="仿宋_GB2312"/>
                <w:sz w:val="32"/>
                <w:color w:val="000000"/>
              </w:rPr>
              <w:t>（七）具体责任划分以签订合同为准。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321"/>
              <w:jc w:val="left"/>
            </w:pPr>
            <w:r>
              <w:rPr>
                <w:rFonts w:ascii="仿宋_GB2312" w:hAnsi="仿宋_GB2312" w:cs="仿宋_GB2312" w:eastAsia="仿宋_GB2312"/>
                <w:sz w:val="32"/>
                <w:b/>
                <w:color w:val="000000"/>
              </w:rPr>
              <w:t>（一）服务项目预算总金额和期限</w:t>
            </w:r>
          </w:p>
          <w:p>
            <w:pPr>
              <w:pStyle w:val="null3"/>
              <w:ind w:firstLine="640"/>
              <w:jc w:val="left"/>
            </w:pPr>
            <w:r>
              <w:rPr>
                <w:rFonts w:ascii="仿宋_GB2312" w:hAnsi="仿宋_GB2312" w:cs="仿宋_GB2312" w:eastAsia="仿宋_GB2312"/>
                <w:sz w:val="32"/>
                <w:color w:val="000000"/>
              </w:rPr>
              <w:t>1.服务项目预算总金额为：2193072.70元，服务费按季度分期支付。</w:t>
            </w:r>
          </w:p>
          <w:tbl>
            <w:tblPr>
              <w:tblBorders>
                <w:top w:val="none" w:color="000000" w:sz="4"/>
                <w:left w:val="none" w:color="000000" w:sz="4"/>
                <w:bottom w:val="none" w:color="000000" w:sz="4"/>
                <w:right w:val="none" w:color="000000" w:sz="4"/>
                <w:insideH w:val="none"/>
                <w:insideV w:val="none"/>
              </w:tblBorders>
            </w:tblPr>
            <w:tblGrid>
              <w:gridCol w:w="497"/>
              <w:gridCol w:w="1136"/>
              <w:gridCol w:w="920"/>
            </w:tblGrid>
            <w:tr>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序号</w:t>
                  </w:r>
                </w:p>
              </w:tc>
              <w:tc>
                <w:tcPr>
                  <w:tcW w:type="dxa" w:w="1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支出项目</w:t>
                  </w:r>
                </w:p>
              </w:tc>
              <w:tc>
                <w:tcPr>
                  <w:tcW w:type="dxa" w:w="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年度预算（元）</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岗位工资</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1294500.00</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社保、公积金</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345592.60</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员工工作餐</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101640.00</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员工工会经费</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25890.00</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教学用品用具</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30747.50</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行政办公费</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34102.00</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清洁生活用品</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39892.60</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日常维修维护费</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67188.00</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9</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经营管理费</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210000.00</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婴幼儿保险费</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2520.00</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11</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员工进修培训费</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16000.00</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宣传费</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25000.00</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合计</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2193072.70</w:t>
                  </w:r>
                </w:p>
              </w:tc>
            </w:tr>
          </w:tbl>
          <w:p>
            <w:pPr>
              <w:pStyle w:val="null3"/>
              <w:ind w:firstLine="640"/>
              <w:jc w:val="left"/>
            </w:pPr>
            <w:r>
              <w:rPr>
                <w:rFonts w:ascii="仿宋_GB2312" w:hAnsi="仿宋_GB2312" w:cs="仿宋_GB2312" w:eastAsia="仿宋_GB2312"/>
                <w:sz w:val="32"/>
                <w:color w:val="000000"/>
              </w:rPr>
              <w:t>2.服务期限：1 年。（合同期满后第三方运营服务公司如果满足招标方需求，可优先续签协议）</w:t>
            </w:r>
          </w:p>
          <w:p>
            <w:pPr>
              <w:pStyle w:val="null3"/>
              <w:ind w:firstLine="640"/>
              <w:jc w:val="left"/>
            </w:pPr>
            <w:r>
              <w:rPr>
                <w:rFonts w:ascii="仿宋_GB2312" w:hAnsi="仿宋_GB2312" w:cs="仿宋_GB2312" w:eastAsia="仿宋_GB2312"/>
                <w:sz w:val="32"/>
                <w:color w:val="000000"/>
              </w:rPr>
              <w:t>3.</w:t>
            </w:r>
            <w:r>
              <w:rPr>
                <w:rFonts w:ascii="仿宋_GB2312" w:hAnsi="仿宋_GB2312" w:cs="仿宋_GB2312" w:eastAsia="仿宋_GB2312"/>
                <w:sz w:val="32"/>
                <w:color w:val="000000"/>
              </w:rPr>
              <w:t>服务地点：采购人指定地点。</w:t>
            </w:r>
          </w:p>
          <w:p>
            <w:pPr>
              <w:pStyle w:val="null3"/>
              <w:ind w:left="630"/>
              <w:jc w:val="left"/>
            </w:pPr>
            <w:r>
              <w:rPr>
                <w:rFonts w:ascii="仿宋_GB2312" w:hAnsi="仿宋_GB2312" w:cs="仿宋_GB2312" w:eastAsia="仿宋_GB2312"/>
                <w:sz w:val="32"/>
                <w:b/>
                <w:color w:val="000000"/>
              </w:rPr>
              <w:t>（二）委托事项</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.托育</w:t>
            </w:r>
            <w:r>
              <w:rPr>
                <w:rFonts w:ascii="仿宋_GB2312" w:hAnsi="仿宋_GB2312" w:cs="仿宋_GB2312" w:eastAsia="仿宋_GB2312"/>
                <w:sz w:val="32"/>
                <w:color w:val="000000"/>
              </w:rPr>
              <w:t>园</w:t>
            </w:r>
            <w:r>
              <w:rPr>
                <w:rFonts w:ascii="仿宋_GB2312" w:hAnsi="仿宋_GB2312" w:cs="仿宋_GB2312" w:eastAsia="仿宋_GB2312"/>
                <w:sz w:val="32"/>
                <w:color w:val="000000"/>
              </w:rPr>
              <w:t>资产的管理与维护；</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32"/>
                <w:color w:val="000000"/>
              </w:rPr>
              <w:t>2.教职工的聘用与管理；</w:t>
            </w:r>
          </w:p>
          <w:p>
            <w:pPr>
              <w:pStyle w:val="null3"/>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3.托育</w:t>
            </w:r>
            <w:r>
              <w:rPr>
                <w:rFonts w:ascii="仿宋_GB2312" w:hAnsi="仿宋_GB2312" w:cs="仿宋_GB2312" w:eastAsia="仿宋_GB2312"/>
                <w:sz w:val="32"/>
                <w:color w:val="000000"/>
              </w:rPr>
              <w:t>园</w:t>
            </w:r>
            <w:r>
              <w:rPr>
                <w:rFonts w:ascii="仿宋_GB2312" w:hAnsi="仿宋_GB2312" w:cs="仿宋_GB2312" w:eastAsia="仿宋_GB2312"/>
                <w:sz w:val="32"/>
                <w:color w:val="000000"/>
              </w:rPr>
              <w:t>入园婴幼儿的招录；</w:t>
            </w:r>
          </w:p>
          <w:p>
            <w:pPr>
              <w:pStyle w:val="null3"/>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4.托育</w:t>
            </w:r>
            <w:r>
              <w:rPr>
                <w:rFonts w:ascii="仿宋_GB2312" w:hAnsi="仿宋_GB2312" w:cs="仿宋_GB2312" w:eastAsia="仿宋_GB2312"/>
                <w:sz w:val="32"/>
                <w:color w:val="000000"/>
              </w:rPr>
              <w:t>园保教活动的</w:t>
            </w:r>
            <w:r>
              <w:rPr>
                <w:rFonts w:ascii="仿宋_GB2312" w:hAnsi="仿宋_GB2312" w:cs="仿宋_GB2312" w:eastAsia="仿宋_GB2312"/>
                <w:sz w:val="32"/>
                <w:color w:val="000000"/>
              </w:rPr>
              <w:t>管理；</w:t>
            </w:r>
          </w:p>
          <w:p>
            <w:pPr>
              <w:pStyle w:val="null3"/>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5.托育</w:t>
            </w:r>
            <w:r>
              <w:rPr>
                <w:rFonts w:ascii="仿宋_GB2312" w:hAnsi="仿宋_GB2312" w:cs="仿宋_GB2312" w:eastAsia="仿宋_GB2312"/>
                <w:sz w:val="32"/>
                <w:color w:val="000000"/>
              </w:rPr>
              <w:t>园</w:t>
            </w:r>
            <w:r>
              <w:rPr>
                <w:rFonts w:ascii="仿宋_GB2312" w:hAnsi="仿宋_GB2312" w:cs="仿宋_GB2312" w:eastAsia="仿宋_GB2312"/>
                <w:sz w:val="32"/>
                <w:color w:val="000000"/>
              </w:rPr>
              <w:t>内务及后勤管理；</w:t>
            </w:r>
          </w:p>
          <w:p>
            <w:pPr>
              <w:pStyle w:val="null3"/>
              <w:jc w:val="both"/>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6.托育</w:t>
            </w:r>
            <w:r>
              <w:rPr>
                <w:rFonts w:ascii="仿宋_GB2312" w:hAnsi="仿宋_GB2312" w:cs="仿宋_GB2312" w:eastAsia="仿宋_GB2312"/>
                <w:sz w:val="32"/>
                <w:color w:val="000000"/>
              </w:rPr>
              <w:t>园</w:t>
            </w:r>
            <w:r>
              <w:rPr>
                <w:rFonts w:ascii="仿宋_GB2312" w:hAnsi="仿宋_GB2312" w:cs="仿宋_GB2312" w:eastAsia="仿宋_GB2312"/>
                <w:sz w:val="32"/>
                <w:color w:val="000000"/>
              </w:rPr>
              <w:t>文化环境建设与管理；</w:t>
            </w:r>
          </w:p>
          <w:p>
            <w:pPr>
              <w:pStyle w:val="null3"/>
              <w:ind w:firstLine="640"/>
              <w:jc w:val="both"/>
            </w:pPr>
            <w:r>
              <w:rPr>
                <w:rFonts w:ascii="仿宋_GB2312" w:hAnsi="仿宋_GB2312" w:cs="仿宋_GB2312" w:eastAsia="仿宋_GB2312"/>
                <w:sz w:val="32"/>
                <w:color w:val="000000"/>
              </w:rPr>
              <w:t>7.托育</w:t>
            </w:r>
            <w:r>
              <w:rPr>
                <w:rFonts w:ascii="仿宋_GB2312" w:hAnsi="仿宋_GB2312" w:cs="仿宋_GB2312" w:eastAsia="仿宋_GB2312"/>
                <w:sz w:val="32"/>
                <w:color w:val="000000"/>
              </w:rPr>
              <w:t>园</w:t>
            </w:r>
            <w:r>
              <w:rPr>
                <w:rFonts w:ascii="仿宋_GB2312" w:hAnsi="仿宋_GB2312" w:cs="仿宋_GB2312" w:eastAsia="仿宋_GB2312"/>
                <w:sz w:val="32"/>
                <w:color w:val="000000"/>
              </w:rPr>
              <w:t>安全管理；</w:t>
            </w:r>
          </w:p>
          <w:p>
            <w:pPr>
              <w:pStyle w:val="null3"/>
              <w:ind w:firstLine="640"/>
              <w:jc w:val="both"/>
            </w:pPr>
            <w:r>
              <w:rPr>
                <w:rFonts w:ascii="仿宋_GB2312" w:hAnsi="仿宋_GB2312" w:cs="仿宋_GB2312" w:eastAsia="仿宋_GB2312"/>
                <w:sz w:val="32"/>
                <w:color w:val="000000"/>
              </w:rPr>
              <w:t>8.托育园婴幼儿及员工餐食管理；</w:t>
            </w:r>
          </w:p>
          <w:p>
            <w:pPr>
              <w:pStyle w:val="null3"/>
              <w:ind w:firstLine="640"/>
              <w:jc w:val="left"/>
            </w:pPr>
            <w:r>
              <w:rPr>
                <w:rFonts w:ascii="仿宋_GB2312" w:hAnsi="仿宋_GB2312" w:cs="仿宋_GB2312" w:eastAsia="仿宋_GB2312"/>
                <w:sz w:val="32"/>
                <w:color w:val="000000"/>
              </w:rPr>
              <w:t>9.采购方交办的其他有关托育服务指导中心管理服务事项。</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提供承诺书加盖公章，格式详见附件1</w:t>
            </w:r>
          </w:p>
        </w:tc>
        <w:tc>
          <w:tcPr>
            <w:tcW w:type="dxa" w:w="1661"/>
          </w:tcPr>
          <w:p>
            <w:pPr>
              <w:pStyle w:val="null3"/>
              <w:jc w:val="left"/>
            </w:pPr>
            <w:r>
              <w:rPr>
                <w:rFonts w:ascii="仿宋_GB2312" w:hAnsi="仿宋_GB2312" w:cs="仿宋_GB2312" w:eastAsia="仿宋_GB2312"/>
              </w:rPr>
              <w:t>《政府采购供应商信用承诺书》，附件1</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提供无环保类行政处罚记录声明函</w:t>
            </w:r>
          </w:p>
        </w:tc>
        <w:tc>
          <w:tcPr>
            <w:tcW w:type="dxa" w:w="3322"/>
          </w:tcPr>
          <w:p>
            <w:pPr>
              <w:pStyle w:val="null3"/>
              <w:jc w:val="left"/>
            </w:pPr>
            <w:r>
              <w:rPr>
                <w:rFonts w:ascii="仿宋_GB2312" w:hAnsi="仿宋_GB2312" w:cs="仿宋_GB2312" w:eastAsia="仿宋_GB2312"/>
              </w:rPr>
              <w:t>提供声明函加盖公章，格式详见附件2</w:t>
            </w:r>
          </w:p>
        </w:tc>
        <w:tc>
          <w:tcPr>
            <w:tcW w:type="dxa" w:w="1661"/>
          </w:tcPr>
          <w:p>
            <w:pPr>
              <w:pStyle w:val="null3"/>
              <w:jc w:val="left"/>
            </w:pPr>
            <w:r>
              <w:rPr>
                <w:rFonts w:ascii="仿宋_GB2312" w:hAnsi="仿宋_GB2312" w:cs="仿宋_GB2312" w:eastAsia="仿宋_GB2312"/>
              </w:rPr>
              <w:t>无环保类行政处罚记录声明函，附件2</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商务应答表 供应商应提交的相关证明材料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与参与本项目的供应商之间，单位负责人不为同一人，也不存在直接控股、管理关系的承诺书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技术部分58.00分</w:t>
            </w:r>
          </w:p>
          <w:p>
            <w:pPr>
              <w:pStyle w:val="null3"/>
              <w:jc w:val="left"/>
            </w:pPr>
            <w:r>
              <w:rPr>
                <w:rFonts w:ascii="仿宋_GB2312" w:hAnsi="仿宋_GB2312" w:cs="仿宋_GB2312" w:eastAsia="仿宋_GB2312"/>
              </w:rPr>
              <w:t>商务部分32.00分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运营管理方案</w:t>
            </w:r>
          </w:p>
        </w:tc>
        <w:tc>
          <w:tcPr>
            <w:tcW w:type="dxa" w:w="2492"/>
          </w:tcPr>
          <w:p>
            <w:pPr>
              <w:pStyle w:val="null3"/>
              <w:jc w:val="left"/>
            </w:pPr>
            <w:r>
              <w:rPr>
                <w:rFonts w:ascii="仿宋_GB2312" w:hAnsi="仿宋_GB2312" w:cs="仿宋_GB2312" w:eastAsia="仿宋_GB2312"/>
              </w:rPr>
              <w:t>投标人根据本项目采购需求提供运营管理方案，运营管理方案包括但不限于：①整体运营方案；②运营理念；③安全保卫服务要求；④重点难点分析及应对措施；⑤标准化建设要求；⑥运营推广方案等内容。 评审专家根据投标人提供的运营管理方案进行评分：方案包含以上6项全部内容且上述内容全面、合理、可行性强、完全满足项目实施需要的得18分，内容每缺少一项扣3分；每一项内容中存在瑕疵（内容过于简略；与项目实质需求不符；不符合行业规范及标准；逻辑混乱或原理错误；前后矛盾；不切实际的虚夸等）扣1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服务质量保障方案</w:t>
            </w:r>
          </w:p>
        </w:tc>
        <w:tc>
          <w:tcPr>
            <w:tcW w:type="dxa" w:w="2492"/>
          </w:tcPr>
          <w:p>
            <w:pPr>
              <w:pStyle w:val="null3"/>
              <w:jc w:val="left"/>
            </w:pPr>
            <w:r>
              <w:rPr>
                <w:rFonts w:ascii="仿宋_GB2312" w:hAnsi="仿宋_GB2312" w:cs="仿宋_GB2312" w:eastAsia="仿宋_GB2312"/>
              </w:rPr>
              <w:t>投标人根据本项目采购需求提供的服务质量保障方案，包括但不限于：①服务承诺；②后勤保障服务措施；③服务水平及质量保障措施；④投诉处理方案；⑤服务质量监督机制；⑥服务过程中与采购人配合、沟通方案等内容。 评审专家根据投标人提供的服务质量保障方案进行评分：方案包含以上6项全部内容且上述内容全面、合理、可行性强、完全满足项目实施需要的得12分，内容每缺少一项扣2分；每一项内容中存在瑕疵（内容过于简略；与项目实质需求不符；不符合行业规范及标准；逻辑混乱或原理错误；前后矛盾；不切实际的虚夸等）扣1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实施管理方案</w:t>
            </w:r>
          </w:p>
        </w:tc>
        <w:tc>
          <w:tcPr>
            <w:tcW w:type="dxa" w:w="2492"/>
          </w:tcPr>
          <w:p>
            <w:pPr>
              <w:pStyle w:val="null3"/>
              <w:jc w:val="left"/>
            </w:pPr>
            <w:r>
              <w:rPr>
                <w:rFonts w:ascii="仿宋_GB2312" w:hAnsi="仿宋_GB2312" w:cs="仿宋_GB2312" w:eastAsia="仿宋_GB2312"/>
              </w:rPr>
              <w:t>投标人根据本项目采购需求提供的团队管理方案，包括但不限于：①项目组织架构；②项目人员配备要求；③人员岗位职责制度；④人员管理规范；⑤保育、健康、监督管理要求；⑥人员培训考核奖惩管理措施；⑦保密义务、资产管理等要求；⑧企业各项管理规章等内容。 评审专家根据投标人提供的团队管理方案进行评分：方案包含以上8项全部内容且上述内容全面、合理、可行性强、完全满足项目实施需要的得16分，内容每缺少一项扣2分；每一项内容中存在瑕疵（内容过于简略；与项目实质需求不符；不符合行业规范及标准；逻辑混乱或原理错误；前后矛盾；不切实际的虚夸等）扣1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安全应急保障方案</w:t>
            </w:r>
          </w:p>
        </w:tc>
        <w:tc>
          <w:tcPr>
            <w:tcW w:type="dxa" w:w="2492"/>
          </w:tcPr>
          <w:p>
            <w:pPr>
              <w:pStyle w:val="null3"/>
              <w:jc w:val="left"/>
            </w:pPr>
            <w:r>
              <w:rPr>
                <w:rFonts w:ascii="仿宋_GB2312" w:hAnsi="仿宋_GB2312" w:cs="仿宋_GB2312" w:eastAsia="仿宋_GB2312"/>
              </w:rPr>
              <w:t>投标人根据本项目采购需求提供的安全应急保障方案，包括但不限于：①应急预案响应及保障措施；②应急组织协调能力、应急信息报告制度；③自然灾害的应急预案、保障措施；④食物中毒事件及传染病预防保障措施；⑤消防、治安及意外事故应急预案、保障措施；⑥各种突发性事件的应急预案、保障措施等内容。 评审专家根据投标人提供的安全应急保障方案进行评分：方案包含以上6项全部内容且上述内容全面、合理、可行性强、完全满足项目实施需要的得12分，内容每缺少一项扣2分；每一项内容中存在瑕疵（内容过于简略；与项目实质需求不符；不符合行业规范及标准；逻辑混乱或原理错误；前后矛盾；不切实际的虚夸等）扣1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自2022年1月1日至投标截止日期间投标供应商承接过类似项目业绩，每提供一个业绩得5分，本项目最高得10分； 证明材料：提供合同关键页，合同时间以合同签订日期为准，合同关键页不能清晰体现项目内容、签署、合同签订时间等关键信息的或不提供合同关键页者不得分。上述证明材料均只需在响应文件中提供加盖公章的电子扫描件即可。</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运营管理团队</w:t>
            </w:r>
          </w:p>
        </w:tc>
        <w:tc>
          <w:tcPr>
            <w:tcW w:type="dxa" w:w="2492"/>
          </w:tcPr>
          <w:p>
            <w:pPr>
              <w:pStyle w:val="null3"/>
              <w:jc w:val="left"/>
            </w:pPr>
            <w:r>
              <w:rPr>
                <w:rFonts w:ascii="仿宋_GB2312" w:hAnsi="仿宋_GB2312" w:cs="仿宋_GB2312" w:eastAsia="仿宋_GB2312"/>
              </w:rPr>
              <w:t>1.项目总负责人(1人),具有教育相关专业本科或以上学历及园长证的得10分，本项满分10分。 证明材料：提供在本单位缴纳2024年11月至今任意两个月的社保证明以及相关证书复印件加盖公章，未按要求提供不得分。 2.托育教师配备(不含项目总负责人),教师需具有执教资格证，学历要求大专以上的。满足要求的每人得1分，最多得8分，本项满分8分。 证明材料：提供在本单位缴纳2024年11月至今任意两个月的社保证明以及相关证书复印件加盖公章，未按要求提供不得分。 3.保育员配备，具有相关资格证书，每人得1分，最多得4分，本项满分4分。 证明材料：提供在本单位缴纳2024年11月至今任意两个月的社保证明以及相关证书复印件加盖公章，未按要求提供不得分。</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详见附件：2025年委托管理合同.docx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[琼05556123]20250200001[CS]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2025年三亚市托育服务指导中心托育园第三方运营服务项目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2025年三亚市托育服务指导中心托育园第三方运营服务项目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C05010100-托育服务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2193072.7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详见附件：相关条款承诺书</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详见附件：《政府采购供应商信用承诺书》，附件1</w:t>
      </w:r>
    </w:p>
    <w:p>
      <w:pPr>
        <w:pStyle w:val="null3"/>
        <w:ind w:firstLine="960"/>
        <w:jc w:val="left"/>
      </w:pPr>
      <w:r>
        <w:rPr>
          <w:rFonts w:ascii="仿宋_GB2312" w:hAnsi="仿宋_GB2312" w:cs="仿宋_GB2312" w:eastAsia="仿宋_GB2312"/>
        </w:rPr>
        <w:t>详见附件：无环保类行政处罚记录声明函，附件2</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