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335D6">
      <w:pPr>
        <w:jc w:val="center"/>
        <w:outlineLvl w:val="0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eastAsia="zh-CN"/>
        </w:rPr>
        <w:t>三亚市公安局2025年信息化运维项目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  <w:lang w:val="en-US" w:eastAsia="zh-CN"/>
        </w:rPr>
        <w:t>-</w:t>
      </w: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服务合同</w:t>
      </w:r>
    </w:p>
    <w:p w14:paraId="5524E2DB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注：采购人和中标单位应按照《财政部关于进一步加强政府采购需求和履约验收管理的指导意见》第二条第四项中“采购合同的具体条款应当包括项目的验收要求、与履约验收挂钩的资金支付条件及时间、争议处理规定、采购人及供应商各自权利义务等内容。采购需求、项目验收标准和程序应当作为采购合同的附件”的规定签订采购合同。</w:t>
      </w:r>
    </w:p>
    <w:p w14:paraId="2A02934F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合同通用条款(略)</w:t>
      </w:r>
    </w:p>
    <w:p w14:paraId="379B88D8">
      <w:pPr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合同专用条款部分</w:t>
      </w:r>
    </w:p>
    <w:p w14:paraId="0BE4FF76">
      <w:pPr>
        <w:snapToGrid w:val="0"/>
        <w:spacing w:before="19" w:line="360" w:lineRule="auto"/>
        <w:rPr>
          <w:rFonts w:hint="eastAsia"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甲方: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 xml:space="preserve"> 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   </w:t>
      </w:r>
    </w:p>
    <w:p w14:paraId="14E02B77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乙方: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  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  </w:t>
      </w:r>
    </w:p>
    <w:p w14:paraId="55616443">
      <w:pPr>
        <w:snapToGrid w:val="0"/>
        <w:spacing w:before="19" w:line="360" w:lineRule="auto"/>
        <w:ind w:firstLine="6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甲乙双方根据202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highlight w:val="none"/>
        </w:rPr>
        <w:t>年    月    日（项目编号:HNZC202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24"/>
          <w:highlight w:val="none"/>
        </w:rPr>
        <w:t>-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009</w:t>
      </w:r>
      <w:r>
        <w:rPr>
          <w:rFonts w:hint="eastAsia" w:ascii="宋体" w:hAnsi="宋体" w:cs="宋体"/>
          <w:color w:val="auto"/>
          <w:sz w:val="24"/>
          <w:highlight w:val="none"/>
        </w:rPr>
        <w:t>-00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  <w:highlight w:val="none"/>
        </w:rPr>
        <w:t>、三亚市公安局2025年信息化运维项目）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</w:rPr>
        <w:t>包公开招标采购结果及招标文件的要求,经协商一致,达成如下服务购销合同:</w:t>
      </w:r>
    </w:p>
    <w:p w14:paraId="79EA1148">
      <w:pPr>
        <w:snapToGrid w:val="0"/>
        <w:spacing w:before="19" w:line="360" w:lineRule="auto"/>
        <w:ind w:firstLine="600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bookmarkStart w:id="0" w:name="_Toc2455"/>
      <w:bookmarkStart w:id="1" w:name="_Toc11934"/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一、服务报价</w:t>
      </w:r>
      <w:bookmarkEnd w:id="0"/>
      <w:bookmarkEnd w:id="1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2153"/>
        <w:gridCol w:w="2346"/>
        <w:gridCol w:w="3071"/>
      </w:tblGrid>
      <w:tr w14:paraId="1C87A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015" w:type="dxa"/>
            <w:noWrap w:val="0"/>
            <w:vAlign w:val="center"/>
          </w:tcPr>
          <w:p w14:paraId="4FA905D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153" w:type="dxa"/>
            <w:noWrap w:val="0"/>
            <w:vAlign w:val="center"/>
          </w:tcPr>
          <w:p w14:paraId="5F9249F5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346" w:type="dxa"/>
            <w:noWrap w:val="0"/>
            <w:vAlign w:val="center"/>
          </w:tcPr>
          <w:p w14:paraId="4FF8570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金额（元）</w:t>
            </w:r>
          </w:p>
        </w:tc>
        <w:tc>
          <w:tcPr>
            <w:tcW w:w="3071" w:type="dxa"/>
            <w:noWrap w:val="0"/>
            <w:vAlign w:val="center"/>
          </w:tcPr>
          <w:p w14:paraId="5D78B74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服务期限</w:t>
            </w:r>
          </w:p>
        </w:tc>
      </w:tr>
      <w:tr w14:paraId="63201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1015" w:type="dxa"/>
            <w:tcBorders>
              <w:bottom w:val="single" w:color="auto" w:sz="4" w:space="0"/>
            </w:tcBorders>
            <w:noWrap w:val="0"/>
            <w:vAlign w:val="center"/>
          </w:tcPr>
          <w:p w14:paraId="09C4DB9F">
            <w:pPr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153" w:type="dxa"/>
            <w:noWrap w:val="0"/>
            <w:vAlign w:val="center"/>
          </w:tcPr>
          <w:p w14:paraId="5D22CBFA">
            <w:pPr>
              <w:rPr>
                <w:rFonts w:hint="eastAsia" w:ascii="宋体" w:hAnsi="宋体" w:cs="宋体"/>
                <w:color w:val="auto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Cs w:val="21"/>
                <w:highlight w:val="none"/>
              </w:rPr>
              <w:t xml:space="preserve"> </w:t>
            </w:r>
          </w:p>
        </w:tc>
        <w:tc>
          <w:tcPr>
            <w:tcW w:w="2346" w:type="dxa"/>
            <w:noWrap w:val="0"/>
            <w:vAlign w:val="center"/>
          </w:tcPr>
          <w:p w14:paraId="38F40058">
            <w:pPr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071" w:type="dxa"/>
            <w:noWrap w:val="0"/>
            <w:vAlign w:val="center"/>
          </w:tcPr>
          <w:p w14:paraId="533864F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9964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15" w:type="dxa"/>
            <w:tcBorders>
              <w:tr2bl w:val="single" w:color="auto" w:sz="4" w:space="0"/>
            </w:tcBorders>
            <w:noWrap w:val="0"/>
            <w:vAlign w:val="center"/>
          </w:tcPr>
          <w:p w14:paraId="337D66D1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 xml:space="preserve"> </w:t>
            </w:r>
          </w:p>
        </w:tc>
        <w:tc>
          <w:tcPr>
            <w:tcW w:w="2153" w:type="dxa"/>
            <w:noWrap w:val="0"/>
            <w:vAlign w:val="top"/>
          </w:tcPr>
          <w:p w14:paraId="4DEF7C8A">
            <w:pPr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   计</w:t>
            </w:r>
          </w:p>
        </w:tc>
        <w:tc>
          <w:tcPr>
            <w:tcW w:w="5417" w:type="dxa"/>
            <w:gridSpan w:val="2"/>
            <w:noWrap w:val="0"/>
            <w:vAlign w:val="center"/>
          </w:tcPr>
          <w:p w14:paraId="14798FB4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D697BD6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5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89254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项目地点：</w:t>
            </w:r>
          </w:p>
          <w:p w14:paraId="125A103D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 w14:paraId="5C80D8E9">
            <w:pP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投标报价总计：￥</w:t>
            </w:r>
            <w: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highlight w:val="none"/>
                <w:u w:val="single"/>
              </w:rPr>
              <w:t xml:space="preserve">                         </w:t>
            </w:r>
          </w:p>
          <w:p w14:paraId="50A5DB92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</w:pPr>
          </w:p>
          <w:p w14:paraId="208D53E8"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u w:val="single"/>
              </w:rPr>
              <w:t xml:space="preserve">                               </w:t>
            </w:r>
          </w:p>
          <w:p w14:paraId="4B191FF7">
            <w:pPr>
              <w:spacing w:line="360" w:lineRule="auto"/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备注：该总金额包含本合同项下甲方应当支付的全部费用，与本合同相关的一切税费及不可预见费用均由乙方承担</w:t>
            </w: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  <w:lang w:eastAsia="zh-Hans"/>
              </w:rPr>
              <w:t>。</w:t>
            </w:r>
          </w:p>
        </w:tc>
      </w:tr>
    </w:tbl>
    <w:p w14:paraId="323FE47C">
      <w:pPr>
        <w:tabs>
          <w:tab w:val="left" w:pos="1980"/>
        </w:tabs>
        <w:snapToGrid w:val="0"/>
        <w:spacing w:before="19" w:line="360" w:lineRule="auto"/>
        <w:ind w:firstLine="480" w:firstLineChars="200"/>
        <w:rPr>
          <w:rFonts w:hint="eastAsia" w:ascii="宋体" w:hAnsi="宋体"/>
          <w:b/>
          <w:bCs/>
          <w:color w:val="auto"/>
          <w:sz w:val="24"/>
          <w:highlight w:val="none"/>
        </w:rPr>
      </w:pPr>
      <w:bookmarkStart w:id="2" w:name="_Toc29585"/>
      <w:bookmarkStart w:id="3" w:name="_Toc18808"/>
      <w:bookmarkStart w:id="4" w:name="_Toc99"/>
      <w:r>
        <w:rPr>
          <w:rFonts w:hint="eastAsia" w:ascii="宋体" w:hAnsi="宋体"/>
          <w:color w:val="auto"/>
          <w:sz w:val="24"/>
          <w:highlight w:val="none"/>
        </w:rPr>
        <w:t>二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、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服务地点：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用户指定。</w:t>
      </w:r>
      <w:bookmarkEnd w:id="2"/>
      <w:bookmarkEnd w:id="3"/>
      <w:bookmarkEnd w:id="4"/>
      <w:r>
        <w:rPr>
          <w:rFonts w:hint="eastAsia" w:ascii="宋体" w:hAnsi="宋体"/>
          <w:b/>
          <w:bCs/>
          <w:color w:val="auto"/>
          <w:sz w:val="24"/>
          <w:highlight w:val="none"/>
        </w:rPr>
        <w:t xml:space="preserve"> </w:t>
      </w:r>
    </w:p>
    <w:p w14:paraId="0D52BDDE">
      <w:pPr>
        <w:snapToGrid w:val="0"/>
        <w:spacing w:line="360" w:lineRule="auto"/>
        <w:ind w:firstLine="482" w:firstLineChars="200"/>
        <w:rPr>
          <w:rFonts w:hint="eastAsia" w:ascii="宋体" w:hAnsi="宋体" w:cs="宋体"/>
          <w:color w:val="auto"/>
          <w:sz w:val="24"/>
          <w:highlight w:val="none"/>
        </w:rPr>
      </w:pPr>
      <w:bookmarkStart w:id="5" w:name="_Toc20749"/>
      <w:bookmarkStart w:id="6" w:name="_Toc16793"/>
      <w:bookmarkStart w:id="7" w:name="_Toc23278"/>
      <w:r>
        <w:rPr>
          <w:rFonts w:hint="eastAsia" w:ascii="宋体" w:hAnsi="宋体"/>
          <w:b/>
          <w:bCs/>
          <w:color w:val="auto"/>
          <w:sz w:val="24"/>
          <w:highlight w:val="none"/>
        </w:rPr>
        <w:t>三、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服务内容、要求、付款等其他事项</w:t>
      </w:r>
      <w:r>
        <w:rPr>
          <w:rFonts w:hint="eastAsia"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</w:rPr>
        <w:t>见采购需求。</w:t>
      </w:r>
      <w:bookmarkEnd w:id="5"/>
      <w:bookmarkEnd w:id="6"/>
      <w:bookmarkEnd w:id="7"/>
    </w:p>
    <w:p w14:paraId="2EDC0AEF">
      <w:pPr>
        <w:tabs>
          <w:tab w:val="left" w:pos="1980"/>
        </w:tabs>
        <w:snapToGrid w:val="0"/>
        <w:spacing w:before="19" w:line="360" w:lineRule="auto"/>
        <w:ind w:firstLine="472" w:firstLineChars="196"/>
        <w:rPr>
          <w:rFonts w:hint="eastAsia" w:ascii="宋体" w:hAnsi="宋体"/>
          <w:b/>
          <w:color w:val="auto"/>
          <w:sz w:val="24"/>
          <w:highlight w:val="none"/>
        </w:rPr>
      </w:pPr>
      <w:bookmarkStart w:id="8" w:name="_Toc29037"/>
      <w:bookmarkStart w:id="9" w:name="_Toc25298"/>
      <w:bookmarkStart w:id="10" w:name="_Toc6973"/>
      <w:r>
        <w:rPr>
          <w:rFonts w:hint="eastAsia" w:ascii="宋体" w:hAnsi="宋体"/>
          <w:b/>
          <w:color w:val="auto"/>
          <w:sz w:val="24"/>
          <w:highlight w:val="none"/>
        </w:rPr>
        <w:t>四、知识产权：本项目交付成果和与之相关的全部知识产权归属甲方。</w:t>
      </w:r>
    </w:p>
    <w:p w14:paraId="2D387359">
      <w:pPr>
        <w:tabs>
          <w:tab w:val="left" w:pos="1980"/>
        </w:tabs>
        <w:snapToGrid w:val="0"/>
        <w:spacing w:before="19" w:line="360" w:lineRule="auto"/>
        <w:ind w:firstLine="472" w:firstLineChars="196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五、违约责任：若乙方违约，甲方按《中华人民共和国民法典合同编》相关规定保留追究其相应责任的权利。（具体以实际签订合同为准）</w:t>
      </w:r>
    </w:p>
    <w:p w14:paraId="2F8C1033">
      <w:pPr>
        <w:tabs>
          <w:tab w:val="left" w:pos="1980"/>
        </w:tabs>
        <w:snapToGrid w:val="0"/>
        <w:spacing w:before="19" w:line="360" w:lineRule="auto"/>
        <w:ind w:firstLine="472" w:firstLineChars="196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六、合同纠纷处理：</w:t>
      </w:r>
      <w:bookmarkEnd w:id="8"/>
      <w:bookmarkEnd w:id="9"/>
      <w:bookmarkEnd w:id="10"/>
    </w:p>
    <w:p w14:paraId="6C8EE5B4">
      <w:pPr>
        <w:tabs>
          <w:tab w:val="left" w:pos="1980"/>
        </w:tabs>
        <w:snapToGrid w:val="0"/>
        <w:spacing w:before="19" w:line="360" w:lineRule="auto"/>
        <w:ind w:firstLine="470" w:firstLineChars="196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本合同执行过程中发生纠纷，作如下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highlight w:val="none"/>
        </w:rPr>
        <w:t>处理：</w:t>
      </w:r>
    </w:p>
    <w:p w14:paraId="237309AD">
      <w:pPr>
        <w:tabs>
          <w:tab w:val="left" w:pos="1980"/>
        </w:tabs>
        <w:snapToGrid w:val="0"/>
        <w:spacing w:before="19" w:line="360" w:lineRule="auto"/>
        <w:ind w:firstLine="470" w:firstLineChars="196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1、由甲乙双方协商处理。</w:t>
      </w:r>
    </w:p>
    <w:p w14:paraId="40BA30C4">
      <w:pPr>
        <w:tabs>
          <w:tab w:val="left" w:pos="1980"/>
        </w:tabs>
        <w:snapToGrid w:val="0"/>
        <w:spacing w:before="19" w:line="360" w:lineRule="auto"/>
        <w:ind w:firstLine="470" w:firstLineChars="196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2、申请仲裁。仲裁机构为海南国际仲裁院三亚分院。</w:t>
      </w:r>
    </w:p>
    <w:p w14:paraId="2D4DB8A8">
      <w:pPr>
        <w:tabs>
          <w:tab w:val="left" w:pos="1980"/>
        </w:tabs>
        <w:snapToGrid w:val="0"/>
        <w:spacing w:before="19" w:line="360" w:lineRule="auto"/>
        <w:ind w:firstLine="470" w:firstLineChars="196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3、提起诉讼。诉讼地点为采购人所在地。</w:t>
      </w:r>
    </w:p>
    <w:p w14:paraId="404E7FA4">
      <w:pPr>
        <w:snapToGrid w:val="0"/>
        <w:spacing w:before="19" w:line="360" w:lineRule="auto"/>
        <w:ind w:firstLine="482" w:firstLineChars="200"/>
        <w:rPr>
          <w:rFonts w:hint="eastAsia" w:ascii="宋体" w:hAnsi="宋体"/>
          <w:color w:val="auto"/>
          <w:sz w:val="24"/>
          <w:highlight w:val="none"/>
        </w:rPr>
      </w:pPr>
      <w:bookmarkStart w:id="11" w:name="_Toc13425"/>
      <w:bookmarkStart w:id="12" w:name="_Toc21178"/>
      <w:bookmarkStart w:id="13" w:name="_Toc30538"/>
      <w:r>
        <w:rPr>
          <w:rFonts w:hint="eastAsia" w:ascii="宋体" w:hAnsi="宋体"/>
          <w:b/>
          <w:color w:val="auto"/>
          <w:sz w:val="24"/>
          <w:highlight w:val="none"/>
        </w:rPr>
        <w:t>七、合同生效：</w:t>
      </w:r>
      <w:r>
        <w:rPr>
          <w:rFonts w:hint="eastAsia" w:ascii="宋体" w:hAnsi="宋体"/>
          <w:color w:val="auto"/>
          <w:sz w:val="24"/>
          <w:highlight w:val="none"/>
        </w:rPr>
        <w:t>本合同由甲乙双方签字盖章后生效。</w:t>
      </w:r>
      <w:bookmarkEnd w:id="11"/>
      <w:bookmarkEnd w:id="12"/>
      <w:bookmarkEnd w:id="13"/>
    </w:p>
    <w:p w14:paraId="2C46F6D3">
      <w:pPr>
        <w:snapToGrid w:val="0"/>
        <w:spacing w:before="19" w:line="360" w:lineRule="auto"/>
        <w:ind w:firstLine="482" w:firstLineChars="200"/>
        <w:rPr>
          <w:rFonts w:hint="eastAsia" w:ascii="宋体" w:hAnsi="宋体"/>
          <w:b/>
          <w:color w:val="auto"/>
          <w:sz w:val="24"/>
          <w:highlight w:val="none"/>
        </w:rPr>
      </w:pPr>
      <w:bookmarkStart w:id="14" w:name="_Toc7532"/>
      <w:bookmarkStart w:id="15" w:name="_Toc25210"/>
      <w:bookmarkStart w:id="16" w:name="_Toc28714"/>
      <w:r>
        <w:rPr>
          <w:rFonts w:hint="eastAsia" w:ascii="宋体" w:hAnsi="宋体"/>
          <w:b/>
          <w:color w:val="auto"/>
          <w:sz w:val="24"/>
          <w:highlight w:val="none"/>
        </w:rPr>
        <w:t>八、 合同鉴证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>采购代理机构应当在本合同上签章。</w:t>
      </w:r>
      <w:bookmarkEnd w:id="14"/>
      <w:bookmarkEnd w:id="15"/>
      <w:bookmarkEnd w:id="16"/>
    </w:p>
    <w:p w14:paraId="7CC4808B">
      <w:pPr>
        <w:snapToGrid w:val="0"/>
        <w:spacing w:before="19" w:line="360" w:lineRule="auto"/>
        <w:ind w:firstLine="482" w:firstLineChars="200"/>
        <w:rPr>
          <w:rFonts w:hint="eastAsia" w:ascii="宋体" w:hAnsi="宋体"/>
          <w:b/>
          <w:color w:val="auto"/>
          <w:sz w:val="24"/>
          <w:highlight w:val="none"/>
        </w:rPr>
      </w:pPr>
      <w:bookmarkStart w:id="17" w:name="_Toc2207"/>
      <w:bookmarkStart w:id="18" w:name="_Toc23706"/>
      <w:bookmarkStart w:id="19" w:name="_Toc1219"/>
      <w:r>
        <w:rPr>
          <w:rFonts w:hint="eastAsia" w:ascii="宋体" w:hAnsi="宋体"/>
          <w:b/>
          <w:color w:val="auto"/>
          <w:sz w:val="24"/>
          <w:highlight w:val="none"/>
        </w:rPr>
        <w:t>九、组成本合同的文件包括：</w:t>
      </w:r>
      <w:bookmarkEnd w:id="17"/>
      <w:bookmarkEnd w:id="18"/>
      <w:bookmarkEnd w:id="19"/>
    </w:p>
    <w:p w14:paraId="19DD9E9F">
      <w:pPr>
        <w:snapToGrid w:val="0"/>
        <w:spacing w:before="19" w:line="360" w:lineRule="auto"/>
        <w:ind w:left="55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（一）合同通用条款和专用条款；</w:t>
      </w:r>
    </w:p>
    <w:p w14:paraId="5B272920">
      <w:pPr>
        <w:snapToGrid w:val="0"/>
        <w:spacing w:before="19" w:line="360" w:lineRule="auto"/>
        <w:ind w:left="555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（二）乙方的开标一览表及报价明细表；</w:t>
      </w:r>
    </w:p>
    <w:p w14:paraId="2919EAE9">
      <w:pPr>
        <w:snapToGrid w:val="0"/>
        <w:spacing w:before="19" w:line="360" w:lineRule="auto"/>
        <w:ind w:left="55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（三）</w:t>
      </w:r>
      <w:r>
        <w:rPr>
          <w:rFonts w:hint="eastAsia" w:ascii="宋体" w:hAnsi="宋体"/>
          <w:bCs/>
          <w:color w:val="auto"/>
          <w:sz w:val="24"/>
          <w:highlight w:val="none"/>
          <w:lang w:eastAsia="zh-CN"/>
        </w:rPr>
        <w:t>中标</w:t>
      </w:r>
      <w:r>
        <w:rPr>
          <w:rFonts w:hint="eastAsia" w:ascii="宋体" w:hAnsi="宋体"/>
          <w:bCs/>
          <w:color w:val="auto"/>
          <w:sz w:val="24"/>
          <w:highlight w:val="none"/>
        </w:rPr>
        <w:t>通知书；</w:t>
      </w:r>
    </w:p>
    <w:p w14:paraId="16C7EC28">
      <w:pPr>
        <w:snapToGrid w:val="0"/>
        <w:spacing w:before="19" w:line="360" w:lineRule="auto"/>
        <w:ind w:left="555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（四）甲乙双方商定的其他必要文件。</w:t>
      </w:r>
      <w:bookmarkStart w:id="20" w:name="_GoBack"/>
      <w:bookmarkEnd w:id="20"/>
    </w:p>
    <w:p w14:paraId="6CD11C91">
      <w:pPr>
        <w:snapToGrid w:val="0"/>
        <w:spacing w:before="19" w:line="360" w:lineRule="auto"/>
        <w:ind w:firstLine="480" w:firstLineChars="200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上述合同文件内容互为补充，如有不明确，由甲方负责解释。</w:t>
      </w:r>
    </w:p>
    <w:p w14:paraId="289ED33B">
      <w:pPr>
        <w:snapToGrid w:val="0"/>
        <w:spacing w:before="19" w:line="360" w:lineRule="auto"/>
        <w:ind w:firstLine="555"/>
        <w:rPr>
          <w:rFonts w:hint="eastAsia" w:ascii="宋体" w:hAnsi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highlight w:val="none"/>
        </w:rPr>
        <w:t>十、合同备案</w:t>
      </w:r>
    </w:p>
    <w:p w14:paraId="2D6A3E7E">
      <w:pPr>
        <w:snapToGrid w:val="0"/>
        <w:spacing w:before="19" w:line="360" w:lineRule="auto"/>
        <w:ind w:firstLine="480" w:firstLineChars="200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highlight w:val="none"/>
        </w:rPr>
        <w:t>本合同一式肆份，中文书写。甲方执贰份、乙方、招标代理机构各执壹份。</w:t>
      </w:r>
    </w:p>
    <w:p w14:paraId="719BE32B">
      <w:pPr>
        <w:snapToGrid w:val="0"/>
        <w:spacing w:before="19" w:line="360" w:lineRule="auto"/>
        <w:rPr>
          <w:rFonts w:hint="eastAsia"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甲方：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（盖章）</w:t>
      </w:r>
    </w:p>
    <w:p w14:paraId="7963F359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地址：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 w14:paraId="04919E9A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法定（授权）代表人：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</w:t>
      </w:r>
    </w:p>
    <w:p w14:paraId="25B6DF5B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二〇二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五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 w14:paraId="63E58B99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乙方：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      （盖章）</w:t>
      </w:r>
    </w:p>
    <w:p w14:paraId="2864BA30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地址：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211D2C4B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法定（授权）代表人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：        </w:t>
      </w:r>
    </w:p>
    <w:p w14:paraId="15B3689A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二〇二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五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 w14:paraId="601AE698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户名：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</w:t>
      </w:r>
    </w:p>
    <w:p w14:paraId="0075EB81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开户银行：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</w:t>
      </w:r>
    </w:p>
    <w:p w14:paraId="4F47E5D7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账号：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   </w:t>
      </w:r>
    </w:p>
    <w:p w14:paraId="1C5ACE4B">
      <w:pPr>
        <w:snapToGrid w:val="0"/>
        <w:spacing w:before="19" w:line="360" w:lineRule="auto"/>
        <w:rPr>
          <w:rFonts w:hint="eastAsia" w:ascii="宋体" w:hAnsi="宋体" w:cs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采购代理机构：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>海南政采招投标有限公司（盖章）</w:t>
      </w:r>
    </w:p>
    <w:p w14:paraId="398E94E0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地  址：海口市国贸路49号中衡大厦13楼A座</w:t>
      </w:r>
    </w:p>
    <w:p w14:paraId="05AD2D8C">
      <w:pPr>
        <w:snapToGrid w:val="0"/>
        <w:spacing w:before="19"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经办人：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</w:t>
      </w:r>
    </w:p>
    <w:p w14:paraId="58EB6D4E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二〇二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五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 w14:paraId="340981D9">
      <w:pPr>
        <w:pStyle w:val="8"/>
        <w:rPr>
          <w:rFonts w:hint="eastAsia"/>
          <w:color w:val="auto"/>
          <w:highlight w:val="none"/>
        </w:rPr>
      </w:pPr>
    </w:p>
    <w:p w14:paraId="7508A6C6">
      <w:pPr>
        <w:pStyle w:val="8"/>
        <w:rPr>
          <w:rFonts w:hint="eastAsia"/>
          <w:color w:val="auto"/>
          <w:highlight w:val="none"/>
        </w:rPr>
      </w:pPr>
    </w:p>
    <w:p w14:paraId="09092109">
      <w:pPr>
        <w:pStyle w:val="8"/>
        <w:ind w:firstLine="560"/>
        <w:rPr>
          <w:rFonts w:hint="eastAsia" w:cs="宋体"/>
          <w:color w:val="auto"/>
          <w:sz w:val="28"/>
          <w:szCs w:val="28"/>
          <w:highlight w:val="none"/>
        </w:rPr>
      </w:pPr>
    </w:p>
    <w:p w14:paraId="7F1A74A5">
      <w:pPr>
        <w:pStyle w:val="8"/>
        <w:ind w:firstLine="560"/>
        <w:rPr>
          <w:rFonts w:hint="eastAsia" w:cs="宋体"/>
          <w:color w:val="auto"/>
          <w:sz w:val="28"/>
          <w:szCs w:val="28"/>
          <w:highlight w:val="none"/>
        </w:rPr>
      </w:pPr>
    </w:p>
    <w:p w14:paraId="039656C1">
      <w:pPr>
        <w:pStyle w:val="8"/>
        <w:ind w:firstLine="560"/>
        <w:rPr>
          <w:rFonts w:hint="eastAsia" w:cs="宋体"/>
          <w:color w:val="auto"/>
          <w:sz w:val="28"/>
          <w:szCs w:val="28"/>
          <w:highlight w:val="none"/>
        </w:rPr>
      </w:pPr>
    </w:p>
    <w:p w14:paraId="69589F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C6E37"/>
    <w:rsid w:val="032A4C70"/>
    <w:rsid w:val="18FC6E37"/>
    <w:rsid w:val="33650DA4"/>
    <w:rsid w:val="41CE268F"/>
    <w:rsid w:val="41FA1ECF"/>
    <w:rsid w:val="66C814F3"/>
    <w:rsid w:val="6B0D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next w:val="4"/>
    <w:unhideWhenUsed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8">
    <w:name w:val="@正文"/>
    <w:basedOn w:val="1"/>
    <w:qFormat/>
    <w:uiPriority w:val="0"/>
    <w:pPr>
      <w:shd w:val="clear" w:color="auto" w:fill="FFFFFF"/>
      <w:spacing w:line="360" w:lineRule="auto"/>
      <w:ind w:firstLine="480" w:firstLineChars="200"/>
      <w:jc w:val="left"/>
    </w:pPr>
    <w:rPr>
      <w:rFonts w:ascii="宋体" w:hAnsi="宋体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2025-02-12T02:24:00Z</dcterms:created>
  <dc:creator>Y prince</dc:creator>
  <cp:lastModifiedBy>Y prince</cp:lastModifiedBy>
  <dcterms:modified xsi:type="dcterms:W3CDTF">2025-02-12T02:27:23Z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ECAC3986EBBC44B59C1571BB3E1A18EF_11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