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D512BC">
      <w:pPr>
        <w:spacing w:line="360" w:lineRule="auto"/>
        <w:ind w:firstLine="281"/>
        <w:rPr>
          <w:b/>
          <w:kern w:val="1"/>
          <w:sz w:val="28"/>
        </w:rPr>
      </w:pPr>
      <w:r>
        <w:rPr>
          <w:rFonts w:hint="eastAsia"/>
          <w:b/>
          <w:kern w:val="1"/>
          <w:sz w:val="28"/>
        </w:rPr>
        <w:t>合同登记编号：</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7"/>
        <w:gridCol w:w="397"/>
        <w:gridCol w:w="397"/>
        <w:gridCol w:w="397"/>
        <w:gridCol w:w="236"/>
        <w:gridCol w:w="397"/>
        <w:gridCol w:w="397"/>
        <w:gridCol w:w="397"/>
        <w:gridCol w:w="397"/>
        <w:gridCol w:w="236"/>
        <w:gridCol w:w="397"/>
        <w:gridCol w:w="397"/>
        <w:gridCol w:w="236"/>
        <w:gridCol w:w="397"/>
        <w:gridCol w:w="397"/>
        <w:gridCol w:w="397"/>
        <w:gridCol w:w="397"/>
        <w:gridCol w:w="397"/>
        <w:gridCol w:w="397"/>
      </w:tblGrid>
      <w:tr w14:paraId="2AF76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397" w:type="dxa"/>
            <w:noWrap w:val="0"/>
            <w:vAlign w:val="center"/>
          </w:tcPr>
          <w:p w14:paraId="2873A7B3">
            <w:pPr>
              <w:jc w:val="left"/>
              <w:rPr>
                <w:sz w:val="28"/>
              </w:rPr>
            </w:pPr>
          </w:p>
        </w:tc>
        <w:tc>
          <w:tcPr>
            <w:tcW w:w="397" w:type="dxa"/>
            <w:noWrap w:val="0"/>
            <w:vAlign w:val="center"/>
          </w:tcPr>
          <w:p w14:paraId="0B8F3D1B">
            <w:pPr>
              <w:jc w:val="center"/>
            </w:pPr>
          </w:p>
        </w:tc>
        <w:tc>
          <w:tcPr>
            <w:tcW w:w="397" w:type="dxa"/>
            <w:noWrap w:val="0"/>
            <w:vAlign w:val="center"/>
          </w:tcPr>
          <w:p w14:paraId="1F1A5BA8">
            <w:pPr>
              <w:jc w:val="center"/>
            </w:pPr>
          </w:p>
        </w:tc>
        <w:tc>
          <w:tcPr>
            <w:tcW w:w="397" w:type="dxa"/>
            <w:noWrap w:val="0"/>
            <w:vAlign w:val="center"/>
          </w:tcPr>
          <w:p w14:paraId="3B98C1D7">
            <w:pPr>
              <w:jc w:val="center"/>
            </w:pPr>
          </w:p>
        </w:tc>
        <w:tc>
          <w:tcPr>
            <w:tcW w:w="236" w:type="dxa"/>
            <w:tcBorders>
              <w:top w:val="nil"/>
              <w:bottom w:val="nil"/>
            </w:tcBorders>
            <w:noWrap w:val="0"/>
            <w:vAlign w:val="center"/>
          </w:tcPr>
          <w:p w14:paraId="3C626779">
            <w:pPr>
              <w:jc w:val="center"/>
            </w:pPr>
          </w:p>
        </w:tc>
        <w:tc>
          <w:tcPr>
            <w:tcW w:w="397" w:type="dxa"/>
            <w:noWrap w:val="0"/>
            <w:vAlign w:val="center"/>
          </w:tcPr>
          <w:p w14:paraId="794B8168">
            <w:pPr>
              <w:jc w:val="center"/>
            </w:pPr>
          </w:p>
        </w:tc>
        <w:tc>
          <w:tcPr>
            <w:tcW w:w="397" w:type="dxa"/>
            <w:noWrap w:val="0"/>
            <w:vAlign w:val="center"/>
          </w:tcPr>
          <w:p w14:paraId="499030BD">
            <w:pPr>
              <w:jc w:val="center"/>
            </w:pPr>
          </w:p>
        </w:tc>
        <w:tc>
          <w:tcPr>
            <w:tcW w:w="397" w:type="dxa"/>
            <w:noWrap w:val="0"/>
            <w:vAlign w:val="center"/>
          </w:tcPr>
          <w:p w14:paraId="2968CB40">
            <w:pPr>
              <w:jc w:val="center"/>
            </w:pPr>
          </w:p>
        </w:tc>
        <w:tc>
          <w:tcPr>
            <w:tcW w:w="397" w:type="dxa"/>
            <w:noWrap w:val="0"/>
            <w:vAlign w:val="center"/>
          </w:tcPr>
          <w:p w14:paraId="5129E679">
            <w:pPr>
              <w:jc w:val="center"/>
            </w:pPr>
          </w:p>
        </w:tc>
        <w:tc>
          <w:tcPr>
            <w:tcW w:w="236" w:type="dxa"/>
            <w:tcBorders>
              <w:top w:val="nil"/>
              <w:bottom w:val="nil"/>
            </w:tcBorders>
            <w:noWrap w:val="0"/>
            <w:vAlign w:val="center"/>
          </w:tcPr>
          <w:p w14:paraId="1E0474C3">
            <w:pPr>
              <w:jc w:val="center"/>
            </w:pPr>
          </w:p>
        </w:tc>
        <w:tc>
          <w:tcPr>
            <w:tcW w:w="397" w:type="dxa"/>
            <w:noWrap w:val="0"/>
            <w:vAlign w:val="center"/>
          </w:tcPr>
          <w:p w14:paraId="4E21E22F">
            <w:pPr>
              <w:jc w:val="center"/>
            </w:pPr>
          </w:p>
        </w:tc>
        <w:tc>
          <w:tcPr>
            <w:tcW w:w="397" w:type="dxa"/>
            <w:noWrap w:val="0"/>
            <w:vAlign w:val="center"/>
          </w:tcPr>
          <w:p w14:paraId="0A611BED">
            <w:pPr>
              <w:jc w:val="center"/>
            </w:pPr>
          </w:p>
        </w:tc>
        <w:tc>
          <w:tcPr>
            <w:tcW w:w="236" w:type="dxa"/>
            <w:tcBorders>
              <w:top w:val="nil"/>
              <w:bottom w:val="nil"/>
            </w:tcBorders>
            <w:noWrap w:val="0"/>
            <w:vAlign w:val="center"/>
          </w:tcPr>
          <w:p w14:paraId="7C85D8DF">
            <w:pPr>
              <w:jc w:val="center"/>
            </w:pPr>
          </w:p>
        </w:tc>
        <w:tc>
          <w:tcPr>
            <w:tcW w:w="397" w:type="dxa"/>
            <w:noWrap w:val="0"/>
            <w:vAlign w:val="center"/>
          </w:tcPr>
          <w:p w14:paraId="14AF9F8A">
            <w:pPr>
              <w:jc w:val="center"/>
            </w:pPr>
          </w:p>
        </w:tc>
        <w:tc>
          <w:tcPr>
            <w:tcW w:w="397" w:type="dxa"/>
            <w:noWrap w:val="0"/>
            <w:vAlign w:val="top"/>
          </w:tcPr>
          <w:p w14:paraId="62ED338D">
            <w:pPr>
              <w:jc w:val="center"/>
            </w:pPr>
          </w:p>
        </w:tc>
        <w:tc>
          <w:tcPr>
            <w:tcW w:w="397" w:type="dxa"/>
            <w:noWrap w:val="0"/>
            <w:vAlign w:val="top"/>
          </w:tcPr>
          <w:p w14:paraId="6D47D6A0">
            <w:pPr>
              <w:jc w:val="center"/>
            </w:pPr>
          </w:p>
        </w:tc>
        <w:tc>
          <w:tcPr>
            <w:tcW w:w="397" w:type="dxa"/>
            <w:noWrap w:val="0"/>
            <w:vAlign w:val="top"/>
          </w:tcPr>
          <w:p w14:paraId="5E2E7DD6">
            <w:pPr>
              <w:jc w:val="center"/>
            </w:pPr>
          </w:p>
        </w:tc>
        <w:tc>
          <w:tcPr>
            <w:tcW w:w="397" w:type="dxa"/>
            <w:noWrap w:val="0"/>
            <w:vAlign w:val="top"/>
          </w:tcPr>
          <w:p w14:paraId="11056C0B">
            <w:pPr>
              <w:jc w:val="center"/>
            </w:pPr>
          </w:p>
        </w:tc>
        <w:tc>
          <w:tcPr>
            <w:tcW w:w="397" w:type="dxa"/>
            <w:noWrap w:val="0"/>
            <w:vAlign w:val="top"/>
          </w:tcPr>
          <w:p w14:paraId="1B4F1CC3">
            <w:pPr>
              <w:jc w:val="center"/>
            </w:pPr>
          </w:p>
        </w:tc>
      </w:tr>
    </w:tbl>
    <w:p w14:paraId="7FABEDD5">
      <w:pPr>
        <w:jc w:val="center"/>
        <w:rPr>
          <w:b/>
          <w:bCs/>
          <w:sz w:val="28"/>
        </w:rPr>
      </w:pPr>
      <w:r>
        <w:rPr>
          <w:rFonts w:hint="eastAsia"/>
          <w:b/>
          <w:bCs/>
          <w:sz w:val="28"/>
        </w:rPr>
        <w:t xml:space="preserve"> </w:t>
      </w:r>
    </w:p>
    <w:p w14:paraId="3371A744">
      <w:pPr>
        <w:jc w:val="center"/>
        <w:rPr>
          <w:b/>
          <w:kern w:val="1"/>
          <w:sz w:val="28"/>
        </w:rPr>
      </w:pPr>
    </w:p>
    <w:p w14:paraId="1D23621D">
      <w:pPr>
        <w:jc w:val="center"/>
        <w:rPr>
          <w:b/>
          <w:kern w:val="1"/>
          <w:sz w:val="28"/>
        </w:rPr>
      </w:pPr>
    </w:p>
    <w:p w14:paraId="2D3C4164">
      <w:pPr>
        <w:jc w:val="center"/>
        <w:rPr>
          <w:b/>
          <w:kern w:val="1"/>
          <w:sz w:val="28"/>
        </w:rPr>
      </w:pPr>
    </w:p>
    <w:p w14:paraId="43F1A7EF">
      <w:pPr>
        <w:jc w:val="center"/>
        <w:rPr>
          <w:b/>
          <w:kern w:val="1"/>
          <w:sz w:val="28"/>
        </w:rPr>
      </w:pPr>
    </w:p>
    <w:p w14:paraId="01125BBD">
      <w:pPr>
        <w:jc w:val="center"/>
        <w:rPr>
          <w:b/>
          <w:kern w:val="1"/>
          <w:sz w:val="28"/>
        </w:rPr>
      </w:pPr>
    </w:p>
    <w:p w14:paraId="664B12D7">
      <w:pPr>
        <w:jc w:val="center"/>
        <w:rPr>
          <w:kern w:val="1"/>
          <w:sz w:val="28"/>
        </w:rPr>
      </w:pPr>
    </w:p>
    <w:p w14:paraId="3E5C355A">
      <w:pPr>
        <w:jc w:val="center"/>
        <w:rPr>
          <w:b/>
          <w:kern w:val="1"/>
          <w:sz w:val="44"/>
        </w:rPr>
      </w:pPr>
      <w:r>
        <w:rPr>
          <w:rFonts w:hint="eastAsia"/>
          <w:b/>
          <w:kern w:val="1"/>
          <w:sz w:val="44"/>
        </w:rPr>
        <w:t>技术</w:t>
      </w:r>
      <w:r>
        <w:rPr>
          <w:rFonts w:hint="eastAsia"/>
          <w:b/>
          <w:bCs/>
          <w:sz w:val="44"/>
        </w:rPr>
        <w:t>咨询</w:t>
      </w:r>
      <w:r>
        <w:rPr>
          <w:rFonts w:hint="eastAsia"/>
          <w:b/>
          <w:kern w:val="1"/>
          <w:sz w:val="44"/>
        </w:rPr>
        <w:t>合同书</w:t>
      </w:r>
    </w:p>
    <w:p w14:paraId="3A56A369">
      <w:pPr>
        <w:jc w:val="center"/>
        <w:rPr>
          <w:rFonts w:hint="eastAsia" w:eastAsia="宋体"/>
          <w:kern w:val="1"/>
          <w:sz w:val="28"/>
          <w:lang w:eastAsia="zh-CN"/>
        </w:rPr>
      </w:pPr>
      <w:r>
        <w:rPr>
          <w:rFonts w:hint="eastAsia"/>
          <w:kern w:val="1"/>
          <w:sz w:val="28"/>
          <w:lang w:eastAsia="zh-CN"/>
        </w:rPr>
        <w:t>（</w:t>
      </w:r>
      <w:r>
        <w:rPr>
          <w:rFonts w:hint="eastAsia"/>
          <w:kern w:val="1"/>
          <w:sz w:val="28"/>
          <w:lang w:val="en-US" w:eastAsia="zh-CN"/>
        </w:rPr>
        <w:t>最终以实际签订为主</w:t>
      </w:r>
      <w:r>
        <w:rPr>
          <w:rFonts w:hint="eastAsia"/>
          <w:kern w:val="1"/>
          <w:sz w:val="28"/>
          <w:lang w:eastAsia="zh-CN"/>
        </w:rPr>
        <w:t>）</w:t>
      </w:r>
    </w:p>
    <w:p w14:paraId="403A7314">
      <w:pPr>
        <w:jc w:val="center"/>
        <w:rPr>
          <w:kern w:val="1"/>
          <w:sz w:val="28"/>
        </w:rPr>
      </w:pPr>
    </w:p>
    <w:p w14:paraId="512CD428">
      <w:pPr>
        <w:jc w:val="center"/>
        <w:rPr>
          <w:kern w:val="1"/>
          <w:sz w:val="28"/>
        </w:rPr>
      </w:pPr>
    </w:p>
    <w:tbl>
      <w:tblPr>
        <w:tblStyle w:val="5"/>
        <w:tblW w:w="0" w:type="auto"/>
        <w:tblInd w:w="108" w:type="dxa"/>
        <w:tblLayout w:type="fixed"/>
        <w:tblCellMar>
          <w:top w:w="0" w:type="dxa"/>
          <w:left w:w="108" w:type="dxa"/>
          <w:bottom w:w="0" w:type="dxa"/>
          <w:right w:w="108" w:type="dxa"/>
        </w:tblCellMar>
      </w:tblPr>
      <w:tblGrid>
        <w:gridCol w:w="1680"/>
        <w:gridCol w:w="7320"/>
      </w:tblGrid>
      <w:tr w14:paraId="6881DC92">
        <w:tblPrEx>
          <w:tblCellMar>
            <w:top w:w="0" w:type="dxa"/>
            <w:left w:w="108" w:type="dxa"/>
            <w:bottom w:w="0" w:type="dxa"/>
            <w:right w:w="108" w:type="dxa"/>
          </w:tblCellMar>
        </w:tblPrEx>
        <w:trPr>
          <w:trHeight w:val="810" w:hRule="atLeast"/>
        </w:trPr>
        <w:tc>
          <w:tcPr>
            <w:tcW w:w="1680" w:type="dxa"/>
            <w:tcBorders>
              <w:top w:val="single" w:color="auto" w:sz="4" w:space="0"/>
              <w:left w:val="single" w:color="auto" w:sz="4" w:space="0"/>
              <w:bottom w:val="single" w:color="auto" w:sz="4" w:space="0"/>
              <w:right w:val="single" w:color="auto" w:sz="4" w:space="0"/>
            </w:tcBorders>
            <w:noWrap w:val="0"/>
            <w:vAlign w:val="center"/>
          </w:tcPr>
          <w:p w14:paraId="1EBC7359">
            <w:pPr>
              <w:rPr>
                <w:kern w:val="1"/>
                <w:sz w:val="28"/>
              </w:rPr>
            </w:pPr>
            <w:r>
              <w:rPr>
                <w:rFonts w:hint="eastAsia"/>
                <w:b/>
                <w:bCs/>
                <w:kern w:val="1"/>
                <w:sz w:val="28"/>
              </w:rPr>
              <w:t>项目名称：</w:t>
            </w:r>
          </w:p>
        </w:tc>
        <w:tc>
          <w:tcPr>
            <w:tcW w:w="7320" w:type="dxa"/>
            <w:tcBorders>
              <w:top w:val="single" w:color="auto" w:sz="4" w:space="0"/>
              <w:left w:val="single" w:color="auto" w:sz="4" w:space="0"/>
              <w:bottom w:val="single" w:color="auto" w:sz="4" w:space="0"/>
              <w:right w:val="single" w:color="auto" w:sz="4" w:space="0"/>
            </w:tcBorders>
            <w:noWrap w:val="0"/>
            <w:vAlign w:val="center"/>
          </w:tcPr>
          <w:p w14:paraId="49F5AD92">
            <w:pPr>
              <w:rPr>
                <w:rFonts w:hint="eastAsia" w:ascii="宋体" w:hAnsi="宋体" w:cs="宋体"/>
                <w:kern w:val="1"/>
                <w:sz w:val="28"/>
              </w:rPr>
            </w:pPr>
            <w:r>
              <w:rPr>
                <w:rFonts w:hint="eastAsia" w:ascii="宋体" w:hAnsi="宋体" w:cs="宋体"/>
                <w:kern w:val="1"/>
                <w:sz w:val="28"/>
              </w:rPr>
              <w:t>三亚市国家综合货运枢纽补链强链实施效果评估咨询服务</w:t>
            </w:r>
          </w:p>
        </w:tc>
      </w:tr>
      <w:tr w14:paraId="1F46369C">
        <w:tblPrEx>
          <w:tblCellMar>
            <w:top w:w="0" w:type="dxa"/>
            <w:left w:w="108" w:type="dxa"/>
            <w:bottom w:w="0" w:type="dxa"/>
            <w:right w:w="108" w:type="dxa"/>
          </w:tblCellMar>
        </w:tblPrEx>
        <w:trPr>
          <w:trHeight w:val="810" w:hRule="atLeast"/>
        </w:trPr>
        <w:tc>
          <w:tcPr>
            <w:tcW w:w="1680" w:type="dxa"/>
            <w:tcBorders>
              <w:top w:val="single" w:color="auto" w:sz="4" w:space="0"/>
              <w:left w:val="single" w:color="auto" w:sz="4" w:space="0"/>
              <w:bottom w:val="single" w:color="auto" w:sz="4" w:space="0"/>
              <w:right w:val="single" w:color="auto" w:sz="4" w:space="0"/>
            </w:tcBorders>
            <w:noWrap w:val="0"/>
            <w:vAlign w:val="center"/>
          </w:tcPr>
          <w:p w14:paraId="7664FF77">
            <w:pPr>
              <w:rPr>
                <w:b/>
                <w:kern w:val="1"/>
                <w:sz w:val="28"/>
              </w:rPr>
            </w:pPr>
            <w:r>
              <w:rPr>
                <w:rFonts w:hint="eastAsia"/>
                <w:b/>
                <w:kern w:val="1"/>
                <w:sz w:val="28"/>
              </w:rPr>
              <w:t>委托方：</w:t>
            </w:r>
          </w:p>
          <w:p w14:paraId="48725122">
            <w:pPr>
              <w:rPr>
                <w:kern w:val="1"/>
                <w:sz w:val="28"/>
              </w:rPr>
            </w:pPr>
            <w:r>
              <w:rPr>
                <w:rFonts w:hint="eastAsia"/>
                <w:b/>
                <w:bCs/>
                <w:kern w:val="1"/>
                <w:sz w:val="28"/>
              </w:rPr>
              <w:t>（甲方）</w:t>
            </w:r>
          </w:p>
        </w:tc>
        <w:tc>
          <w:tcPr>
            <w:tcW w:w="7320" w:type="dxa"/>
            <w:tcBorders>
              <w:top w:val="single" w:color="auto" w:sz="4" w:space="0"/>
              <w:left w:val="single" w:color="auto" w:sz="4" w:space="0"/>
              <w:bottom w:val="single" w:color="auto" w:sz="4" w:space="0"/>
              <w:right w:val="single" w:color="auto" w:sz="4" w:space="0"/>
            </w:tcBorders>
            <w:noWrap w:val="0"/>
            <w:vAlign w:val="center"/>
          </w:tcPr>
          <w:p w14:paraId="27E85EFA">
            <w:pPr>
              <w:rPr>
                <w:rFonts w:hint="eastAsia" w:ascii="宋体" w:hAnsi="宋体" w:cs="宋体"/>
                <w:kern w:val="1"/>
                <w:sz w:val="28"/>
              </w:rPr>
            </w:pPr>
            <w:r>
              <w:rPr>
                <w:rFonts w:hint="eastAsia" w:ascii="宋体" w:hAnsi="宋体" w:cs="宋体"/>
                <w:kern w:val="1"/>
                <w:sz w:val="28"/>
              </w:rPr>
              <w:t>三亚市交通运输局</w:t>
            </w:r>
          </w:p>
        </w:tc>
      </w:tr>
      <w:tr w14:paraId="056A3D7C">
        <w:tblPrEx>
          <w:tblCellMar>
            <w:top w:w="0" w:type="dxa"/>
            <w:left w:w="108" w:type="dxa"/>
            <w:bottom w:w="0" w:type="dxa"/>
            <w:right w:w="108" w:type="dxa"/>
          </w:tblCellMar>
        </w:tblPrEx>
        <w:trPr>
          <w:trHeight w:val="810" w:hRule="atLeast"/>
        </w:trPr>
        <w:tc>
          <w:tcPr>
            <w:tcW w:w="1680" w:type="dxa"/>
            <w:tcBorders>
              <w:top w:val="single" w:color="auto" w:sz="4" w:space="0"/>
              <w:left w:val="single" w:color="auto" w:sz="4" w:space="0"/>
              <w:bottom w:val="single" w:color="auto" w:sz="4" w:space="0"/>
              <w:right w:val="single" w:color="auto" w:sz="4" w:space="0"/>
            </w:tcBorders>
            <w:noWrap w:val="0"/>
            <w:vAlign w:val="center"/>
          </w:tcPr>
          <w:p w14:paraId="5FE9C67E">
            <w:pPr>
              <w:rPr>
                <w:b/>
                <w:kern w:val="1"/>
                <w:sz w:val="28"/>
              </w:rPr>
            </w:pPr>
            <w:r>
              <w:rPr>
                <w:rFonts w:hint="eastAsia"/>
                <w:b/>
                <w:kern w:val="1"/>
                <w:sz w:val="28"/>
              </w:rPr>
              <w:t>受托方：</w:t>
            </w:r>
          </w:p>
          <w:p w14:paraId="3F11EEB8">
            <w:pPr>
              <w:rPr>
                <w:kern w:val="1"/>
                <w:sz w:val="28"/>
              </w:rPr>
            </w:pPr>
            <w:r>
              <w:rPr>
                <w:rFonts w:hint="eastAsia"/>
                <w:b/>
                <w:bCs/>
                <w:kern w:val="1"/>
                <w:sz w:val="28"/>
              </w:rPr>
              <w:t>（乙方）</w:t>
            </w:r>
          </w:p>
        </w:tc>
        <w:tc>
          <w:tcPr>
            <w:tcW w:w="7320" w:type="dxa"/>
            <w:tcBorders>
              <w:top w:val="single" w:color="auto" w:sz="4" w:space="0"/>
              <w:left w:val="single" w:color="auto" w:sz="4" w:space="0"/>
              <w:bottom w:val="single" w:color="auto" w:sz="4" w:space="0"/>
              <w:right w:val="single" w:color="auto" w:sz="4" w:space="0"/>
            </w:tcBorders>
            <w:noWrap w:val="0"/>
            <w:vAlign w:val="center"/>
          </w:tcPr>
          <w:p w14:paraId="0D2351E4">
            <w:pPr>
              <w:rPr>
                <w:kern w:val="1"/>
                <w:sz w:val="28"/>
              </w:rPr>
            </w:pPr>
          </w:p>
        </w:tc>
      </w:tr>
    </w:tbl>
    <w:p w14:paraId="61D7DA79">
      <w:pPr>
        <w:rPr>
          <w:kern w:val="1"/>
          <w:sz w:val="28"/>
        </w:rPr>
      </w:pPr>
    </w:p>
    <w:p w14:paraId="31C4D9F8">
      <w:pPr>
        <w:rPr>
          <w:kern w:val="1"/>
          <w:sz w:val="28"/>
        </w:rPr>
      </w:pPr>
    </w:p>
    <w:p w14:paraId="2A606DE6">
      <w:pPr>
        <w:rPr>
          <w:kern w:val="1"/>
          <w:sz w:val="28"/>
        </w:rPr>
      </w:pPr>
    </w:p>
    <w:p w14:paraId="267FD53C">
      <w:pPr>
        <w:rPr>
          <w:kern w:val="1"/>
          <w:sz w:val="28"/>
        </w:rPr>
      </w:pPr>
    </w:p>
    <w:p w14:paraId="55FE0CB6">
      <w:pPr>
        <w:rPr>
          <w:kern w:val="1"/>
          <w:sz w:val="28"/>
        </w:rPr>
      </w:pPr>
    </w:p>
    <w:p w14:paraId="2862DE2C">
      <w:pPr>
        <w:rPr>
          <w:kern w:val="1"/>
          <w:sz w:val="28"/>
        </w:rPr>
      </w:pPr>
    </w:p>
    <w:tbl>
      <w:tblPr>
        <w:tblStyle w:val="5"/>
        <w:tblW w:w="0" w:type="auto"/>
        <w:tblInd w:w="108" w:type="dxa"/>
        <w:tblLayout w:type="fixed"/>
        <w:tblCellMar>
          <w:top w:w="0" w:type="dxa"/>
          <w:left w:w="108" w:type="dxa"/>
          <w:bottom w:w="0" w:type="dxa"/>
          <w:right w:w="108" w:type="dxa"/>
        </w:tblCellMar>
      </w:tblPr>
      <w:tblGrid>
        <w:gridCol w:w="1788"/>
        <w:gridCol w:w="6593"/>
      </w:tblGrid>
      <w:tr w14:paraId="737DFA0D">
        <w:tblPrEx>
          <w:tblCellMar>
            <w:top w:w="0" w:type="dxa"/>
            <w:left w:w="108" w:type="dxa"/>
            <w:bottom w:w="0" w:type="dxa"/>
            <w:right w:w="108" w:type="dxa"/>
          </w:tblCellMar>
        </w:tblPrEx>
        <w:trPr>
          <w:trHeight w:val="540" w:hRule="atLeast"/>
        </w:trPr>
        <w:tc>
          <w:tcPr>
            <w:tcW w:w="1788" w:type="dxa"/>
            <w:noWrap w:val="0"/>
            <w:vAlign w:val="center"/>
          </w:tcPr>
          <w:p w14:paraId="3C98F851">
            <w:pPr>
              <w:rPr>
                <w:kern w:val="1"/>
                <w:sz w:val="28"/>
              </w:rPr>
            </w:pPr>
            <w:r>
              <w:rPr>
                <w:rFonts w:hint="eastAsia"/>
                <w:b/>
                <w:bCs/>
                <w:kern w:val="1"/>
                <w:sz w:val="28"/>
              </w:rPr>
              <w:t>签订地点：</w:t>
            </w:r>
          </w:p>
        </w:tc>
        <w:tc>
          <w:tcPr>
            <w:tcW w:w="6593" w:type="dxa"/>
            <w:noWrap w:val="0"/>
            <w:vAlign w:val="center"/>
          </w:tcPr>
          <w:p w14:paraId="45CCE9C9">
            <w:pPr>
              <w:rPr>
                <w:kern w:val="1"/>
                <w:sz w:val="28"/>
              </w:rPr>
            </w:pPr>
            <w:r>
              <w:rPr>
                <w:rFonts w:hint="eastAsia" w:ascii="宋体" w:hAnsi="宋体" w:cs="宋体"/>
                <w:kern w:val="1"/>
                <w:sz w:val="28"/>
              </w:rPr>
              <w:t>三亚市</w:t>
            </w:r>
          </w:p>
        </w:tc>
      </w:tr>
      <w:tr w14:paraId="64B72CC6">
        <w:tblPrEx>
          <w:tblCellMar>
            <w:top w:w="0" w:type="dxa"/>
            <w:left w:w="108" w:type="dxa"/>
            <w:bottom w:w="0" w:type="dxa"/>
            <w:right w:w="108" w:type="dxa"/>
          </w:tblCellMar>
        </w:tblPrEx>
        <w:trPr>
          <w:trHeight w:val="540" w:hRule="atLeast"/>
        </w:trPr>
        <w:tc>
          <w:tcPr>
            <w:tcW w:w="1788" w:type="dxa"/>
            <w:noWrap w:val="0"/>
            <w:vAlign w:val="center"/>
          </w:tcPr>
          <w:p w14:paraId="46D4B819">
            <w:pPr>
              <w:rPr>
                <w:kern w:val="1"/>
                <w:sz w:val="28"/>
              </w:rPr>
            </w:pPr>
            <w:r>
              <w:rPr>
                <w:rFonts w:hint="eastAsia"/>
                <w:b/>
                <w:bCs/>
                <w:kern w:val="1"/>
                <w:sz w:val="28"/>
              </w:rPr>
              <w:t>签订日期：</w:t>
            </w:r>
          </w:p>
        </w:tc>
        <w:tc>
          <w:tcPr>
            <w:tcW w:w="6593" w:type="dxa"/>
            <w:noWrap w:val="0"/>
            <w:vAlign w:val="center"/>
          </w:tcPr>
          <w:p w14:paraId="361ABB3D">
            <w:pPr>
              <w:rPr>
                <w:kern w:val="1"/>
                <w:sz w:val="28"/>
              </w:rPr>
            </w:pPr>
          </w:p>
        </w:tc>
      </w:tr>
      <w:tr w14:paraId="57306724">
        <w:tblPrEx>
          <w:tblCellMar>
            <w:top w:w="0" w:type="dxa"/>
            <w:left w:w="108" w:type="dxa"/>
            <w:bottom w:w="0" w:type="dxa"/>
            <w:right w:w="108" w:type="dxa"/>
          </w:tblCellMar>
        </w:tblPrEx>
        <w:trPr>
          <w:trHeight w:val="540" w:hRule="atLeast"/>
        </w:trPr>
        <w:tc>
          <w:tcPr>
            <w:tcW w:w="1788" w:type="dxa"/>
            <w:noWrap w:val="0"/>
            <w:vAlign w:val="center"/>
          </w:tcPr>
          <w:p w14:paraId="5025A4B0">
            <w:pPr>
              <w:rPr>
                <w:kern w:val="1"/>
                <w:sz w:val="28"/>
              </w:rPr>
            </w:pPr>
            <w:r>
              <w:rPr>
                <w:rFonts w:hint="eastAsia"/>
                <w:b/>
                <w:bCs/>
                <w:kern w:val="1"/>
                <w:sz w:val="28"/>
              </w:rPr>
              <w:t>履行期限：</w:t>
            </w:r>
          </w:p>
        </w:tc>
        <w:tc>
          <w:tcPr>
            <w:tcW w:w="6593" w:type="dxa"/>
            <w:noWrap w:val="0"/>
            <w:vAlign w:val="center"/>
          </w:tcPr>
          <w:p w14:paraId="2DE68F0D">
            <w:pPr>
              <w:rPr>
                <w:rFonts w:hint="eastAsia" w:eastAsia="宋体"/>
                <w:kern w:val="1"/>
                <w:sz w:val="28"/>
                <w:lang w:eastAsia="zh-CN"/>
              </w:rPr>
            </w:pPr>
            <w:r>
              <w:rPr>
                <w:rFonts w:hint="eastAsia"/>
                <w:kern w:val="1"/>
                <w:sz w:val="28"/>
                <w:lang w:val="en-US" w:eastAsia="zh-CN"/>
              </w:rPr>
              <w:t>三年</w:t>
            </w:r>
          </w:p>
        </w:tc>
      </w:tr>
    </w:tbl>
    <w:p w14:paraId="12C7E7F5">
      <w:pPr>
        <w:rPr>
          <w:kern w:val="1"/>
          <w:sz w:val="28"/>
        </w:rPr>
      </w:pPr>
    </w:p>
    <w:p w14:paraId="6729D6FC">
      <w:pPr>
        <w:jc w:val="center"/>
        <w:rPr>
          <w:kern w:val="1"/>
          <w:sz w:val="28"/>
        </w:rPr>
      </w:pPr>
    </w:p>
    <w:p w14:paraId="7F9FE784">
      <w:pPr>
        <w:jc w:val="center"/>
        <w:rPr>
          <w:rFonts w:eastAsia="楷体_GB2312"/>
          <w:b/>
          <w:kern w:val="1"/>
          <w:sz w:val="28"/>
        </w:rPr>
        <w:sectPr>
          <w:headerReference r:id="rId3" w:type="default"/>
          <w:footerReference r:id="rId4" w:type="default"/>
          <w:pgSz w:w="11907" w:h="16840"/>
          <w:pgMar w:top="1871" w:right="1134" w:bottom="1134" w:left="1134" w:header="851" w:footer="992" w:gutter="0"/>
          <w:pgNumType w:start="1"/>
          <w:cols w:space="720" w:num="1"/>
        </w:sectPr>
      </w:pPr>
    </w:p>
    <w:tbl>
      <w:tblPr>
        <w:tblStyle w:val="5"/>
        <w:tblW w:w="9855" w:type="dxa"/>
        <w:jc w:val="center"/>
        <w:tblLayout w:type="fixed"/>
        <w:tblCellMar>
          <w:top w:w="0" w:type="dxa"/>
          <w:left w:w="108" w:type="dxa"/>
          <w:bottom w:w="0" w:type="dxa"/>
          <w:right w:w="108" w:type="dxa"/>
        </w:tblCellMar>
      </w:tblPr>
      <w:tblGrid>
        <w:gridCol w:w="828"/>
        <w:gridCol w:w="1800"/>
        <w:gridCol w:w="1625"/>
        <w:gridCol w:w="67"/>
        <w:gridCol w:w="628"/>
        <w:gridCol w:w="87"/>
        <w:gridCol w:w="699"/>
        <w:gridCol w:w="1574"/>
        <w:gridCol w:w="2340"/>
        <w:gridCol w:w="207"/>
      </w:tblGrid>
      <w:tr w14:paraId="68132A4F">
        <w:tblPrEx>
          <w:tblCellMar>
            <w:top w:w="0" w:type="dxa"/>
            <w:left w:w="108" w:type="dxa"/>
            <w:bottom w:w="0" w:type="dxa"/>
            <w:right w:w="108" w:type="dxa"/>
          </w:tblCellMar>
        </w:tblPrEx>
        <w:trPr>
          <w:trHeight w:val="31680" w:hRule="atLeast"/>
          <w:jc w:val="center"/>
        </w:trPr>
        <w:tc>
          <w:tcPr>
            <w:tcW w:w="9855" w:type="dxa"/>
            <w:gridSpan w:val="10"/>
            <w:tcBorders>
              <w:top w:val="single" w:color="000000" w:sz="4" w:space="0"/>
              <w:left w:val="single" w:color="000000" w:sz="4" w:space="0"/>
              <w:bottom w:val="single" w:color="000000" w:sz="4" w:space="0"/>
              <w:right w:val="single" w:color="000000" w:sz="4" w:space="0"/>
            </w:tcBorders>
            <w:noWrap w:val="0"/>
            <w:vAlign w:val="top"/>
          </w:tcPr>
          <w:p w14:paraId="46412D3F">
            <w:pPr>
              <w:spacing w:line="360" w:lineRule="auto"/>
              <w:ind w:firstLine="560" w:firstLineChars="200"/>
              <w:rPr>
                <w:rFonts w:hint="eastAsia" w:ascii="宋体" w:hAnsi="宋体" w:cs="宋体"/>
                <w:kern w:val="1"/>
                <w:sz w:val="28"/>
                <w:szCs w:val="28"/>
              </w:rPr>
            </w:pPr>
            <w:r>
              <w:rPr>
                <w:rFonts w:hint="eastAsia" w:eastAsia="仿宋_GB2312"/>
                <w:kern w:val="1"/>
                <w:sz w:val="28"/>
                <w:szCs w:val="28"/>
              </w:rPr>
              <w:t>依据</w:t>
            </w:r>
            <w:r>
              <w:rPr>
                <w:rFonts w:hint="eastAsia" w:ascii="仿宋" w:hAnsi="仿宋" w:eastAsia="仿宋" w:cs="仿宋"/>
                <w:sz w:val="28"/>
                <w:szCs w:val="28"/>
              </w:rPr>
              <w:t>《民法典》之《合同编》</w:t>
            </w:r>
            <w:r>
              <w:rPr>
                <w:rFonts w:hint="eastAsia" w:eastAsia="仿宋_GB2312"/>
                <w:kern w:val="1"/>
                <w:sz w:val="28"/>
                <w:szCs w:val="28"/>
              </w:rPr>
              <w:t>的规定，合同各方就</w:t>
            </w:r>
            <w:r>
              <w:rPr>
                <w:rFonts w:hint="eastAsia" w:eastAsia="仿宋_GB2312"/>
                <w:kern w:val="1"/>
                <w:sz w:val="28"/>
                <w:szCs w:val="28"/>
                <w:u w:val="single"/>
              </w:rPr>
              <w:t>三亚市国家综合货运枢纽补链强链实施效果评估咨询服务</w:t>
            </w:r>
            <w:r>
              <w:rPr>
                <w:rFonts w:hint="eastAsia" w:eastAsia="仿宋_GB2312"/>
                <w:kern w:val="1"/>
                <w:sz w:val="28"/>
                <w:szCs w:val="28"/>
              </w:rPr>
              <w:t>项目，经协商一致，签订本合同。</w:t>
            </w:r>
          </w:p>
          <w:p w14:paraId="77219C6F">
            <w:pPr>
              <w:spacing w:line="360" w:lineRule="auto"/>
              <w:ind w:firstLine="562" w:firstLineChars="200"/>
              <w:rPr>
                <w:rFonts w:eastAsia="仿宋_GB2312"/>
                <w:b/>
                <w:kern w:val="1"/>
                <w:sz w:val="28"/>
              </w:rPr>
            </w:pPr>
            <w:r>
              <w:rPr>
                <w:rFonts w:hint="eastAsia" w:eastAsia="仿宋_GB2312"/>
                <w:b/>
                <w:kern w:val="1"/>
                <w:sz w:val="28"/>
              </w:rPr>
              <w:t>一、服务内容、方式和要求</w:t>
            </w:r>
          </w:p>
          <w:p w14:paraId="66255041">
            <w:pPr>
              <w:spacing w:line="360" w:lineRule="auto"/>
              <w:ind w:firstLine="562" w:firstLineChars="200"/>
              <w:rPr>
                <w:rFonts w:eastAsia="仿宋_GB2312"/>
                <w:b/>
                <w:kern w:val="1"/>
                <w:sz w:val="28"/>
              </w:rPr>
            </w:pPr>
            <w:r>
              <w:rPr>
                <w:rFonts w:hint="eastAsia" w:eastAsia="仿宋_GB2312"/>
                <w:b/>
                <w:kern w:val="1"/>
                <w:sz w:val="28"/>
              </w:rPr>
              <w:t>（一）服务内容、方式</w:t>
            </w:r>
          </w:p>
          <w:p w14:paraId="39DE5B30">
            <w:pPr>
              <w:spacing w:line="360" w:lineRule="auto"/>
              <w:ind w:firstLine="562" w:firstLineChars="200"/>
              <w:rPr>
                <w:rFonts w:eastAsia="仿宋_GB2312"/>
                <w:kern w:val="1"/>
                <w:sz w:val="28"/>
              </w:rPr>
            </w:pPr>
            <w:r>
              <w:rPr>
                <w:rFonts w:hint="eastAsia" w:eastAsia="仿宋_GB2312"/>
                <w:b/>
                <w:kern w:val="1"/>
                <w:sz w:val="28"/>
              </w:rPr>
              <w:t>1．主要研究内容</w:t>
            </w:r>
          </w:p>
          <w:p w14:paraId="3C9DFC2B">
            <w:pPr>
              <w:spacing w:line="360" w:lineRule="auto"/>
              <w:ind w:firstLine="560" w:firstLineChars="200"/>
              <w:rPr>
                <w:rFonts w:eastAsia="仿宋_GB2312"/>
                <w:kern w:val="1"/>
                <w:sz w:val="28"/>
              </w:rPr>
            </w:pPr>
            <w:r>
              <w:rPr>
                <w:rFonts w:hint="eastAsia" w:eastAsia="仿宋_GB2312"/>
                <w:kern w:val="1"/>
                <w:sz w:val="28"/>
              </w:rPr>
              <w:t>根据《交通运输部 财政部关于支持国家综合货运枢纽补链强链的通知》（财建〔2022〕219号）《交通运输部办公厅 财政部办公厅关于做好国家综合货运枢纽补链强链工作的通知》（交办规划〔2022〕34号）等文件要求，开展2024、2025、2026年三亚市国家综合货运枢纽补链强链工作绩效评价工作。甲、乙双方分工如下：</w:t>
            </w:r>
          </w:p>
          <w:p w14:paraId="51F044BB">
            <w:pPr>
              <w:spacing w:line="360" w:lineRule="auto"/>
              <w:ind w:firstLine="560" w:firstLineChars="200"/>
              <w:rPr>
                <w:rFonts w:eastAsia="仿宋_GB2312"/>
                <w:kern w:val="1"/>
                <w:sz w:val="28"/>
              </w:rPr>
            </w:pPr>
            <w:r>
              <w:rPr>
                <w:rFonts w:hint="eastAsia" w:eastAsia="仿宋_GB2312"/>
                <w:kern w:val="1"/>
                <w:sz w:val="28"/>
              </w:rPr>
              <w:t>甲方负责牵头组织调度绩效评价工作和推进三亚补链强链具体工作，负责向市政府和省交通运输厅请示汇报工作和协调工作事项，组织财政、发改等市属有关部门和企业研究绩效评价工作中的重要事项，协调解决绩效评价工作中的遇到的问题和困难。</w:t>
            </w:r>
          </w:p>
          <w:p w14:paraId="1620856D">
            <w:pPr>
              <w:spacing w:line="360" w:lineRule="auto"/>
              <w:ind w:firstLine="560" w:firstLineChars="200"/>
              <w:rPr>
                <w:rFonts w:eastAsia="仿宋_GB2312"/>
                <w:kern w:val="1"/>
                <w:sz w:val="28"/>
              </w:rPr>
            </w:pPr>
            <w:r>
              <w:rPr>
                <w:rFonts w:hint="eastAsia" w:eastAsia="仿宋_GB2312"/>
                <w:kern w:val="1"/>
                <w:sz w:val="28"/>
              </w:rPr>
              <w:t>乙方负责向甲方提出收集工作文件和证明资料的要求，参加调研、座谈等活动，按要求编制和提交《三亚市国家综合货运枢纽补链强链实施方案年度工作报告》和《绩效评价证明材料汇编》，协助甲方做好三亚市国家综合货运枢纽补链强链绩效评价涉及的项目管理、资金管理，以及迎接交通运输部、财政部的实地检查验收的准备工作，提供政策解答和与交通运输部、省交通运输厅、海口方面的对接沟通等技术支持服务。</w:t>
            </w:r>
          </w:p>
          <w:p w14:paraId="302F2A35">
            <w:pPr>
              <w:spacing w:line="360" w:lineRule="auto"/>
              <w:ind w:firstLine="562" w:firstLineChars="200"/>
              <w:rPr>
                <w:rFonts w:eastAsia="仿宋_GB2312"/>
                <w:b/>
                <w:kern w:val="1"/>
                <w:sz w:val="28"/>
              </w:rPr>
            </w:pPr>
            <w:r>
              <w:rPr>
                <w:rFonts w:hint="eastAsia" w:eastAsia="仿宋_GB2312"/>
                <w:b/>
                <w:kern w:val="1"/>
                <w:sz w:val="28"/>
              </w:rPr>
              <w:t>2．提交成果的方式</w:t>
            </w:r>
          </w:p>
          <w:p w14:paraId="32362C0A">
            <w:pPr>
              <w:spacing w:line="360" w:lineRule="auto"/>
              <w:ind w:firstLine="560" w:firstLineChars="200"/>
              <w:rPr>
                <w:rFonts w:eastAsia="仿宋_GB2312"/>
                <w:kern w:val="1"/>
                <w:sz w:val="28"/>
              </w:rPr>
            </w:pPr>
            <w:r>
              <w:rPr>
                <w:rFonts w:hint="eastAsia" w:eastAsia="仿宋_GB2312"/>
                <w:kern w:val="1"/>
                <w:sz w:val="28"/>
              </w:rPr>
              <w:t>按照交通运输部有关要求，乙方按时提交2024年、2025年、2026年三亚市国家综合货运枢纽补链强链实施方案年度工作报告、绩效评价证明材料汇编文件。</w:t>
            </w:r>
          </w:p>
          <w:p w14:paraId="6422C9A6">
            <w:pPr>
              <w:spacing w:line="360" w:lineRule="auto"/>
              <w:ind w:firstLine="562" w:firstLineChars="200"/>
              <w:rPr>
                <w:rFonts w:eastAsia="仿宋_GB2312"/>
                <w:b/>
                <w:kern w:val="1"/>
                <w:sz w:val="28"/>
              </w:rPr>
            </w:pPr>
            <w:r>
              <w:rPr>
                <w:rFonts w:hint="eastAsia" w:eastAsia="仿宋_GB2312"/>
                <w:b/>
                <w:kern w:val="1"/>
                <w:sz w:val="28"/>
              </w:rPr>
              <w:t>（二）研究进度安排</w:t>
            </w:r>
          </w:p>
          <w:p w14:paraId="2EAC7F54">
            <w:pPr>
              <w:spacing w:line="360" w:lineRule="auto"/>
              <w:ind w:firstLine="560" w:firstLineChars="200"/>
              <w:rPr>
                <w:rFonts w:eastAsia="仿宋_GB2312"/>
                <w:color w:val="000000" w:themeColor="text1"/>
                <w:kern w:val="1"/>
                <w:sz w:val="28"/>
                <w14:textFill>
                  <w14:solidFill>
                    <w14:schemeClr w14:val="tx1"/>
                  </w14:solidFill>
                </w14:textFill>
              </w:rPr>
            </w:pPr>
            <w:r>
              <w:rPr>
                <w:rFonts w:hint="eastAsia" w:eastAsia="仿宋_GB2312"/>
                <w:kern w:val="1"/>
                <w:sz w:val="28"/>
              </w:rPr>
              <w:t>本研究工作时</w:t>
            </w:r>
            <w:r>
              <w:rPr>
                <w:rFonts w:hint="eastAsia" w:eastAsia="仿宋_GB2312"/>
                <w:color w:val="000000" w:themeColor="text1"/>
                <w:kern w:val="1"/>
                <w:sz w:val="28"/>
                <w14:textFill>
                  <w14:solidFill>
                    <w14:schemeClr w14:val="tx1"/>
                  </w14:solidFill>
                </w14:textFill>
              </w:rPr>
              <w:t>间自2025年</w:t>
            </w:r>
            <w:r>
              <w:rPr>
                <w:rFonts w:hint="eastAsia" w:eastAsia="仿宋_GB2312"/>
                <w:color w:val="000000" w:themeColor="text1"/>
                <w:kern w:val="1"/>
                <w:sz w:val="28"/>
                <w:lang w:val="en-US" w:eastAsia="zh-CN"/>
                <w14:textFill>
                  <w14:solidFill>
                    <w14:schemeClr w14:val="tx1"/>
                  </w14:solidFill>
                </w14:textFill>
              </w:rPr>
              <w:t>3</w:t>
            </w:r>
            <w:r>
              <w:rPr>
                <w:rFonts w:hint="eastAsia" w:eastAsia="仿宋_GB2312"/>
                <w:color w:val="000000" w:themeColor="text1"/>
                <w:kern w:val="1"/>
                <w:sz w:val="28"/>
                <w14:textFill>
                  <w14:solidFill>
                    <w14:schemeClr w14:val="tx1"/>
                  </w14:solidFill>
                </w14:textFill>
              </w:rPr>
              <w:t>月开始至2028年</w:t>
            </w:r>
            <w:r>
              <w:rPr>
                <w:rFonts w:hint="eastAsia" w:eastAsia="仿宋_GB2312"/>
                <w:color w:val="000000" w:themeColor="text1"/>
                <w:kern w:val="1"/>
                <w:sz w:val="28"/>
                <w:lang w:eastAsia="zh-CN"/>
                <w14:textFill>
                  <w14:solidFill>
                    <w14:schemeClr w14:val="tx1"/>
                  </w14:solidFill>
                </w14:textFill>
              </w:rPr>
              <w:t>3</w:t>
            </w:r>
            <w:r>
              <w:rPr>
                <w:rFonts w:hint="eastAsia" w:eastAsia="仿宋_GB2312"/>
                <w:color w:val="000000" w:themeColor="text1"/>
                <w:kern w:val="1"/>
                <w:sz w:val="28"/>
                <w14:textFill>
                  <w14:solidFill>
                    <w14:schemeClr w14:val="tx1"/>
                  </w14:solidFill>
                </w14:textFill>
              </w:rPr>
              <w:t>月，整个报告撰写工作分为三个阶段：</w:t>
            </w:r>
          </w:p>
          <w:p w14:paraId="65FDC735">
            <w:pPr>
              <w:spacing w:line="360" w:lineRule="auto"/>
              <w:ind w:firstLine="560" w:firstLineChars="200"/>
              <w:rPr>
                <w:rFonts w:eastAsia="仿宋_GB2312"/>
                <w:color w:val="000000" w:themeColor="text1"/>
                <w:kern w:val="1"/>
                <w:sz w:val="28"/>
                <w14:textFill>
                  <w14:solidFill>
                    <w14:schemeClr w14:val="tx1"/>
                  </w14:solidFill>
                </w14:textFill>
              </w:rPr>
            </w:pPr>
            <w:r>
              <w:rPr>
                <w:rFonts w:hint="eastAsia" w:eastAsia="仿宋_GB2312"/>
                <w:color w:val="000000" w:themeColor="text1"/>
                <w:kern w:val="1"/>
                <w:sz w:val="28"/>
                <w14:textFill>
                  <w14:solidFill>
                    <w14:schemeClr w14:val="tx1"/>
                  </w14:solidFill>
                </w14:textFill>
              </w:rPr>
              <w:t>1．</w:t>
            </w:r>
            <w:r>
              <w:rPr>
                <w:rFonts w:eastAsia="仿宋_GB2312"/>
                <w:color w:val="000000" w:themeColor="text1"/>
                <w:kern w:val="1"/>
                <w:sz w:val="28"/>
                <w14:textFill>
                  <w14:solidFill>
                    <w14:schemeClr w14:val="tx1"/>
                  </w14:solidFill>
                </w14:textFill>
              </w:rPr>
              <w:t>202</w:t>
            </w:r>
            <w:r>
              <w:rPr>
                <w:rFonts w:hint="eastAsia" w:eastAsia="仿宋_GB2312"/>
                <w:color w:val="000000" w:themeColor="text1"/>
                <w:kern w:val="1"/>
                <w:sz w:val="28"/>
                <w14:textFill>
                  <w14:solidFill>
                    <w14:schemeClr w14:val="tx1"/>
                  </w14:solidFill>
                </w14:textFill>
              </w:rPr>
              <w:t>5年</w:t>
            </w:r>
            <w:r>
              <w:rPr>
                <w:rFonts w:hint="eastAsia" w:eastAsia="仿宋_GB2312"/>
                <w:color w:val="000000" w:themeColor="text1"/>
                <w:kern w:val="1"/>
                <w:sz w:val="28"/>
                <w:lang w:val="en-US" w:eastAsia="zh-CN"/>
                <w14:textFill>
                  <w14:solidFill>
                    <w14:schemeClr w14:val="tx1"/>
                  </w14:solidFill>
                </w14:textFill>
              </w:rPr>
              <w:t>3</w:t>
            </w:r>
            <w:r>
              <w:rPr>
                <w:rFonts w:hint="eastAsia" w:eastAsia="仿宋_GB2312"/>
                <w:color w:val="000000" w:themeColor="text1"/>
                <w:kern w:val="1"/>
                <w:sz w:val="28"/>
                <w14:textFill>
                  <w14:solidFill>
                    <w14:schemeClr w14:val="tx1"/>
                  </w14:solidFill>
                </w14:textFill>
              </w:rPr>
              <w:t>月—2025年12月31日</w:t>
            </w:r>
          </w:p>
          <w:p w14:paraId="6B81518E">
            <w:pPr>
              <w:spacing w:line="360" w:lineRule="auto"/>
              <w:ind w:firstLine="560" w:firstLineChars="200"/>
              <w:rPr>
                <w:rFonts w:eastAsia="仿宋_GB2312"/>
                <w:color w:val="000000" w:themeColor="text1"/>
                <w:kern w:val="1"/>
                <w:sz w:val="28"/>
                <w14:textFill>
                  <w14:solidFill>
                    <w14:schemeClr w14:val="tx1"/>
                  </w14:solidFill>
                </w14:textFill>
              </w:rPr>
            </w:pPr>
            <w:r>
              <w:rPr>
                <w:rFonts w:hint="eastAsia" w:eastAsia="仿宋_GB2312"/>
                <w:color w:val="000000" w:themeColor="text1"/>
                <w:kern w:val="1"/>
                <w:sz w:val="28"/>
                <w14:textFill>
                  <w14:solidFill>
                    <w14:schemeClr w14:val="tx1"/>
                  </w14:solidFill>
                </w14:textFill>
              </w:rPr>
              <w:t>乙方开展调研、收集整理分析调研资料，提交《三亚市国家综合货运枢纽补链强链实施方案2024年年度工作报告》和</w:t>
            </w:r>
            <w:r>
              <w:rPr>
                <w:rFonts w:hint="eastAsia" w:eastAsia="仿宋_GB2312"/>
                <w:color w:val="000000" w:themeColor="text1"/>
                <w:sz w:val="28"/>
                <w:szCs w:val="28"/>
                <w14:textFill>
                  <w14:solidFill>
                    <w14:schemeClr w14:val="tx1"/>
                  </w14:solidFill>
                </w14:textFill>
              </w:rPr>
              <w:t>《绩效评价证明材料汇编》</w:t>
            </w:r>
            <w:r>
              <w:rPr>
                <w:rFonts w:hint="eastAsia" w:eastAsia="仿宋_GB2312"/>
                <w:color w:val="000000" w:themeColor="text1"/>
                <w:kern w:val="1"/>
                <w:sz w:val="28"/>
                <w14:textFill>
                  <w14:solidFill>
                    <w14:schemeClr w14:val="tx1"/>
                  </w14:solidFill>
                </w14:textFill>
              </w:rPr>
              <w:t>。具体时间进度安排以交通运输部、财政部相关工作通知为准。</w:t>
            </w:r>
          </w:p>
          <w:p w14:paraId="4218E1B9">
            <w:pPr>
              <w:spacing w:line="360" w:lineRule="auto"/>
              <w:ind w:firstLine="560" w:firstLineChars="200"/>
              <w:rPr>
                <w:rFonts w:eastAsia="仿宋_GB2312"/>
                <w:color w:val="000000" w:themeColor="text1"/>
                <w:kern w:val="1"/>
                <w:sz w:val="28"/>
                <w14:textFill>
                  <w14:solidFill>
                    <w14:schemeClr w14:val="tx1"/>
                  </w14:solidFill>
                </w14:textFill>
              </w:rPr>
            </w:pPr>
            <w:r>
              <w:rPr>
                <w:rFonts w:hint="eastAsia" w:eastAsia="仿宋_GB2312"/>
                <w:color w:val="000000" w:themeColor="text1"/>
                <w:kern w:val="1"/>
                <w:sz w:val="28"/>
                <w14:textFill>
                  <w14:solidFill>
                    <w14:schemeClr w14:val="tx1"/>
                  </w14:solidFill>
                </w14:textFill>
              </w:rPr>
              <w:t>2．2026年1月1日—2026年12月31日</w:t>
            </w:r>
          </w:p>
          <w:p w14:paraId="384B47C1">
            <w:pPr>
              <w:spacing w:line="360" w:lineRule="auto"/>
              <w:ind w:firstLine="560" w:firstLineChars="200"/>
              <w:rPr>
                <w:rFonts w:eastAsia="仿宋_GB2312"/>
                <w:color w:val="000000" w:themeColor="text1"/>
                <w:kern w:val="1"/>
                <w:sz w:val="28"/>
                <w14:textFill>
                  <w14:solidFill>
                    <w14:schemeClr w14:val="tx1"/>
                  </w14:solidFill>
                </w14:textFill>
              </w:rPr>
            </w:pPr>
            <w:r>
              <w:rPr>
                <w:rFonts w:hint="eastAsia" w:eastAsia="仿宋_GB2312"/>
                <w:color w:val="000000" w:themeColor="text1"/>
                <w:kern w:val="1"/>
                <w:sz w:val="28"/>
                <w14:textFill>
                  <w14:solidFill>
                    <w14:schemeClr w14:val="tx1"/>
                  </w14:solidFill>
                </w14:textFill>
              </w:rPr>
              <w:t>乙方开展调研、收集整理分析调研资料，提交《三亚市国家综合货运枢纽补链强链实施方案2025年年度工作报告》和</w:t>
            </w:r>
            <w:r>
              <w:rPr>
                <w:rFonts w:hint="eastAsia" w:eastAsia="仿宋_GB2312"/>
                <w:color w:val="000000" w:themeColor="text1"/>
                <w:sz w:val="28"/>
                <w:szCs w:val="28"/>
                <w14:textFill>
                  <w14:solidFill>
                    <w14:schemeClr w14:val="tx1"/>
                  </w14:solidFill>
                </w14:textFill>
              </w:rPr>
              <w:t>《绩效评价证明材料汇编》</w:t>
            </w:r>
            <w:r>
              <w:rPr>
                <w:rFonts w:hint="eastAsia" w:eastAsia="仿宋_GB2312"/>
                <w:color w:val="000000" w:themeColor="text1"/>
                <w:kern w:val="1"/>
                <w:sz w:val="28"/>
                <w14:textFill>
                  <w14:solidFill>
                    <w14:schemeClr w14:val="tx1"/>
                  </w14:solidFill>
                </w14:textFill>
              </w:rPr>
              <w:t>。具体时间进度安排以交通运输部、财政部相关工作通知为准。</w:t>
            </w:r>
          </w:p>
          <w:p w14:paraId="0D83FFD0">
            <w:pPr>
              <w:spacing w:line="360" w:lineRule="auto"/>
              <w:ind w:firstLine="560" w:firstLineChars="200"/>
              <w:rPr>
                <w:rFonts w:eastAsia="仿宋_GB2312"/>
                <w:color w:val="000000" w:themeColor="text1"/>
                <w:kern w:val="1"/>
                <w:sz w:val="28"/>
                <w14:textFill>
                  <w14:solidFill>
                    <w14:schemeClr w14:val="tx1"/>
                  </w14:solidFill>
                </w14:textFill>
              </w:rPr>
            </w:pPr>
            <w:r>
              <w:rPr>
                <w:rFonts w:hint="eastAsia" w:eastAsia="仿宋_GB2312"/>
                <w:color w:val="000000" w:themeColor="text1"/>
                <w:kern w:val="1"/>
                <w:sz w:val="28"/>
                <w14:textFill>
                  <w14:solidFill>
                    <w14:schemeClr w14:val="tx1"/>
                  </w14:solidFill>
                </w14:textFill>
              </w:rPr>
              <w:t>3．2027年1月1日—2028年</w:t>
            </w:r>
            <w:r>
              <w:rPr>
                <w:rFonts w:hint="eastAsia" w:eastAsia="仿宋_GB2312"/>
                <w:color w:val="000000" w:themeColor="text1"/>
                <w:kern w:val="1"/>
                <w:sz w:val="28"/>
                <w:lang w:val="en-US" w:eastAsia="zh-CN"/>
                <w14:textFill>
                  <w14:solidFill>
                    <w14:schemeClr w14:val="tx1"/>
                  </w14:solidFill>
                </w14:textFill>
              </w:rPr>
              <w:t>3</w:t>
            </w:r>
            <w:r>
              <w:rPr>
                <w:rFonts w:hint="eastAsia" w:eastAsia="仿宋_GB2312"/>
                <w:color w:val="000000" w:themeColor="text1"/>
                <w:kern w:val="1"/>
                <w:sz w:val="28"/>
                <w14:textFill>
                  <w14:solidFill>
                    <w14:schemeClr w14:val="tx1"/>
                  </w14:solidFill>
                </w14:textFill>
              </w:rPr>
              <w:t>月</w:t>
            </w:r>
            <w:r>
              <w:rPr>
                <w:rFonts w:hint="eastAsia" w:eastAsia="仿宋_GB2312"/>
                <w:color w:val="000000" w:themeColor="text1"/>
                <w:kern w:val="1"/>
                <w:sz w:val="28"/>
                <w:lang w:eastAsia="zh-CN"/>
                <w14:textFill>
                  <w14:solidFill>
                    <w14:schemeClr w14:val="tx1"/>
                  </w14:solidFill>
                </w14:textFill>
              </w:rPr>
              <w:t>X</w:t>
            </w:r>
            <w:r>
              <w:rPr>
                <w:rFonts w:hint="eastAsia" w:eastAsia="仿宋_GB2312"/>
                <w:color w:val="000000" w:themeColor="text1"/>
                <w:kern w:val="1"/>
                <w:sz w:val="28"/>
                <w14:textFill>
                  <w14:solidFill>
                    <w14:schemeClr w14:val="tx1"/>
                  </w14:solidFill>
                </w14:textFill>
              </w:rPr>
              <w:t>日</w:t>
            </w:r>
          </w:p>
          <w:p w14:paraId="57CC2763">
            <w:pPr>
              <w:spacing w:line="360" w:lineRule="auto"/>
              <w:ind w:firstLine="560" w:firstLineChars="200"/>
              <w:rPr>
                <w:rFonts w:eastAsia="仿宋_GB2312"/>
                <w:kern w:val="1"/>
                <w:sz w:val="28"/>
              </w:rPr>
            </w:pPr>
            <w:r>
              <w:rPr>
                <w:rFonts w:hint="eastAsia" w:eastAsia="仿宋_GB2312"/>
                <w:kern w:val="1"/>
                <w:sz w:val="28"/>
              </w:rPr>
              <w:t>乙方开展调研、收集整理分析调研资料，提交《三亚市国家综合货运枢纽补链强链实施方案2026年年度工作报告》和</w:t>
            </w:r>
            <w:r>
              <w:rPr>
                <w:rFonts w:hint="eastAsia" w:eastAsia="仿宋_GB2312"/>
                <w:sz w:val="28"/>
                <w:szCs w:val="28"/>
              </w:rPr>
              <w:t>《绩效评价证明材料汇编》</w:t>
            </w:r>
            <w:r>
              <w:rPr>
                <w:rFonts w:hint="eastAsia" w:eastAsia="仿宋_GB2312"/>
                <w:kern w:val="1"/>
                <w:sz w:val="28"/>
              </w:rPr>
              <w:t>。具体时间进度安排以交通运输部、财政部相关工作通知为准。</w:t>
            </w:r>
          </w:p>
          <w:p w14:paraId="080F6654">
            <w:pPr>
              <w:spacing w:line="360" w:lineRule="auto"/>
              <w:ind w:firstLine="562" w:firstLineChars="200"/>
              <w:rPr>
                <w:rFonts w:eastAsia="仿宋_GB2312"/>
                <w:b/>
                <w:kern w:val="1"/>
                <w:sz w:val="28"/>
              </w:rPr>
            </w:pPr>
            <w:r>
              <w:rPr>
                <w:rFonts w:hint="eastAsia" w:eastAsia="仿宋_GB2312"/>
                <w:b/>
                <w:kern w:val="1"/>
                <w:sz w:val="28"/>
              </w:rPr>
              <w:t>（三）服务要求</w:t>
            </w:r>
          </w:p>
          <w:p w14:paraId="03530755">
            <w:pPr>
              <w:spacing w:line="360" w:lineRule="auto"/>
              <w:ind w:firstLine="560" w:firstLineChars="200"/>
              <w:rPr>
                <w:rFonts w:eastAsia="仿宋_GB2312"/>
                <w:kern w:val="1"/>
                <w:sz w:val="28"/>
              </w:rPr>
            </w:pPr>
            <w:r>
              <w:rPr>
                <w:rFonts w:hint="eastAsia" w:eastAsia="仿宋_GB2312"/>
                <w:kern w:val="1"/>
                <w:sz w:val="28"/>
              </w:rPr>
              <w:t>1．甲、乙双方协调合作，按时、保质完成工作，按部要求提交相关成果；</w:t>
            </w:r>
          </w:p>
          <w:p w14:paraId="4114F3FC">
            <w:pPr>
              <w:spacing w:line="360" w:lineRule="auto"/>
              <w:ind w:firstLine="560" w:firstLineChars="200"/>
              <w:rPr>
                <w:rFonts w:eastAsia="仿宋_GB2312"/>
                <w:kern w:val="1"/>
                <w:sz w:val="28"/>
                <w:szCs w:val="28"/>
              </w:rPr>
            </w:pPr>
            <w:r>
              <w:rPr>
                <w:rFonts w:hint="eastAsia" w:eastAsia="仿宋_GB2312"/>
                <w:kern w:val="1"/>
                <w:sz w:val="28"/>
                <w:szCs w:val="28"/>
              </w:rPr>
              <w:t>2．项目成果的所有权、知识产权等归甲方所有，乙方对研究中形成的最终成果负有保密责任，</w:t>
            </w:r>
            <w:r>
              <w:rPr>
                <w:rFonts w:hint="eastAsia" w:ascii="仿宋" w:hAnsi="仿宋" w:eastAsia="仿宋" w:cs="仿宋"/>
                <w:sz w:val="28"/>
                <w:szCs w:val="28"/>
              </w:rPr>
              <w:t>未经甲方事先书面同意</w:t>
            </w:r>
            <w:r>
              <w:rPr>
                <w:rFonts w:hint="eastAsia" w:eastAsia="仿宋_GB2312"/>
                <w:kern w:val="1"/>
                <w:sz w:val="28"/>
                <w:szCs w:val="28"/>
              </w:rPr>
              <w:t>，乙方不得以任何形式发布或用作任何其他用途。</w:t>
            </w:r>
          </w:p>
          <w:p w14:paraId="01C30900">
            <w:pPr>
              <w:spacing w:line="360" w:lineRule="auto"/>
              <w:ind w:firstLine="560" w:firstLineChars="200"/>
              <w:rPr>
                <w:rFonts w:eastAsia="仿宋_GB2312"/>
                <w:kern w:val="1"/>
                <w:sz w:val="28"/>
              </w:rPr>
            </w:pPr>
            <w:r>
              <w:rPr>
                <w:rFonts w:hint="eastAsia" w:eastAsia="仿宋_GB2312"/>
                <w:kern w:val="1"/>
                <w:sz w:val="28"/>
              </w:rPr>
              <w:t>3.乙方应确保具备实施本合同约定服务的工作资质和工作能力。</w:t>
            </w:r>
          </w:p>
          <w:p w14:paraId="2C221510">
            <w:pPr>
              <w:spacing w:line="360" w:lineRule="auto"/>
              <w:ind w:firstLine="562" w:firstLineChars="200"/>
              <w:rPr>
                <w:rFonts w:eastAsia="仿宋_GB2312"/>
                <w:b/>
                <w:kern w:val="1"/>
                <w:sz w:val="28"/>
                <w:highlight w:val="none"/>
              </w:rPr>
            </w:pPr>
            <w:r>
              <w:rPr>
                <w:rFonts w:hint="eastAsia" w:eastAsia="仿宋_GB2312"/>
                <w:b/>
                <w:kern w:val="1"/>
                <w:sz w:val="28"/>
                <w:highlight w:val="none"/>
              </w:rPr>
              <w:t>二、工作条件和协作事项</w:t>
            </w:r>
          </w:p>
          <w:p w14:paraId="42115180">
            <w:pPr>
              <w:spacing w:line="360" w:lineRule="auto"/>
              <w:ind w:firstLine="562" w:firstLineChars="200"/>
              <w:rPr>
                <w:rFonts w:eastAsia="仿宋_GB2312"/>
                <w:b/>
                <w:bCs/>
                <w:kern w:val="1"/>
                <w:sz w:val="28"/>
              </w:rPr>
            </w:pPr>
            <w:r>
              <w:rPr>
                <w:rFonts w:hint="eastAsia" w:eastAsia="仿宋_GB2312"/>
                <w:b/>
                <w:bCs/>
                <w:kern w:val="1"/>
                <w:sz w:val="28"/>
              </w:rPr>
              <w:t>（一）甲方的权利和义务</w:t>
            </w:r>
          </w:p>
          <w:p w14:paraId="26DC1BE0">
            <w:pPr>
              <w:pStyle w:val="7"/>
              <w:numPr>
                <w:ilvl w:val="0"/>
                <w:numId w:val="2"/>
              </w:numPr>
              <w:ind w:firstLine="560" w:firstLineChars="200"/>
              <w:rPr>
                <w:rFonts w:eastAsia="仿宋_GB2312"/>
                <w:sz w:val="28"/>
                <w:szCs w:val="36"/>
              </w:rPr>
            </w:pPr>
            <w:r>
              <w:rPr>
                <w:rFonts w:eastAsia="仿宋_GB2312"/>
                <w:sz w:val="28"/>
                <w:szCs w:val="36"/>
              </w:rPr>
              <w:t>甲方提出对《三亚市国家综合货运枢纽补链强链实施效果评估咨询服务》的有关要求。</w:t>
            </w:r>
          </w:p>
          <w:p w14:paraId="1063A6EF">
            <w:pPr>
              <w:pStyle w:val="7"/>
              <w:numPr>
                <w:ilvl w:val="0"/>
                <w:numId w:val="2"/>
              </w:numPr>
              <w:ind w:firstLine="560" w:firstLineChars="200"/>
              <w:rPr>
                <w:rFonts w:eastAsia="仿宋_GB2312"/>
                <w:sz w:val="28"/>
                <w:szCs w:val="36"/>
              </w:rPr>
            </w:pPr>
            <w:r>
              <w:rPr>
                <w:rFonts w:eastAsia="仿宋_GB2312"/>
                <w:sz w:val="28"/>
                <w:szCs w:val="36"/>
              </w:rPr>
              <w:t>甲方应在合同约定的时间内，提供本项目咨询所需要的基础数据和技术资料，并协助乙方收集其他有关资料。</w:t>
            </w:r>
          </w:p>
          <w:p w14:paraId="22CD661C">
            <w:pPr>
              <w:pStyle w:val="7"/>
              <w:numPr>
                <w:ilvl w:val="0"/>
                <w:numId w:val="2"/>
              </w:numPr>
              <w:ind w:firstLine="560" w:firstLineChars="200"/>
              <w:rPr>
                <w:rFonts w:eastAsia="仿宋_GB2312"/>
                <w:sz w:val="28"/>
                <w:szCs w:val="36"/>
              </w:rPr>
            </w:pPr>
            <w:r>
              <w:rPr>
                <w:rFonts w:eastAsia="仿宋_GB2312"/>
                <w:sz w:val="28"/>
                <w:szCs w:val="36"/>
              </w:rPr>
              <w:t>甲方按照约定及时向乙方支付本合同约定之费用。</w:t>
            </w:r>
          </w:p>
          <w:p w14:paraId="5C66D35A">
            <w:pPr>
              <w:pStyle w:val="7"/>
              <w:numPr>
                <w:ilvl w:val="0"/>
                <w:numId w:val="2"/>
              </w:numPr>
              <w:ind w:firstLine="560" w:firstLineChars="200"/>
              <w:rPr>
                <w:rFonts w:eastAsia="仿宋_GB2312"/>
                <w:sz w:val="28"/>
                <w:szCs w:val="36"/>
              </w:rPr>
            </w:pPr>
            <w:r>
              <w:rPr>
                <w:rFonts w:eastAsia="仿宋_GB2312"/>
                <w:sz w:val="28"/>
                <w:szCs w:val="36"/>
              </w:rPr>
              <w:t>甲方在合同期内项目发生变化时应及时通知乙方。</w:t>
            </w:r>
          </w:p>
          <w:p w14:paraId="69F9C36E">
            <w:pPr>
              <w:pStyle w:val="7"/>
              <w:numPr>
                <w:ilvl w:val="0"/>
                <w:numId w:val="2"/>
              </w:numPr>
              <w:ind w:firstLine="560" w:firstLineChars="200"/>
              <w:rPr>
                <w:rFonts w:eastAsia="仿宋_GB2312"/>
                <w:sz w:val="28"/>
                <w:szCs w:val="36"/>
              </w:rPr>
            </w:pPr>
            <w:r>
              <w:rPr>
                <w:rFonts w:eastAsia="仿宋_GB2312"/>
                <w:sz w:val="28"/>
                <w:szCs w:val="36"/>
              </w:rPr>
              <w:t>在甲方按合同约定支付相应合同款项后，甲方对乙方提交的咨询成果享有除署名权外的知识产权，且乙方同意无偿许可甲方非独占性使用乙方在本合同以外产生的或被授权使用的资料或软件中的知识产权。对于该咨询成果，未经甲方书面同意，乙方不得擅自修改、转让、转借或提供给第三方使用。</w:t>
            </w:r>
          </w:p>
          <w:p w14:paraId="02831B73">
            <w:pPr>
              <w:pStyle w:val="7"/>
              <w:numPr>
                <w:ilvl w:val="0"/>
                <w:numId w:val="2"/>
              </w:numPr>
              <w:ind w:firstLine="560" w:firstLineChars="200"/>
              <w:rPr>
                <w:rFonts w:eastAsia="仿宋_GB2312"/>
                <w:sz w:val="28"/>
                <w:szCs w:val="36"/>
              </w:rPr>
            </w:pPr>
            <w:r>
              <w:rPr>
                <w:rFonts w:eastAsia="仿宋_GB2312"/>
                <w:sz w:val="28"/>
                <w:szCs w:val="36"/>
              </w:rPr>
              <w:t>甲方对于乙方编制的报告有建议权，乙方应配合修改工作成果，除非该建议违反法律法规的强制性规定和国家综合货运枢纽补链强链有关工作要求。在合同履行期内，如乙方拒绝接受甲方修改建议的，视为乙方违约，按合同约定的违约责任执行。对于乙方提交的报告初稿、终版或修改版，甲方应在收到报告后20个工作日内及时审核并反馈意见；无修改意见的，应在此期间内出具书面确认单。</w:t>
            </w:r>
          </w:p>
          <w:p w14:paraId="16EBB259">
            <w:pPr>
              <w:spacing w:line="360" w:lineRule="auto"/>
              <w:ind w:firstLine="562" w:firstLineChars="200"/>
              <w:rPr>
                <w:rFonts w:hint="eastAsia" w:eastAsia="仿宋_GB2312"/>
                <w:b/>
                <w:bCs/>
                <w:kern w:val="1"/>
                <w:sz w:val="28"/>
              </w:rPr>
            </w:pPr>
            <w:r>
              <w:rPr>
                <w:rFonts w:hint="eastAsia" w:eastAsia="仿宋_GB2312"/>
                <w:b/>
                <w:bCs/>
                <w:kern w:val="1"/>
                <w:sz w:val="28"/>
              </w:rPr>
              <w:t>（二）乙方的权利和义务</w:t>
            </w:r>
          </w:p>
          <w:p w14:paraId="523F405C">
            <w:pPr>
              <w:pStyle w:val="7"/>
              <w:ind w:firstLine="560" w:firstLineChars="200"/>
              <w:rPr>
                <w:rFonts w:eastAsia="仿宋_GB2312"/>
                <w:sz w:val="28"/>
                <w:szCs w:val="36"/>
              </w:rPr>
            </w:pPr>
            <w:r>
              <w:rPr>
                <w:rFonts w:eastAsia="仿宋_GB2312"/>
                <w:sz w:val="28"/>
                <w:szCs w:val="36"/>
              </w:rPr>
              <w:t>乙方在本合同签订后即行开展工作，在合同约定的时间内完成并提交咨询成果报告。</w:t>
            </w:r>
          </w:p>
          <w:p w14:paraId="000479AD">
            <w:pPr>
              <w:pStyle w:val="7"/>
              <w:ind w:firstLine="560" w:firstLineChars="200"/>
              <w:rPr>
                <w:rFonts w:eastAsia="仿宋_GB2312"/>
                <w:sz w:val="28"/>
                <w:szCs w:val="36"/>
              </w:rPr>
            </w:pPr>
            <w:r>
              <w:rPr>
                <w:rFonts w:eastAsia="仿宋_GB2312"/>
                <w:sz w:val="28"/>
                <w:szCs w:val="36"/>
              </w:rPr>
              <w:t>乙方应根据国家、地区及行业的有关政策、法规及规范及合理审慎的专业服务标准要求，按时向甲方提交咨询成果，乙方提供的咨询成果不符合国家、省市县有关政策规定的，乙方应无条件完善、修改。</w:t>
            </w:r>
          </w:p>
          <w:p w14:paraId="650BC56A">
            <w:pPr>
              <w:pStyle w:val="7"/>
              <w:ind w:firstLine="560" w:firstLineChars="200"/>
              <w:rPr>
                <w:rFonts w:eastAsia="仿宋_GB2312"/>
                <w:sz w:val="28"/>
                <w:szCs w:val="36"/>
              </w:rPr>
            </w:pPr>
            <w:r>
              <w:rPr>
                <w:rFonts w:eastAsia="仿宋_GB2312"/>
                <w:sz w:val="28"/>
                <w:szCs w:val="36"/>
              </w:rPr>
              <w:t>如甲方提供的基础资料存在任何错误、缺陷，且该等信息是在同等或类似情况下，作为一个经验丰富，具备资质、技术、审慎、判断及其它方面的能力的服务商应该发现的错误信息，乙方应立即通知甲方。</w:t>
            </w:r>
          </w:p>
          <w:p w14:paraId="3620643C">
            <w:pPr>
              <w:pStyle w:val="7"/>
              <w:ind w:firstLine="560" w:firstLineChars="200"/>
              <w:rPr>
                <w:rFonts w:eastAsia="仿宋_GB2312"/>
                <w:sz w:val="28"/>
                <w:szCs w:val="36"/>
              </w:rPr>
            </w:pPr>
            <w:r>
              <w:rPr>
                <w:rFonts w:eastAsia="仿宋_GB2312"/>
                <w:sz w:val="28"/>
                <w:szCs w:val="36"/>
              </w:rPr>
              <w:t>乙方应对甲方提供的资料承担保密义务，如甲方为乙方提供了任何构思、设计图纸、专有信息或其它任何形式的保密信息或知识产权，无论甲方是否获得与该咨询成果有关的任何其它知识产权，甲方应始终拥有该等甲方提供的资料及信息的所有权及与之相关的知识产权，乙方不得将该等信息用于与本合同无关的用途，也不得将该等信息提供给第三方，在本合同终止后不得使用该等信息。</w:t>
            </w:r>
          </w:p>
          <w:p w14:paraId="4BC2E314">
            <w:pPr>
              <w:pStyle w:val="7"/>
              <w:ind w:firstLine="560" w:firstLineChars="200"/>
              <w:rPr>
                <w:rFonts w:eastAsia="仿宋_GB2312"/>
                <w:sz w:val="28"/>
                <w:szCs w:val="36"/>
              </w:rPr>
            </w:pPr>
            <w:r>
              <w:rPr>
                <w:rFonts w:eastAsia="仿宋_GB2312"/>
                <w:sz w:val="28"/>
                <w:szCs w:val="36"/>
              </w:rPr>
              <w:t>未经甲方书面同意，乙方不得擅自将咨询成果提供给第三方。</w:t>
            </w:r>
          </w:p>
          <w:p w14:paraId="26B98D94">
            <w:pPr>
              <w:pStyle w:val="7"/>
              <w:ind w:firstLine="560" w:firstLineChars="200"/>
              <w:rPr>
                <w:rFonts w:eastAsia="仿宋_GB2312"/>
                <w:sz w:val="28"/>
                <w:szCs w:val="36"/>
              </w:rPr>
            </w:pPr>
            <w:r>
              <w:rPr>
                <w:rFonts w:eastAsia="仿宋_GB2312"/>
                <w:sz w:val="28"/>
                <w:szCs w:val="36"/>
              </w:rPr>
              <w:t>乙方保证所提交的工作成果的知识产权是无权利瑕疵的，未侵犯第三人的合法权利，也未违反相关强制性法律规定，否则乙方应立即停止侵权或纠正该等错误。因任何第三方就此进行主张权利或索赔的，乙方应立即采取补救措施，使甲方免受该索赔所导致的影响，并承担因此给甲方的损失（包括诉讼费、律师费、鉴定费、罚款、处理事务所产生的差旅费、应承担的侵权赔偿金以及甲方所遭受的其他损失等）。</w:t>
            </w:r>
          </w:p>
          <w:p w14:paraId="29DB54B8">
            <w:pPr>
              <w:spacing w:line="360" w:lineRule="auto"/>
              <w:ind w:firstLine="562" w:firstLineChars="200"/>
              <w:rPr>
                <w:rFonts w:eastAsia="仿宋_GB2312"/>
                <w:b/>
                <w:kern w:val="1"/>
                <w:sz w:val="28"/>
              </w:rPr>
            </w:pPr>
            <w:r>
              <w:rPr>
                <w:rFonts w:hint="eastAsia" w:eastAsia="仿宋_GB2312"/>
                <w:b/>
                <w:kern w:val="1"/>
                <w:sz w:val="28"/>
              </w:rPr>
              <w:t>三、履行期限、地点和方式</w:t>
            </w:r>
          </w:p>
          <w:p w14:paraId="76EA32AA">
            <w:pPr>
              <w:spacing w:line="360" w:lineRule="auto"/>
              <w:ind w:firstLine="560" w:firstLineChars="200"/>
              <w:rPr>
                <w:rFonts w:eastAsia="仿宋_GB2312"/>
                <w:kern w:val="1"/>
                <w:sz w:val="28"/>
              </w:rPr>
            </w:pPr>
            <w:r>
              <w:rPr>
                <w:rFonts w:hint="eastAsia" w:eastAsia="仿宋_GB2312"/>
                <w:kern w:val="1"/>
                <w:sz w:val="28"/>
              </w:rPr>
              <w:t>本合同自</w:t>
            </w:r>
            <w:r>
              <w:rPr>
                <w:rFonts w:hint="eastAsia" w:eastAsia="仿宋_GB2312"/>
                <w:bCs/>
                <w:kern w:val="1"/>
                <w:sz w:val="28"/>
                <w:u w:val="single"/>
              </w:rPr>
              <w:t>2025年</w:t>
            </w:r>
            <w:r>
              <w:rPr>
                <w:rFonts w:hint="eastAsia" w:eastAsia="仿宋_GB2312"/>
                <w:bCs/>
                <w:kern w:val="1"/>
                <w:sz w:val="28"/>
                <w:u w:val="single"/>
                <w:lang w:val="en-US" w:eastAsia="zh-CN"/>
              </w:rPr>
              <w:t>3</w:t>
            </w:r>
            <w:r>
              <w:rPr>
                <w:rFonts w:hint="eastAsia" w:eastAsia="仿宋_GB2312"/>
                <w:bCs/>
                <w:kern w:val="1"/>
                <w:sz w:val="28"/>
                <w:u w:val="single"/>
              </w:rPr>
              <w:t>月X日</w:t>
            </w:r>
            <w:r>
              <w:rPr>
                <w:rFonts w:hint="eastAsia" w:eastAsia="仿宋_GB2312"/>
                <w:kern w:val="1"/>
                <w:sz w:val="28"/>
              </w:rPr>
              <w:t>至</w:t>
            </w:r>
            <w:r>
              <w:rPr>
                <w:rFonts w:hint="eastAsia" w:eastAsia="仿宋_GB2312"/>
                <w:kern w:val="1"/>
                <w:sz w:val="28"/>
                <w:u w:val="single"/>
              </w:rPr>
              <w:t>2028年</w:t>
            </w:r>
            <w:r>
              <w:rPr>
                <w:rFonts w:hint="eastAsia" w:eastAsia="仿宋_GB2312"/>
                <w:kern w:val="1"/>
                <w:sz w:val="28"/>
                <w:u w:val="single"/>
                <w:lang w:val="en-US" w:eastAsia="zh-CN"/>
              </w:rPr>
              <w:t>3</w:t>
            </w:r>
            <w:r>
              <w:rPr>
                <w:rFonts w:hint="eastAsia" w:eastAsia="仿宋_GB2312"/>
                <w:kern w:val="1"/>
                <w:sz w:val="28"/>
                <w:u w:val="single"/>
              </w:rPr>
              <w:t>月</w:t>
            </w:r>
            <w:r>
              <w:rPr>
                <w:rFonts w:hint="eastAsia" w:eastAsia="仿宋_GB2312"/>
                <w:kern w:val="1"/>
                <w:sz w:val="28"/>
                <w:u w:val="single"/>
                <w:lang w:val="en-US" w:eastAsia="zh-CN"/>
              </w:rPr>
              <w:t>X</w:t>
            </w:r>
            <w:r>
              <w:rPr>
                <w:rFonts w:hint="eastAsia" w:eastAsia="仿宋_GB2312"/>
                <w:kern w:val="1"/>
                <w:sz w:val="28"/>
                <w:u w:val="single"/>
              </w:rPr>
              <w:t>日</w:t>
            </w:r>
            <w:r>
              <w:rPr>
                <w:rFonts w:hint="eastAsia" w:eastAsia="仿宋_GB2312"/>
                <w:kern w:val="1"/>
                <w:sz w:val="28"/>
              </w:rPr>
              <w:t>在</w:t>
            </w:r>
            <w:r>
              <w:rPr>
                <w:rFonts w:hint="eastAsia" w:eastAsia="仿宋_GB2312"/>
                <w:kern w:val="1"/>
                <w:sz w:val="28"/>
                <w:u w:val="single"/>
              </w:rPr>
              <w:t xml:space="preserve"> 三亚市 </w:t>
            </w:r>
            <w:r>
              <w:rPr>
                <w:rFonts w:hint="eastAsia" w:eastAsia="仿宋_GB2312"/>
                <w:kern w:val="1"/>
                <w:sz w:val="28"/>
              </w:rPr>
              <w:t>履行，履行方式为提交工作报告。</w:t>
            </w:r>
          </w:p>
          <w:p w14:paraId="5E952D98">
            <w:pPr>
              <w:spacing w:line="360" w:lineRule="auto"/>
              <w:ind w:firstLine="562" w:firstLineChars="200"/>
              <w:rPr>
                <w:rFonts w:eastAsia="仿宋_GB2312"/>
                <w:b/>
                <w:kern w:val="1"/>
                <w:sz w:val="28"/>
              </w:rPr>
            </w:pPr>
            <w:r>
              <w:rPr>
                <w:rFonts w:hint="eastAsia" w:eastAsia="仿宋_GB2312"/>
                <w:b/>
                <w:kern w:val="1"/>
                <w:sz w:val="28"/>
              </w:rPr>
              <w:t>四、验收标准和方式</w:t>
            </w:r>
          </w:p>
          <w:p w14:paraId="50B9F139">
            <w:pPr>
              <w:spacing w:line="360" w:lineRule="auto"/>
              <w:ind w:firstLine="560" w:firstLineChars="200"/>
              <w:rPr>
                <w:rFonts w:ascii="仿宋_GB2312" w:eastAsia="仿宋_GB2312"/>
                <w:kern w:val="1"/>
                <w:sz w:val="28"/>
                <w:szCs w:val="28"/>
              </w:rPr>
            </w:pPr>
            <w:r>
              <w:rPr>
                <w:rFonts w:hint="eastAsia" w:ascii="仿宋_GB2312" w:hAnsi="仿宋" w:eastAsia="仿宋_GB2312" w:cs="仿宋"/>
                <w:sz w:val="28"/>
                <w:szCs w:val="28"/>
              </w:rPr>
              <w:t>按照本合同约定及甲方、上级部门要求完成</w:t>
            </w:r>
            <w:r>
              <w:rPr>
                <w:rFonts w:hint="eastAsia" w:ascii="仿宋_GB2312" w:eastAsia="仿宋_GB2312"/>
                <w:sz w:val="28"/>
                <w:szCs w:val="28"/>
              </w:rPr>
              <w:t>《三亚市国家综合货运枢纽补链强链实施方案年度工作报告》及《绩效评价证明材料汇编》，乙方即为履约完成。</w:t>
            </w:r>
          </w:p>
          <w:p w14:paraId="5BE909A7">
            <w:pPr>
              <w:spacing w:line="360" w:lineRule="auto"/>
              <w:ind w:firstLine="562" w:firstLineChars="200"/>
              <w:rPr>
                <w:rFonts w:eastAsia="仿宋_GB2312"/>
                <w:b/>
                <w:kern w:val="1"/>
                <w:sz w:val="28"/>
              </w:rPr>
            </w:pPr>
            <w:r>
              <w:rPr>
                <w:rFonts w:hint="eastAsia" w:eastAsia="仿宋_GB2312"/>
                <w:b/>
                <w:kern w:val="1"/>
                <w:sz w:val="28"/>
              </w:rPr>
              <w:t>五、报酬及其支付方式</w:t>
            </w:r>
          </w:p>
          <w:p w14:paraId="03685C85">
            <w:pPr>
              <w:spacing w:line="360" w:lineRule="auto"/>
              <w:ind w:firstLine="560" w:firstLineChars="200"/>
              <w:rPr>
                <w:rFonts w:eastAsia="仿宋_GB2312"/>
                <w:kern w:val="1"/>
                <w:sz w:val="28"/>
              </w:rPr>
            </w:pPr>
            <w:r>
              <w:rPr>
                <w:rFonts w:hint="eastAsia" w:eastAsia="仿宋_GB2312"/>
                <w:kern w:val="1"/>
                <w:sz w:val="28"/>
              </w:rPr>
              <w:t>（一）本项目报酬：大写：</w:t>
            </w:r>
            <w:r>
              <w:rPr>
                <w:rFonts w:hint="eastAsia" w:eastAsia="仿宋_GB2312"/>
                <w:kern w:val="1"/>
                <w:sz w:val="28"/>
                <w:u w:val="single"/>
              </w:rPr>
              <w:t>XXX万元</w:t>
            </w:r>
            <w:r>
              <w:rPr>
                <w:rFonts w:hint="eastAsia" w:ascii="楷体_GB2312" w:hAnsi="楷体_GB2312" w:eastAsia="楷体_GB2312"/>
                <w:kern w:val="1"/>
                <w:sz w:val="28"/>
              </w:rPr>
              <w:t>，小写：</w:t>
            </w:r>
            <w:r>
              <w:rPr>
                <w:rFonts w:hint="eastAsia" w:eastAsia="仿宋_GB2312"/>
                <w:kern w:val="1"/>
                <w:sz w:val="28"/>
              </w:rPr>
              <w:t>人民币</w:t>
            </w:r>
            <w:r>
              <w:rPr>
                <w:rFonts w:hint="eastAsia" w:eastAsia="仿宋_GB2312"/>
                <w:kern w:val="1"/>
                <w:sz w:val="28"/>
                <w:u w:val="single"/>
              </w:rPr>
              <w:t>XXX万元。以上费用均为含税价格，且已包含乙方完成本合同项下工作，甲方应向乙方支付的全部费用，甲方无需再支付任何额外费用。</w:t>
            </w:r>
          </w:p>
          <w:p w14:paraId="1A950F46">
            <w:pPr>
              <w:spacing w:line="360" w:lineRule="auto"/>
              <w:ind w:firstLine="560" w:firstLineChars="200"/>
              <w:rPr>
                <w:rFonts w:eastAsia="仿宋_GB2312"/>
                <w:kern w:val="1"/>
                <w:sz w:val="28"/>
              </w:rPr>
            </w:pPr>
            <w:r>
              <w:rPr>
                <w:rFonts w:hint="eastAsia" w:eastAsia="仿宋_GB2312"/>
                <w:kern w:val="1"/>
                <w:sz w:val="28"/>
              </w:rPr>
              <w:t>（二）支付方式</w:t>
            </w:r>
          </w:p>
          <w:p w14:paraId="2020F8D6">
            <w:pPr>
              <w:spacing w:line="360" w:lineRule="auto"/>
              <w:ind w:firstLine="560" w:firstLineChars="200"/>
              <w:rPr>
                <w:rFonts w:hint="eastAsia" w:eastAsia="仿宋_GB2312"/>
                <w:sz w:val="28"/>
              </w:rPr>
            </w:pPr>
            <w:r>
              <w:rPr>
                <w:rFonts w:hint="eastAsia" w:eastAsia="仿宋_GB2312"/>
                <w:sz w:val="28"/>
              </w:rPr>
              <w:t>1.合同签定后，由中标人提交满足采购人要求的发票，采购人向中标人支付2025年年度合同金额的30%</w:t>
            </w:r>
            <w:bookmarkStart w:id="0" w:name="_GoBack"/>
            <w:bookmarkEnd w:id="0"/>
            <w:r>
              <w:rPr>
                <w:rFonts w:hint="eastAsia" w:eastAsia="仿宋_GB2312"/>
                <w:sz w:val="28"/>
              </w:rPr>
              <w:t>作为预付款；自中标人提交《三亚市国家综合货运枢纽补链强链实施方案2024年度工作报告》及《绩效评价证明材料汇编》，并提交至省交通运输厅，按照采购人通知时间，中标人向采购人开具满足采购人要求的发票，采购人按程序向中标人支付2025年年度合同金额70%的服务款项。</w:t>
            </w:r>
          </w:p>
          <w:p w14:paraId="5D53CAA3">
            <w:pPr>
              <w:spacing w:line="360" w:lineRule="auto"/>
              <w:ind w:firstLine="560" w:firstLineChars="200"/>
              <w:rPr>
                <w:rFonts w:hint="eastAsia" w:eastAsia="仿宋_GB2312"/>
                <w:sz w:val="28"/>
              </w:rPr>
            </w:pPr>
            <w:r>
              <w:rPr>
                <w:rFonts w:hint="eastAsia" w:eastAsia="仿宋_GB2312"/>
                <w:sz w:val="28"/>
              </w:rPr>
              <w:t>2.2026年1月，由中标人提交满足采购人要求的发票，采购人向中标人支付2026年年度合同金额的30%作为预付款；自中标人提交《三亚市国家综合货运枢纽补链强链实施方案2025年年度工作报告》及《绩效评价证明材料汇编》，并提交至省交通运输厅，按照采购人通知时间，中标人向采购人开具满足采购人要求的发票，采购人按程序向中标人支付2026年年度合同金额70%的服务款项。</w:t>
            </w:r>
          </w:p>
          <w:p w14:paraId="0894E741">
            <w:pPr>
              <w:spacing w:line="360" w:lineRule="auto"/>
              <w:ind w:firstLine="560" w:firstLineChars="200"/>
              <w:rPr>
                <w:rFonts w:eastAsia="仿宋_GB2312"/>
                <w:sz w:val="28"/>
              </w:rPr>
            </w:pPr>
            <w:r>
              <w:rPr>
                <w:rFonts w:hint="eastAsia" w:eastAsia="仿宋_GB2312"/>
                <w:sz w:val="28"/>
              </w:rPr>
              <w:t>3.2027年1月，由中标人提交满足采购人要求的发票，采购人向中标人支付2027年年度合同金额的30%作为预付款；自中标人提交《三亚市国家综合货运枢纽补链强链实施方案2026年年度工作报告》及《绩效评价证明材料汇编》，并提交至省交通运输厅，按照采购人通知时间，中标人向采购人开具满足采购人要求的发票，采购人按程序向中标人支付2027年年度合同金额70%的服务款项。</w:t>
            </w:r>
          </w:p>
          <w:p w14:paraId="2B5B59CB">
            <w:pPr>
              <w:spacing w:line="360" w:lineRule="auto"/>
              <w:ind w:firstLine="562" w:firstLineChars="200"/>
              <w:rPr>
                <w:rFonts w:hint="eastAsia" w:eastAsia="仿宋_GB2312"/>
                <w:b/>
                <w:kern w:val="1"/>
                <w:sz w:val="28"/>
                <w:highlight w:val="none"/>
              </w:rPr>
            </w:pPr>
            <w:r>
              <w:rPr>
                <w:rFonts w:hint="eastAsia" w:eastAsia="仿宋_GB2312"/>
                <w:b/>
                <w:kern w:val="1"/>
                <w:sz w:val="28"/>
                <w:highlight w:val="none"/>
              </w:rPr>
              <w:t>六、违约责任和不可抗力</w:t>
            </w:r>
          </w:p>
          <w:p w14:paraId="40A9B09E">
            <w:pPr>
              <w:widowControl/>
              <w:spacing w:line="360" w:lineRule="auto"/>
              <w:ind w:firstLine="562" w:firstLineChars="200"/>
              <w:rPr>
                <w:rFonts w:hint="eastAsia" w:eastAsia="仿宋_GB2312"/>
                <w:b/>
                <w:bCs/>
                <w:kern w:val="1"/>
                <w:sz w:val="28"/>
              </w:rPr>
            </w:pPr>
            <w:r>
              <w:rPr>
                <w:rFonts w:hint="eastAsia" w:eastAsia="仿宋_GB2312"/>
                <w:b/>
                <w:bCs/>
                <w:kern w:val="1"/>
                <w:sz w:val="28"/>
              </w:rPr>
              <w:t>（一）甲方的违约责任</w:t>
            </w:r>
          </w:p>
          <w:p w14:paraId="7EA22050">
            <w:pPr>
              <w:widowControl/>
              <w:spacing w:line="360" w:lineRule="auto"/>
              <w:ind w:firstLine="560" w:firstLineChars="200"/>
              <w:rPr>
                <w:rFonts w:hint="eastAsia" w:eastAsia="仿宋_GB2312"/>
                <w:kern w:val="1"/>
                <w:sz w:val="28"/>
              </w:rPr>
            </w:pPr>
            <w:r>
              <w:rPr>
                <w:rFonts w:hint="eastAsia" w:eastAsia="仿宋_GB2312"/>
                <w:kern w:val="1"/>
                <w:sz w:val="28"/>
              </w:rPr>
              <w:t>1.甲方违反约定，不能按时提供相关资料，或提供资料不准确，不完备，出现重大缺陷，导致乙方无法按期完成并提交咨询成果的，乙方有权按延误的时间予以顺延。</w:t>
            </w:r>
          </w:p>
          <w:p w14:paraId="34507C4B">
            <w:pPr>
              <w:widowControl/>
              <w:spacing w:line="360" w:lineRule="auto"/>
              <w:ind w:firstLine="560" w:firstLineChars="200"/>
              <w:rPr>
                <w:rFonts w:hint="eastAsia" w:eastAsia="仿宋_GB2312"/>
                <w:kern w:val="1"/>
                <w:sz w:val="28"/>
              </w:rPr>
            </w:pPr>
            <w:r>
              <w:rPr>
                <w:rFonts w:hint="eastAsia" w:eastAsia="仿宋_GB2312"/>
                <w:kern w:val="1"/>
                <w:sz w:val="28"/>
              </w:rPr>
              <w:t>2.甲方因故终止合同时，应及时书面通知乙方，乙方收到甲方终止合同的书面通知后，应立即停止实施与本合同有关的工作。若乙方已开展工作，甲方应按乙方实际完成的工作量支付相应的咨询合同价款，但是，如甲方已支付的合同价款超过该等费用，乙方应向甲方返还超额部分。对于乙方已完成的工作成果，乙方应立即移交给甲方，甲方拥有相关工作成果的全部权益。</w:t>
            </w:r>
          </w:p>
          <w:p w14:paraId="5B559CB0">
            <w:pPr>
              <w:widowControl/>
              <w:spacing w:line="360" w:lineRule="auto"/>
              <w:ind w:firstLine="560" w:firstLineChars="200"/>
              <w:rPr>
                <w:rFonts w:hint="eastAsia" w:eastAsia="仿宋_GB2312"/>
                <w:kern w:val="1"/>
                <w:sz w:val="28"/>
              </w:rPr>
            </w:pPr>
            <w:r>
              <w:rPr>
                <w:rFonts w:hint="eastAsia" w:eastAsia="仿宋_GB2312"/>
                <w:kern w:val="1"/>
                <w:sz w:val="28"/>
              </w:rPr>
              <w:t>3.由于财政拨款等原因导致甲方无法按上述约定时间节点支付，甲方不承担逾期付款责任。</w:t>
            </w:r>
          </w:p>
          <w:p w14:paraId="298CBB0A">
            <w:pPr>
              <w:widowControl/>
              <w:spacing w:line="360" w:lineRule="auto"/>
              <w:ind w:firstLine="562" w:firstLineChars="200"/>
              <w:rPr>
                <w:rFonts w:hint="eastAsia" w:eastAsia="仿宋_GB2312"/>
                <w:b/>
                <w:bCs/>
                <w:kern w:val="1"/>
                <w:sz w:val="28"/>
              </w:rPr>
            </w:pPr>
            <w:r>
              <w:rPr>
                <w:rFonts w:hint="eastAsia" w:eastAsia="仿宋_GB2312"/>
                <w:b/>
                <w:bCs/>
                <w:kern w:val="1"/>
                <w:sz w:val="28"/>
              </w:rPr>
              <w:t>（二）乙方的违约责任</w:t>
            </w:r>
          </w:p>
          <w:p w14:paraId="06A0090E">
            <w:pPr>
              <w:widowControl/>
              <w:spacing w:line="360" w:lineRule="auto"/>
              <w:ind w:firstLine="560" w:firstLineChars="200"/>
              <w:rPr>
                <w:rFonts w:hint="eastAsia" w:eastAsia="仿宋_GB2312"/>
                <w:kern w:val="1"/>
                <w:sz w:val="28"/>
              </w:rPr>
            </w:pPr>
            <w:r>
              <w:rPr>
                <w:rFonts w:hint="eastAsia" w:eastAsia="仿宋_GB2312"/>
                <w:kern w:val="1"/>
                <w:sz w:val="28"/>
              </w:rPr>
              <w:t>1.因乙方原因，无法按合同约定日期提交咨询成果时，每逾期1天，乙方向甲方支付合同总金额万分之三的违约金，逾期超过15天以上时，甲方有权单方解除本合同，乙方支付违约金最高不超过合同固定金额的20%。</w:t>
            </w:r>
          </w:p>
          <w:p w14:paraId="776C743D">
            <w:pPr>
              <w:widowControl/>
              <w:spacing w:line="360" w:lineRule="auto"/>
              <w:ind w:firstLine="560" w:firstLineChars="200"/>
              <w:rPr>
                <w:rFonts w:hint="eastAsia" w:eastAsia="仿宋_GB2312"/>
                <w:kern w:val="1"/>
                <w:sz w:val="28"/>
              </w:rPr>
            </w:pPr>
            <w:r>
              <w:rPr>
                <w:rFonts w:hint="eastAsia" w:eastAsia="仿宋_GB2312"/>
                <w:kern w:val="1"/>
                <w:sz w:val="28"/>
              </w:rPr>
              <w:t>2.乙方提供的咨询成果不符合国家、省市有关法律法规及政策规定要求的，且对甲方造成直接损失的，乙方须承担由此给甲方造成的经济损失，损失难以确定的，按合同总金额的20%计算。且甲方有权单方解除本合同。</w:t>
            </w:r>
          </w:p>
          <w:p w14:paraId="6A6D251C">
            <w:pPr>
              <w:widowControl/>
              <w:spacing w:line="360" w:lineRule="auto"/>
              <w:ind w:firstLine="560" w:firstLineChars="200"/>
              <w:rPr>
                <w:rFonts w:hint="eastAsia" w:eastAsia="仿宋_GB2312"/>
                <w:kern w:val="1"/>
                <w:sz w:val="28"/>
              </w:rPr>
            </w:pPr>
            <w:r>
              <w:rPr>
                <w:rFonts w:hint="eastAsia" w:eastAsia="仿宋_GB2312"/>
                <w:kern w:val="1"/>
                <w:sz w:val="28"/>
              </w:rPr>
              <w:t>3.乙方违反本合同约定的其他任一义务时，甲方有权追究乙方违约责任并要求乙方承担合同固定金额10%违约金；如导致无法按时履行合同义务，且甲方有权单方解除本合同。</w:t>
            </w:r>
          </w:p>
          <w:p w14:paraId="5D96FBE7">
            <w:pPr>
              <w:widowControl/>
              <w:spacing w:line="360" w:lineRule="auto"/>
              <w:ind w:firstLine="560" w:firstLineChars="200"/>
              <w:rPr>
                <w:rFonts w:hint="eastAsia" w:eastAsia="仿宋_GB2312"/>
                <w:kern w:val="1"/>
                <w:sz w:val="28"/>
              </w:rPr>
            </w:pPr>
            <w:r>
              <w:rPr>
                <w:rFonts w:hint="eastAsia" w:eastAsia="仿宋_GB2312"/>
                <w:kern w:val="1"/>
                <w:sz w:val="28"/>
              </w:rPr>
              <w:t>4.乙方应对甲方提供的资料承担保密义务，如发生泄密事件，乙方应按合同金额的10%向甲方支付违约金，并承担给甲方造成的直接损失。</w:t>
            </w:r>
          </w:p>
          <w:p w14:paraId="696BA412">
            <w:pPr>
              <w:widowControl/>
              <w:spacing w:line="360" w:lineRule="auto"/>
              <w:ind w:firstLine="560" w:firstLineChars="200"/>
              <w:rPr>
                <w:rFonts w:hint="eastAsia" w:eastAsia="仿宋_GB2312"/>
                <w:kern w:val="1"/>
                <w:sz w:val="28"/>
              </w:rPr>
            </w:pPr>
            <w:r>
              <w:rPr>
                <w:rFonts w:hint="eastAsia" w:eastAsia="仿宋_GB2312"/>
                <w:kern w:val="1"/>
                <w:sz w:val="28"/>
              </w:rPr>
              <w:t>5.合同签订后，因乙方原因导致中途终止合同时，乙方支付甲方合同固定金额20%的违约金。</w:t>
            </w:r>
          </w:p>
          <w:p w14:paraId="4186D0B5">
            <w:pPr>
              <w:widowControl/>
              <w:spacing w:line="360" w:lineRule="auto"/>
              <w:ind w:firstLine="560" w:firstLineChars="200"/>
              <w:rPr>
                <w:rFonts w:hint="eastAsia" w:eastAsia="仿宋_GB2312"/>
                <w:kern w:val="1"/>
                <w:sz w:val="28"/>
              </w:rPr>
            </w:pPr>
            <w:r>
              <w:rPr>
                <w:rFonts w:hint="eastAsia" w:eastAsia="仿宋_GB2312"/>
                <w:kern w:val="1"/>
                <w:sz w:val="28"/>
              </w:rPr>
              <w:t>6.合同执行期间，如乙方发生负面舆情，损害自身品牌形象或商业信誉，可能对甲方产生负面影响的，甲方有权单方面解除合同，且无需支付任何费用，并保留追究乙方违约责任的权利。</w:t>
            </w:r>
          </w:p>
          <w:p w14:paraId="5AFC5ED3">
            <w:pPr>
              <w:widowControl/>
              <w:spacing w:line="360" w:lineRule="auto"/>
              <w:ind w:firstLine="560" w:firstLineChars="200"/>
              <w:rPr>
                <w:rFonts w:hint="eastAsia" w:eastAsia="仿宋_GB2312"/>
                <w:kern w:val="1"/>
                <w:sz w:val="28"/>
              </w:rPr>
            </w:pPr>
            <w:r>
              <w:rPr>
                <w:rFonts w:hint="eastAsia" w:eastAsia="仿宋_GB2312"/>
                <w:kern w:val="1"/>
                <w:sz w:val="28"/>
              </w:rPr>
              <w:t>7.如有第六条第（二）1至6项约定的违约情形且导致合同无法履行，甲方按合同约定解除本合同的，乙方除按约定承担违约责任外，还应返还甲方已支付的合同款项。</w:t>
            </w:r>
          </w:p>
          <w:p w14:paraId="3482F38F">
            <w:pPr>
              <w:widowControl/>
              <w:spacing w:line="360" w:lineRule="auto"/>
              <w:ind w:firstLine="562" w:firstLineChars="200"/>
              <w:jc w:val="left"/>
              <w:rPr>
                <w:rFonts w:hint="eastAsia" w:eastAsia="仿宋_GB2312"/>
                <w:b/>
                <w:bCs/>
                <w:kern w:val="1"/>
                <w:sz w:val="28"/>
              </w:rPr>
            </w:pPr>
            <w:r>
              <w:rPr>
                <w:rFonts w:hint="eastAsia" w:eastAsia="仿宋_GB2312"/>
                <w:b/>
                <w:bCs/>
                <w:kern w:val="1"/>
                <w:sz w:val="28"/>
              </w:rPr>
              <w:t>（三）不可抗力</w:t>
            </w:r>
          </w:p>
          <w:p w14:paraId="18015A0A">
            <w:pPr>
              <w:widowControl/>
              <w:spacing w:line="360" w:lineRule="auto"/>
              <w:ind w:firstLine="560" w:firstLineChars="200"/>
              <w:jc w:val="left"/>
              <w:rPr>
                <w:rFonts w:hint="eastAsia" w:eastAsia="仿宋_GB2312"/>
                <w:kern w:val="1"/>
                <w:sz w:val="28"/>
              </w:rPr>
            </w:pPr>
            <w:r>
              <w:rPr>
                <w:rFonts w:hint="eastAsia" w:eastAsia="仿宋_GB2312"/>
                <w:kern w:val="1"/>
                <w:sz w:val="28"/>
              </w:rPr>
              <w:t>发生不可抗力事件，一方在本合同项下受不可抗力影响的义务在不可抗力造成的延误期间自动中止，其履行期限应自动延长，延长期间为中止的期间，该方无须为此承担违约责任。如果发生不可抗力事件，致使不能实现合同目的的，双方均可以解除合同，自解除合同的书面通知到达对方时合同解除，双方均不需向对方承担违约责任。</w:t>
            </w:r>
          </w:p>
          <w:p w14:paraId="2AE7A3EC">
            <w:pPr>
              <w:widowControl/>
              <w:spacing w:line="360" w:lineRule="auto"/>
              <w:ind w:firstLine="560" w:firstLineChars="200"/>
              <w:jc w:val="left"/>
              <w:rPr>
                <w:rFonts w:hint="eastAsia" w:eastAsia="仿宋_GB2312"/>
                <w:kern w:val="1"/>
                <w:sz w:val="28"/>
              </w:rPr>
            </w:pPr>
            <w:r>
              <w:rPr>
                <w:rFonts w:hint="eastAsia" w:eastAsia="仿宋_GB2312"/>
                <w:kern w:val="1"/>
                <w:sz w:val="28"/>
              </w:rPr>
              <w:t>提出受不可抗力影响的一方应及时书面通知对方，并且在随后的15日内向对方提供不可抗力发生和持续期间的充分证据。提出受不可抗力影响的一方，还应尽一切合理努力排除不可抗力对履行合同造成的影响。</w:t>
            </w:r>
          </w:p>
          <w:p w14:paraId="479987F6">
            <w:pPr>
              <w:widowControl/>
              <w:spacing w:line="360" w:lineRule="auto"/>
              <w:ind w:firstLine="560" w:firstLineChars="200"/>
              <w:jc w:val="left"/>
              <w:rPr>
                <w:rFonts w:hint="eastAsia" w:eastAsia="仿宋_GB2312"/>
                <w:kern w:val="1"/>
                <w:sz w:val="28"/>
              </w:rPr>
            </w:pPr>
            <w:r>
              <w:rPr>
                <w:rFonts w:hint="eastAsia" w:eastAsia="仿宋_GB2312"/>
                <w:kern w:val="1"/>
                <w:sz w:val="28"/>
              </w:rPr>
              <w:t>发生不可抗力的，双方应立即进行磋商，寻求合理的解决方案，并且要尽一切合理努力将不可抗力造成的损失降低到最小程度。</w:t>
            </w:r>
          </w:p>
          <w:p w14:paraId="3522A79D">
            <w:pPr>
              <w:spacing w:line="360" w:lineRule="auto"/>
              <w:ind w:firstLine="562" w:firstLineChars="200"/>
              <w:rPr>
                <w:rFonts w:eastAsia="仿宋_GB2312"/>
                <w:b/>
                <w:kern w:val="1"/>
                <w:sz w:val="28"/>
              </w:rPr>
            </w:pPr>
            <w:r>
              <w:rPr>
                <w:rFonts w:hint="eastAsia" w:eastAsia="仿宋_GB2312"/>
                <w:b/>
                <w:kern w:val="1"/>
                <w:sz w:val="28"/>
              </w:rPr>
              <w:t>七、解决合同纠纷的方式</w:t>
            </w:r>
          </w:p>
          <w:p w14:paraId="6B9E247D">
            <w:pPr>
              <w:spacing w:line="360" w:lineRule="auto"/>
              <w:ind w:firstLine="560" w:firstLineChars="200"/>
              <w:rPr>
                <w:kern w:val="1"/>
                <w:sz w:val="28"/>
              </w:rPr>
            </w:pPr>
            <w:r>
              <w:rPr>
                <w:rFonts w:hint="eastAsia" w:eastAsia="仿宋_GB2312"/>
                <w:kern w:val="1"/>
                <w:sz w:val="28"/>
              </w:rPr>
              <w:t>在履行本合同的过程中发生争议，双方当事人和解或调解不成，一方可向甲方住所地的人民法院起诉。</w:t>
            </w:r>
          </w:p>
          <w:p w14:paraId="0F125478">
            <w:pPr>
              <w:spacing w:line="360" w:lineRule="auto"/>
              <w:ind w:firstLine="562" w:firstLineChars="200"/>
              <w:rPr>
                <w:rFonts w:eastAsia="仿宋_GB2312"/>
                <w:b/>
                <w:kern w:val="1"/>
                <w:sz w:val="28"/>
              </w:rPr>
            </w:pPr>
            <w:r>
              <w:rPr>
                <w:rFonts w:hint="eastAsia" w:eastAsia="仿宋_GB2312"/>
                <w:b/>
                <w:kern w:val="1"/>
                <w:sz w:val="28"/>
              </w:rPr>
              <w:t>八、其它</w:t>
            </w:r>
          </w:p>
          <w:p w14:paraId="37A28F99">
            <w:pPr>
              <w:spacing w:line="360" w:lineRule="auto"/>
              <w:ind w:firstLine="560" w:firstLineChars="200"/>
              <w:rPr>
                <w:rFonts w:eastAsia="仿宋_GB2312"/>
                <w:kern w:val="1"/>
                <w:sz w:val="28"/>
              </w:rPr>
            </w:pPr>
            <w:r>
              <w:rPr>
                <w:rFonts w:hint="eastAsia" w:eastAsia="仿宋_GB2312"/>
                <w:kern w:val="1"/>
                <w:sz w:val="28"/>
              </w:rPr>
              <w:t>1．本合同由双方签字盖章后生效。</w:t>
            </w:r>
          </w:p>
          <w:p w14:paraId="17CC7E8F">
            <w:pPr>
              <w:spacing w:line="360" w:lineRule="auto"/>
              <w:ind w:firstLine="560" w:firstLineChars="200"/>
              <w:rPr>
                <w:rFonts w:eastAsia="仿宋_GB2312"/>
                <w:kern w:val="1"/>
                <w:sz w:val="28"/>
              </w:rPr>
            </w:pPr>
            <w:r>
              <w:rPr>
                <w:rFonts w:hint="eastAsia" w:eastAsia="仿宋_GB2312"/>
                <w:kern w:val="1"/>
                <w:sz w:val="28"/>
              </w:rPr>
              <w:t>2．由于不可抗力因素致使合同无法履行时，双方应及时协商解决。</w:t>
            </w:r>
          </w:p>
          <w:p w14:paraId="349B9527">
            <w:pPr>
              <w:spacing w:line="360" w:lineRule="auto"/>
              <w:ind w:firstLine="560" w:firstLineChars="200"/>
              <w:rPr>
                <w:rFonts w:eastAsia="仿宋_GB2312"/>
                <w:kern w:val="1"/>
                <w:sz w:val="28"/>
              </w:rPr>
            </w:pPr>
            <w:r>
              <w:rPr>
                <w:rFonts w:hint="eastAsia" w:eastAsia="仿宋_GB2312"/>
                <w:kern w:val="1"/>
                <w:sz w:val="28"/>
              </w:rPr>
              <w:t>3．本合同一式七份，甲方、乙方各三份，采购代理机构一份，具有同等法律效力。</w:t>
            </w:r>
          </w:p>
          <w:p w14:paraId="1EDE3EC3">
            <w:pPr>
              <w:spacing w:line="360" w:lineRule="auto"/>
              <w:ind w:firstLine="560" w:firstLineChars="200"/>
              <w:rPr>
                <w:rFonts w:eastAsia="仿宋_GB2312"/>
                <w:kern w:val="1"/>
                <w:sz w:val="28"/>
              </w:rPr>
            </w:pPr>
            <w:r>
              <w:rPr>
                <w:rFonts w:hint="eastAsia" w:eastAsia="仿宋_GB2312"/>
                <w:kern w:val="1"/>
                <w:sz w:val="28"/>
              </w:rPr>
              <w:t>4．甲乙双方一致同意，在项目研究过程中无论遇到任何问题，都本着谅解与合作的精神，及时共同协商解决，以确保项目研究工作任务的顺利完成。</w:t>
            </w:r>
          </w:p>
        </w:tc>
      </w:tr>
      <w:tr w14:paraId="13A0C0AA">
        <w:tblPrEx>
          <w:tblCellMar>
            <w:top w:w="0" w:type="dxa"/>
            <w:left w:w="108" w:type="dxa"/>
            <w:bottom w:w="0" w:type="dxa"/>
            <w:right w:w="108" w:type="dxa"/>
          </w:tblCellMar>
        </w:tblPrEx>
        <w:trPr>
          <w:gridAfter w:val="1"/>
          <w:wAfter w:w="207" w:type="dxa"/>
          <w:cantSplit/>
          <w:trHeight w:val="646" w:hRule="atLeast"/>
          <w:jc w:val="center"/>
        </w:trPr>
        <w:tc>
          <w:tcPr>
            <w:tcW w:w="828" w:type="dxa"/>
            <w:vMerge w:val="restart"/>
            <w:tcBorders>
              <w:top w:val="single" w:color="000000" w:sz="8" w:space="0"/>
              <w:left w:val="single" w:color="000000" w:sz="8" w:space="0"/>
              <w:bottom w:val="single" w:color="000000" w:sz="4" w:space="0"/>
              <w:right w:val="single" w:color="000000" w:sz="4" w:space="0"/>
            </w:tcBorders>
            <w:noWrap w:val="0"/>
            <w:textDirection w:val="tbRlV"/>
            <w:vAlign w:val="bottom"/>
          </w:tcPr>
          <w:p w14:paraId="38A60153">
            <w:pPr>
              <w:ind w:firstLine="630"/>
              <w:jc w:val="center"/>
              <w:rPr>
                <w:kern w:val="1"/>
              </w:rPr>
            </w:pPr>
            <w:r>
              <w:rPr>
                <w:rFonts w:hint="eastAsia"/>
                <w:kern w:val="1"/>
              </w:rPr>
              <w:t>委　托　方　（甲　方）</w:t>
            </w:r>
          </w:p>
        </w:tc>
        <w:tc>
          <w:tcPr>
            <w:tcW w:w="1800" w:type="dxa"/>
            <w:tcBorders>
              <w:top w:val="single" w:color="000000" w:sz="8" w:space="0"/>
              <w:left w:val="single" w:color="000000" w:sz="4" w:space="0"/>
              <w:bottom w:val="single" w:color="000000" w:sz="4" w:space="0"/>
              <w:right w:val="single" w:color="000000" w:sz="4" w:space="0"/>
            </w:tcBorders>
            <w:noWrap w:val="0"/>
            <w:vAlign w:val="center"/>
          </w:tcPr>
          <w:p w14:paraId="5675A327">
            <w:pPr>
              <w:spacing w:line="480" w:lineRule="auto"/>
              <w:jc w:val="center"/>
              <w:rPr>
                <w:kern w:val="1"/>
              </w:rPr>
            </w:pPr>
            <w:r>
              <w:rPr>
                <w:rFonts w:hint="eastAsia"/>
                <w:kern w:val="1"/>
              </w:rPr>
              <w:t>名称（或姓名）</w:t>
            </w:r>
          </w:p>
        </w:tc>
        <w:tc>
          <w:tcPr>
            <w:tcW w:w="4680" w:type="dxa"/>
            <w:gridSpan w:val="6"/>
            <w:tcBorders>
              <w:top w:val="single" w:color="000000" w:sz="8" w:space="0"/>
              <w:left w:val="single" w:color="000000" w:sz="4" w:space="0"/>
              <w:bottom w:val="single" w:color="000000" w:sz="4" w:space="0"/>
              <w:right w:val="single" w:color="000000" w:sz="4" w:space="0"/>
            </w:tcBorders>
            <w:noWrap w:val="0"/>
            <w:vAlign w:val="center"/>
          </w:tcPr>
          <w:p w14:paraId="67F9E1F1">
            <w:pPr>
              <w:spacing w:line="480" w:lineRule="auto"/>
              <w:ind w:firstLine="210"/>
              <w:jc w:val="center"/>
              <w:rPr>
                <w:kern w:val="1"/>
                <w:sz w:val="30"/>
              </w:rPr>
            </w:pPr>
            <w:r>
              <w:rPr>
                <w:rFonts w:hint="eastAsia"/>
                <w:kern w:val="1"/>
                <w:szCs w:val="21"/>
              </w:rPr>
              <w:t>三亚市交通运输局</w:t>
            </w:r>
          </w:p>
        </w:tc>
        <w:tc>
          <w:tcPr>
            <w:tcW w:w="2340" w:type="dxa"/>
            <w:vMerge w:val="restart"/>
            <w:tcBorders>
              <w:top w:val="single" w:color="000000" w:sz="8" w:space="0"/>
              <w:left w:val="single" w:color="000000" w:sz="4" w:space="0"/>
              <w:bottom w:val="single" w:color="000000" w:sz="4" w:space="0"/>
              <w:right w:val="single" w:color="000000" w:sz="8" w:space="0"/>
            </w:tcBorders>
            <w:noWrap w:val="0"/>
            <w:vAlign w:val="center"/>
          </w:tcPr>
          <w:p w14:paraId="18537FAE">
            <w:pPr>
              <w:spacing w:line="480" w:lineRule="auto"/>
              <w:jc w:val="center"/>
              <w:rPr>
                <w:kern w:val="1"/>
              </w:rPr>
            </w:pPr>
            <w:r>
              <w:rPr>
                <w:rFonts w:hint="eastAsia"/>
                <w:kern w:val="1"/>
              </w:rPr>
              <w:t>技术合同专用章</w:t>
            </w:r>
          </w:p>
          <w:p w14:paraId="7A9A9C60">
            <w:pPr>
              <w:spacing w:line="480" w:lineRule="auto"/>
              <w:jc w:val="center"/>
              <w:rPr>
                <w:kern w:val="1"/>
              </w:rPr>
            </w:pPr>
            <w:r>
              <w:rPr>
                <w:rFonts w:hint="eastAsia"/>
                <w:kern w:val="1"/>
              </w:rPr>
              <w:t>或</w:t>
            </w:r>
          </w:p>
          <w:p w14:paraId="71BE1A48">
            <w:pPr>
              <w:spacing w:line="480" w:lineRule="auto"/>
              <w:jc w:val="center"/>
              <w:rPr>
                <w:kern w:val="1"/>
              </w:rPr>
            </w:pPr>
            <w:r>
              <w:rPr>
                <w:rFonts w:hint="eastAsia"/>
                <w:kern w:val="1"/>
              </w:rPr>
              <w:t>单位公章</w:t>
            </w:r>
          </w:p>
          <w:p w14:paraId="4B63249D">
            <w:pPr>
              <w:spacing w:line="480" w:lineRule="auto"/>
              <w:jc w:val="center"/>
              <w:rPr>
                <w:kern w:val="1"/>
              </w:rPr>
            </w:pPr>
          </w:p>
          <w:p w14:paraId="0E202AEF">
            <w:pPr>
              <w:spacing w:line="480" w:lineRule="auto"/>
              <w:jc w:val="center"/>
              <w:rPr>
                <w:kern w:val="1"/>
              </w:rPr>
            </w:pPr>
          </w:p>
          <w:p w14:paraId="01BB00E3">
            <w:pPr>
              <w:spacing w:line="480" w:lineRule="auto"/>
              <w:jc w:val="center"/>
              <w:rPr>
                <w:kern w:val="1"/>
              </w:rPr>
            </w:pPr>
          </w:p>
          <w:p w14:paraId="673D8968">
            <w:pPr>
              <w:spacing w:line="480" w:lineRule="auto"/>
              <w:jc w:val="center"/>
              <w:rPr>
                <w:kern w:val="1"/>
              </w:rPr>
            </w:pPr>
          </w:p>
          <w:p w14:paraId="52800A0C">
            <w:pPr>
              <w:spacing w:line="480" w:lineRule="auto"/>
              <w:jc w:val="center"/>
              <w:rPr>
                <w:kern w:val="1"/>
              </w:rPr>
            </w:pPr>
            <w:r>
              <w:rPr>
                <w:rFonts w:hint="eastAsia"/>
                <w:kern w:val="1"/>
              </w:rPr>
              <w:t xml:space="preserve">  年  月  日</w:t>
            </w:r>
          </w:p>
        </w:tc>
      </w:tr>
      <w:tr w14:paraId="7EBB595D">
        <w:tblPrEx>
          <w:tblCellMar>
            <w:top w:w="0" w:type="dxa"/>
            <w:left w:w="108" w:type="dxa"/>
            <w:bottom w:w="0" w:type="dxa"/>
            <w:right w:w="108" w:type="dxa"/>
          </w:tblCellMar>
        </w:tblPrEx>
        <w:trPr>
          <w:gridAfter w:val="1"/>
          <w:wAfter w:w="207" w:type="dxa"/>
          <w:cantSplit/>
          <w:trHeight w:val="664" w:hRule="atLeast"/>
          <w:jc w:val="center"/>
        </w:trPr>
        <w:tc>
          <w:tcPr>
            <w:tcW w:w="828" w:type="dxa"/>
            <w:vMerge w:val="continue"/>
            <w:tcBorders>
              <w:top w:val="single" w:color="000000" w:sz="4" w:space="0"/>
              <w:left w:val="single" w:color="000000" w:sz="8" w:space="0"/>
              <w:bottom w:val="single" w:color="000000" w:sz="4" w:space="0"/>
              <w:right w:val="single" w:color="000000" w:sz="4" w:space="0"/>
            </w:tcBorders>
            <w:noWrap w:val="0"/>
            <w:vAlign w:val="top"/>
          </w:tcPr>
          <w:p w14:paraId="0F6D5FC2">
            <w:pPr>
              <w:jc w:val="left"/>
              <w:rPr>
                <w:kern w:val="1"/>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785A69D6">
            <w:pPr>
              <w:spacing w:line="480" w:lineRule="auto"/>
              <w:jc w:val="center"/>
              <w:rPr>
                <w:kern w:val="1"/>
              </w:rPr>
            </w:pPr>
            <w:r>
              <w:rPr>
                <w:rFonts w:hint="eastAsia"/>
                <w:kern w:val="1"/>
              </w:rPr>
              <w:t>法定代表人</w:t>
            </w:r>
          </w:p>
        </w:tc>
        <w:tc>
          <w:tcPr>
            <w:tcW w:w="4680" w:type="dxa"/>
            <w:gridSpan w:val="6"/>
            <w:tcBorders>
              <w:top w:val="single" w:color="000000" w:sz="4" w:space="0"/>
              <w:left w:val="single" w:color="000000" w:sz="4" w:space="0"/>
              <w:bottom w:val="single" w:color="000000" w:sz="4" w:space="0"/>
              <w:right w:val="single" w:color="000000" w:sz="4" w:space="0"/>
            </w:tcBorders>
            <w:noWrap w:val="0"/>
            <w:vAlign w:val="center"/>
          </w:tcPr>
          <w:p w14:paraId="2C995070">
            <w:pPr>
              <w:spacing w:line="480" w:lineRule="auto"/>
              <w:jc w:val="center"/>
              <w:rPr>
                <w:kern w:val="1"/>
              </w:rPr>
            </w:pPr>
            <w:r>
              <w:rPr>
                <w:rFonts w:hint="eastAsia"/>
                <w:kern w:val="1"/>
              </w:rPr>
              <w:t>（签字或盖章）</w:t>
            </w:r>
          </w:p>
        </w:tc>
        <w:tc>
          <w:tcPr>
            <w:tcW w:w="2340" w:type="dxa"/>
            <w:vMerge w:val="continue"/>
            <w:tcBorders>
              <w:top w:val="single" w:color="000000" w:sz="4" w:space="0"/>
              <w:left w:val="single" w:color="000000" w:sz="4" w:space="0"/>
              <w:bottom w:val="single" w:color="000000" w:sz="4" w:space="0"/>
              <w:right w:val="single" w:color="000000" w:sz="8" w:space="0"/>
            </w:tcBorders>
            <w:noWrap w:val="0"/>
            <w:vAlign w:val="center"/>
          </w:tcPr>
          <w:p w14:paraId="0E0773FC">
            <w:pPr>
              <w:jc w:val="left"/>
              <w:rPr>
                <w:kern w:val="1"/>
              </w:rPr>
            </w:pPr>
          </w:p>
        </w:tc>
      </w:tr>
      <w:tr w14:paraId="0BE38208">
        <w:tblPrEx>
          <w:tblCellMar>
            <w:top w:w="0" w:type="dxa"/>
            <w:left w:w="108" w:type="dxa"/>
            <w:bottom w:w="0" w:type="dxa"/>
            <w:right w:w="108" w:type="dxa"/>
          </w:tblCellMar>
        </w:tblPrEx>
        <w:trPr>
          <w:gridAfter w:val="1"/>
          <w:wAfter w:w="207" w:type="dxa"/>
          <w:cantSplit/>
          <w:trHeight w:val="664" w:hRule="atLeast"/>
          <w:jc w:val="center"/>
        </w:trPr>
        <w:tc>
          <w:tcPr>
            <w:tcW w:w="828" w:type="dxa"/>
            <w:vMerge w:val="continue"/>
            <w:tcBorders>
              <w:top w:val="single" w:color="000000" w:sz="4" w:space="0"/>
              <w:left w:val="single" w:color="000000" w:sz="8" w:space="0"/>
              <w:bottom w:val="single" w:color="000000" w:sz="4" w:space="0"/>
              <w:right w:val="single" w:color="000000" w:sz="4" w:space="0"/>
            </w:tcBorders>
            <w:noWrap w:val="0"/>
            <w:vAlign w:val="top"/>
          </w:tcPr>
          <w:p w14:paraId="364FC1C6">
            <w:pPr>
              <w:jc w:val="left"/>
              <w:rPr>
                <w:kern w:val="1"/>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59A4ED57">
            <w:pPr>
              <w:spacing w:line="480" w:lineRule="auto"/>
              <w:jc w:val="center"/>
              <w:rPr>
                <w:kern w:val="1"/>
              </w:rPr>
            </w:pPr>
            <w:r>
              <w:rPr>
                <w:rFonts w:hint="eastAsia"/>
                <w:kern w:val="1"/>
              </w:rPr>
              <w:t>委托代理人</w:t>
            </w:r>
          </w:p>
        </w:tc>
        <w:tc>
          <w:tcPr>
            <w:tcW w:w="4680" w:type="dxa"/>
            <w:gridSpan w:val="6"/>
            <w:tcBorders>
              <w:top w:val="single" w:color="000000" w:sz="4" w:space="0"/>
              <w:left w:val="single" w:color="000000" w:sz="4" w:space="0"/>
              <w:bottom w:val="single" w:color="000000" w:sz="4" w:space="0"/>
              <w:right w:val="single" w:color="000000" w:sz="4" w:space="0"/>
            </w:tcBorders>
            <w:noWrap w:val="0"/>
            <w:vAlign w:val="center"/>
          </w:tcPr>
          <w:p w14:paraId="1ED545EA">
            <w:pPr>
              <w:spacing w:line="480" w:lineRule="auto"/>
              <w:jc w:val="center"/>
              <w:rPr>
                <w:kern w:val="1"/>
              </w:rPr>
            </w:pPr>
          </w:p>
        </w:tc>
        <w:tc>
          <w:tcPr>
            <w:tcW w:w="2340" w:type="dxa"/>
            <w:vMerge w:val="continue"/>
            <w:tcBorders>
              <w:top w:val="single" w:color="000000" w:sz="4" w:space="0"/>
              <w:left w:val="single" w:color="000000" w:sz="4" w:space="0"/>
              <w:bottom w:val="single" w:color="000000" w:sz="4" w:space="0"/>
              <w:right w:val="single" w:color="000000" w:sz="8" w:space="0"/>
            </w:tcBorders>
            <w:noWrap w:val="0"/>
            <w:vAlign w:val="center"/>
          </w:tcPr>
          <w:p w14:paraId="084E54C3">
            <w:pPr>
              <w:jc w:val="left"/>
              <w:rPr>
                <w:kern w:val="1"/>
              </w:rPr>
            </w:pPr>
          </w:p>
        </w:tc>
      </w:tr>
      <w:tr w14:paraId="6B1237FC">
        <w:tblPrEx>
          <w:tblCellMar>
            <w:top w:w="0" w:type="dxa"/>
            <w:left w:w="108" w:type="dxa"/>
            <w:bottom w:w="0" w:type="dxa"/>
            <w:right w:w="108" w:type="dxa"/>
          </w:tblCellMar>
        </w:tblPrEx>
        <w:trPr>
          <w:gridAfter w:val="1"/>
          <w:wAfter w:w="207" w:type="dxa"/>
          <w:cantSplit/>
          <w:trHeight w:val="664" w:hRule="atLeast"/>
          <w:jc w:val="center"/>
        </w:trPr>
        <w:tc>
          <w:tcPr>
            <w:tcW w:w="828" w:type="dxa"/>
            <w:vMerge w:val="continue"/>
            <w:tcBorders>
              <w:top w:val="single" w:color="000000" w:sz="4" w:space="0"/>
              <w:left w:val="single" w:color="000000" w:sz="8" w:space="0"/>
              <w:bottom w:val="single" w:color="000000" w:sz="4" w:space="0"/>
              <w:right w:val="single" w:color="000000" w:sz="4" w:space="0"/>
            </w:tcBorders>
            <w:noWrap w:val="0"/>
            <w:vAlign w:val="top"/>
          </w:tcPr>
          <w:p w14:paraId="18737449">
            <w:pPr>
              <w:jc w:val="left"/>
              <w:rPr>
                <w:kern w:val="1"/>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019C2E19">
            <w:pPr>
              <w:spacing w:line="480" w:lineRule="auto"/>
              <w:jc w:val="center"/>
              <w:rPr>
                <w:kern w:val="1"/>
              </w:rPr>
            </w:pPr>
            <w:r>
              <w:rPr>
                <w:rFonts w:hint="eastAsia"/>
                <w:kern w:val="1"/>
              </w:rPr>
              <w:t>联系（经办）人</w:t>
            </w:r>
          </w:p>
        </w:tc>
        <w:tc>
          <w:tcPr>
            <w:tcW w:w="4680" w:type="dxa"/>
            <w:gridSpan w:val="6"/>
            <w:tcBorders>
              <w:top w:val="single" w:color="000000" w:sz="4" w:space="0"/>
              <w:left w:val="single" w:color="000000" w:sz="4" w:space="0"/>
              <w:bottom w:val="single" w:color="000000" w:sz="4" w:space="0"/>
              <w:right w:val="single" w:color="000000" w:sz="4" w:space="0"/>
            </w:tcBorders>
            <w:noWrap w:val="0"/>
            <w:vAlign w:val="center"/>
          </w:tcPr>
          <w:p w14:paraId="15B59D70">
            <w:pPr>
              <w:spacing w:line="480" w:lineRule="auto"/>
              <w:jc w:val="center"/>
              <w:rPr>
                <w:kern w:val="1"/>
              </w:rPr>
            </w:pPr>
          </w:p>
        </w:tc>
        <w:tc>
          <w:tcPr>
            <w:tcW w:w="2340" w:type="dxa"/>
            <w:vMerge w:val="continue"/>
            <w:tcBorders>
              <w:top w:val="single" w:color="000000" w:sz="4" w:space="0"/>
              <w:left w:val="single" w:color="000000" w:sz="4" w:space="0"/>
              <w:bottom w:val="single" w:color="000000" w:sz="4" w:space="0"/>
              <w:right w:val="single" w:color="000000" w:sz="8" w:space="0"/>
            </w:tcBorders>
            <w:noWrap w:val="0"/>
            <w:vAlign w:val="center"/>
          </w:tcPr>
          <w:p w14:paraId="7FB939A3">
            <w:pPr>
              <w:jc w:val="left"/>
              <w:rPr>
                <w:kern w:val="1"/>
              </w:rPr>
            </w:pPr>
          </w:p>
        </w:tc>
      </w:tr>
      <w:tr w14:paraId="3EF25D67">
        <w:tblPrEx>
          <w:tblCellMar>
            <w:top w:w="0" w:type="dxa"/>
            <w:left w:w="108" w:type="dxa"/>
            <w:bottom w:w="0" w:type="dxa"/>
            <w:right w:w="108" w:type="dxa"/>
          </w:tblCellMar>
        </w:tblPrEx>
        <w:trPr>
          <w:gridAfter w:val="1"/>
          <w:wAfter w:w="207" w:type="dxa"/>
          <w:cantSplit/>
          <w:trHeight w:val="1327" w:hRule="atLeast"/>
          <w:jc w:val="center"/>
        </w:trPr>
        <w:tc>
          <w:tcPr>
            <w:tcW w:w="828" w:type="dxa"/>
            <w:vMerge w:val="continue"/>
            <w:tcBorders>
              <w:top w:val="single" w:color="000000" w:sz="4" w:space="0"/>
              <w:left w:val="single" w:color="000000" w:sz="8" w:space="0"/>
              <w:bottom w:val="single" w:color="000000" w:sz="4" w:space="0"/>
              <w:right w:val="single" w:color="000000" w:sz="4" w:space="0"/>
            </w:tcBorders>
            <w:noWrap w:val="0"/>
            <w:vAlign w:val="top"/>
          </w:tcPr>
          <w:p w14:paraId="4B323DA8">
            <w:pPr>
              <w:jc w:val="left"/>
              <w:rPr>
                <w:kern w:val="1"/>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55059D9D">
            <w:pPr>
              <w:spacing w:line="480" w:lineRule="auto"/>
              <w:jc w:val="center"/>
              <w:rPr>
                <w:kern w:val="1"/>
              </w:rPr>
            </w:pPr>
            <w:r>
              <w:rPr>
                <w:rFonts w:hint="eastAsia"/>
                <w:kern w:val="1"/>
              </w:rPr>
              <w:t>住　　所</w:t>
            </w:r>
          </w:p>
          <w:p w14:paraId="6DE114BE">
            <w:pPr>
              <w:spacing w:line="480" w:lineRule="auto"/>
              <w:jc w:val="center"/>
              <w:rPr>
                <w:kern w:val="1"/>
              </w:rPr>
            </w:pPr>
            <w:r>
              <w:rPr>
                <w:rFonts w:hint="eastAsia"/>
                <w:kern w:val="1"/>
              </w:rPr>
              <w:t>（通讯地址）</w:t>
            </w:r>
          </w:p>
        </w:tc>
        <w:tc>
          <w:tcPr>
            <w:tcW w:w="2320" w:type="dxa"/>
            <w:gridSpan w:val="3"/>
            <w:tcBorders>
              <w:top w:val="single" w:color="000000" w:sz="4" w:space="0"/>
              <w:left w:val="single" w:color="000000" w:sz="4" w:space="0"/>
              <w:bottom w:val="single" w:color="000000" w:sz="4" w:space="0"/>
              <w:right w:val="single" w:color="000000" w:sz="4" w:space="0"/>
            </w:tcBorders>
            <w:noWrap w:val="0"/>
            <w:vAlign w:val="center"/>
          </w:tcPr>
          <w:p w14:paraId="15469371">
            <w:pPr>
              <w:spacing w:line="480" w:lineRule="auto"/>
              <w:jc w:val="center"/>
              <w:rPr>
                <w:kern w:val="1"/>
              </w:rPr>
            </w:pPr>
          </w:p>
        </w:tc>
        <w:tc>
          <w:tcPr>
            <w:tcW w:w="786" w:type="dxa"/>
            <w:gridSpan w:val="2"/>
            <w:tcBorders>
              <w:top w:val="single" w:color="000000" w:sz="4" w:space="0"/>
              <w:left w:val="single" w:color="000000" w:sz="4" w:space="0"/>
              <w:bottom w:val="single" w:color="000000" w:sz="4" w:space="0"/>
              <w:right w:val="single" w:color="000000" w:sz="4" w:space="0"/>
            </w:tcBorders>
            <w:noWrap w:val="0"/>
            <w:vAlign w:val="center"/>
          </w:tcPr>
          <w:p w14:paraId="6E0D57C3">
            <w:pPr>
              <w:jc w:val="center"/>
              <w:rPr>
                <w:kern w:val="1"/>
              </w:rPr>
            </w:pPr>
            <w:r>
              <w:rPr>
                <w:rFonts w:hint="eastAsia"/>
                <w:kern w:val="1"/>
              </w:rPr>
              <w:t>邮政</w:t>
            </w:r>
          </w:p>
          <w:p w14:paraId="58DFA452">
            <w:pPr>
              <w:spacing w:line="480" w:lineRule="auto"/>
              <w:jc w:val="center"/>
              <w:rPr>
                <w:kern w:val="1"/>
              </w:rPr>
            </w:pPr>
            <w:r>
              <w:rPr>
                <w:rFonts w:hint="eastAsia"/>
                <w:kern w:val="1"/>
              </w:rPr>
              <w:t>编码</w:t>
            </w:r>
          </w:p>
        </w:tc>
        <w:tc>
          <w:tcPr>
            <w:tcW w:w="1574" w:type="dxa"/>
            <w:tcBorders>
              <w:top w:val="single" w:color="000000" w:sz="4" w:space="0"/>
              <w:left w:val="single" w:color="000000" w:sz="4" w:space="0"/>
              <w:bottom w:val="single" w:color="000000" w:sz="4" w:space="0"/>
              <w:right w:val="single" w:color="000000" w:sz="4" w:space="0"/>
            </w:tcBorders>
            <w:noWrap w:val="0"/>
            <w:vAlign w:val="center"/>
          </w:tcPr>
          <w:p w14:paraId="4C9EA422">
            <w:pPr>
              <w:spacing w:line="480" w:lineRule="auto"/>
              <w:jc w:val="center"/>
              <w:rPr>
                <w:kern w:val="1"/>
              </w:rPr>
            </w:pPr>
          </w:p>
        </w:tc>
        <w:tc>
          <w:tcPr>
            <w:tcW w:w="2340" w:type="dxa"/>
            <w:vMerge w:val="continue"/>
            <w:tcBorders>
              <w:top w:val="single" w:color="000000" w:sz="4" w:space="0"/>
              <w:left w:val="single" w:color="000000" w:sz="4" w:space="0"/>
              <w:bottom w:val="single" w:color="000000" w:sz="4" w:space="0"/>
              <w:right w:val="single" w:color="000000" w:sz="8" w:space="0"/>
            </w:tcBorders>
            <w:noWrap w:val="0"/>
            <w:vAlign w:val="center"/>
          </w:tcPr>
          <w:p w14:paraId="74F330E6">
            <w:pPr>
              <w:jc w:val="left"/>
              <w:rPr>
                <w:kern w:val="1"/>
              </w:rPr>
            </w:pPr>
          </w:p>
        </w:tc>
      </w:tr>
      <w:tr w14:paraId="31D803E2">
        <w:tblPrEx>
          <w:tblCellMar>
            <w:top w:w="0" w:type="dxa"/>
            <w:left w:w="108" w:type="dxa"/>
            <w:bottom w:w="0" w:type="dxa"/>
            <w:right w:w="108" w:type="dxa"/>
          </w:tblCellMar>
        </w:tblPrEx>
        <w:trPr>
          <w:gridAfter w:val="1"/>
          <w:wAfter w:w="207" w:type="dxa"/>
          <w:cantSplit/>
          <w:trHeight w:val="664" w:hRule="atLeast"/>
          <w:jc w:val="center"/>
        </w:trPr>
        <w:tc>
          <w:tcPr>
            <w:tcW w:w="828" w:type="dxa"/>
            <w:vMerge w:val="continue"/>
            <w:tcBorders>
              <w:top w:val="single" w:color="000000" w:sz="4" w:space="0"/>
              <w:left w:val="single" w:color="000000" w:sz="8" w:space="0"/>
              <w:bottom w:val="single" w:color="000000" w:sz="4" w:space="0"/>
              <w:right w:val="single" w:color="000000" w:sz="4" w:space="0"/>
            </w:tcBorders>
            <w:noWrap w:val="0"/>
            <w:vAlign w:val="top"/>
          </w:tcPr>
          <w:p w14:paraId="2A1CE5B8">
            <w:pPr>
              <w:jc w:val="left"/>
              <w:rPr>
                <w:kern w:val="1"/>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3219F091">
            <w:pPr>
              <w:spacing w:line="480" w:lineRule="auto"/>
              <w:jc w:val="center"/>
              <w:rPr>
                <w:kern w:val="1"/>
              </w:rPr>
            </w:pPr>
            <w:r>
              <w:rPr>
                <w:rFonts w:hint="eastAsia"/>
                <w:kern w:val="1"/>
              </w:rPr>
              <w:t>电话</w:t>
            </w:r>
          </w:p>
        </w:tc>
        <w:tc>
          <w:tcPr>
            <w:tcW w:w="1625" w:type="dxa"/>
            <w:tcBorders>
              <w:top w:val="single" w:color="000000" w:sz="4" w:space="0"/>
              <w:left w:val="single" w:color="000000" w:sz="4" w:space="0"/>
              <w:bottom w:val="single" w:color="000000" w:sz="4" w:space="0"/>
              <w:right w:val="single" w:color="000000" w:sz="4" w:space="0"/>
            </w:tcBorders>
            <w:noWrap w:val="0"/>
            <w:vAlign w:val="center"/>
          </w:tcPr>
          <w:p w14:paraId="5AFE674D">
            <w:pPr>
              <w:spacing w:line="480" w:lineRule="auto"/>
              <w:jc w:val="center"/>
              <w:rPr>
                <w:kern w:val="1"/>
              </w:rPr>
            </w:pPr>
          </w:p>
        </w:tc>
        <w:tc>
          <w:tcPr>
            <w:tcW w:w="695" w:type="dxa"/>
            <w:gridSpan w:val="2"/>
            <w:tcBorders>
              <w:top w:val="single" w:color="000000" w:sz="4" w:space="0"/>
              <w:left w:val="single" w:color="000000" w:sz="4" w:space="0"/>
              <w:bottom w:val="single" w:color="000000" w:sz="4" w:space="0"/>
              <w:right w:val="single" w:color="000000" w:sz="4" w:space="0"/>
            </w:tcBorders>
            <w:noWrap w:val="0"/>
            <w:vAlign w:val="center"/>
          </w:tcPr>
          <w:p w14:paraId="594CCB11">
            <w:pPr>
              <w:spacing w:line="480" w:lineRule="auto"/>
              <w:jc w:val="center"/>
              <w:rPr>
                <w:kern w:val="1"/>
              </w:rPr>
            </w:pPr>
            <w:r>
              <w:rPr>
                <w:rFonts w:hint="eastAsia"/>
                <w:kern w:val="1"/>
              </w:rPr>
              <w:t>传真</w:t>
            </w:r>
          </w:p>
        </w:tc>
        <w:tc>
          <w:tcPr>
            <w:tcW w:w="2360" w:type="dxa"/>
            <w:gridSpan w:val="3"/>
            <w:tcBorders>
              <w:top w:val="single" w:color="000000" w:sz="4" w:space="0"/>
              <w:left w:val="single" w:color="000000" w:sz="4" w:space="0"/>
              <w:bottom w:val="single" w:color="000000" w:sz="4" w:space="0"/>
              <w:right w:val="single" w:color="000000" w:sz="4" w:space="0"/>
            </w:tcBorders>
            <w:noWrap w:val="0"/>
            <w:vAlign w:val="center"/>
          </w:tcPr>
          <w:p w14:paraId="63CFE9CA">
            <w:pPr>
              <w:spacing w:line="480" w:lineRule="auto"/>
              <w:jc w:val="center"/>
              <w:rPr>
                <w:kern w:val="1"/>
              </w:rPr>
            </w:pPr>
          </w:p>
        </w:tc>
        <w:tc>
          <w:tcPr>
            <w:tcW w:w="2340" w:type="dxa"/>
            <w:vMerge w:val="continue"/>
            <w:tcBorders>
              <w:top w:val="single" w:color="000000" w:sz="4" w:space="0"/>
              <w:left w:val="single" w:color="000000" w:sz="4" w:space="0"/>
              <w:bottom w:val="single" w:color="000000" w:sz="4" w:space="0"/>
              <w:right w:val="single" w:color="000000" w:sz="8" w:space="0"/>
            </w:tcBorders>
            <w:noWrap w:val="0"/>
            <w:vAlign w:val="center"/>
          </w:tcPr>
          <w:p w14:paraId="608BF723">
            <w:pPr>
              <w:jc w:val="left"/>
              <w:rPr>
                <w:kern w:val="1"/>
              </w:rPr>
            </w:pPr>
          </w:p>
        </w:tc>
      </w:tr>
      <w:tr w14:paraId="2FBAA45A">
        <w:tblPrEx>
          <w:tblCellMar>
            <w:top w:w="0" w:type="dxa"/>
            <w:left w:w="108" w:type="dxa"/>
            <w:bottom w:w="0" w:type="dxa"/>
            <w:right w:w="108" w:type="dxa"/>
          </w:tblCellMar>
        </w:tblPrEx>
        <w:trPr>
          <w:gridAfter w:val="1"/>
          <w:wAfter w:w="207" w:type="dxa"/>
          <w:cantSplit/>
          <w:trHeight w:val="664" w:hRule="atLeast"/>
          <w:jc w:val="center"/>
        </w:trPr>
        <w:tc>
          <w:tcPr>
            <w:tcW w:w="828" w:type="dxa"/>
            <w:vMerge w:val="continue"/>
            <w:tcBorders>
              <w:top w:val="single" w:color="000000" w:sz="4" w:space="0"/>
              <w:left w:val="single" w:color="000000" w:sz="8" w:space="0"/>
              <w:bottom w:val="single" w:color="000000" w:sz="4" w:space="0"/>
              <w:right w:val="single" w:color="000000" w:sz="4" w:space="0"/>
            </w:tcBorders>
            <w:noWrap w:val="0"/>
            <w:vAlign w:val="top"/>
          </w:tcPr>
          <w:p w14:paraId="441BB0B9">
            <w:pPr>
              <w:jc w:val="left"/>
              <w:rPr>
                <w:kern w:val="1"/>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6FE73E86">
            <w:pPr>
              <w:spacing w:line="480" w:lineRule="auto"/>
              <w:jc w:val="center"/>
              <w:rPr>
                <w:kern w:val="1"/>
              </w:rPr>
            </w:pPr>
            <w:r>
              <w:rPr>
                <w:rFonts w:hint="eastAsia"/>
                <w:kern w:val="1"/>
              </w:rPr>
              <w:t>开户银行</w:t>
            </w:r>
          </w:p>
        </w:tc>
        <w:tc>
          <w:tcPr>
            <w:tcW w:w="4680" w:type="dxa"/>
            <w:gridSpan w:val="6"/>
            <w:tcBorders>
              <w:top w:val="single" w:color="000000" w:sz="4" w:space="0"/>
              <w:left w:val="single" w:color="000000" w:sz="4" w:space="0"/>
              <w:bottom w:val="single" w:color="000000" w:sz="4" w:space="0"/>
              <w:right w:val="single" w:color="000000" w:sz="4" w:space="0"/>
            </w:tcBorders>
            <w:noWrap w:val="0"/>
            <w:vAlign w:val="center"/>
          </w:tcPr>
          <w:p w14:paraId="3AB90774">
            <w:pPr>
              <w:spacing w:line="480" w:lineRule="auto"/>
              <w:jc w:val="center"/>
              <w:rPr>
                <w:rFonts w:hint="eastAsia" w:ascii="宋体" w:hAnsi="宋体" w:cs="宋体"/>
                <w:kern w:val="1"/>
              </w:rPr>
            </w:pPr>
          </w:p>
          <w:p w14:paraId="423A157F">
            <w:pPr>
              <w:spacing w:line="480" w:lineRule="auto"/>
              <w:jc w:val="center"/>
              <w:rPr>
                <w:rFonts w:hint="eastAsia" w:ascii="宋体" w:hAnsi="宋体" w:cs="宋体"/>
                <w:kern w:val="1"/>
              </w:rPr>
            </w:pPr>
          </w:p>
        </w:tc>
        <w:tc>
          <w:tcPr>
            <w:tcW w:w="2340" w:type="dxa"/>
            <w:vMerge w:val="continue"/>
            <w:tcBorders>
              <w:top w:val="single" w:color="000000" w:sz="4" w:space="0"/>
              <w:left w:val="single" w:color="000000" w:sz="4" w:space="0"/>
              <w:bottom w:val="single" w:color="000000" w:sz="4" w:space="0"/>
              <w:right w:val="single" w:color="000000" w:sz="8" w:space="0"/>
            </w:tcBorders>
            <w:noWrap w:val="0"/>
            <w:vAlign w:val="center"/>
          </w:tcPr>
          <w:p w14:paraId="65A958A8">
            <w:pPr>
              <w:jc w:val="left"/>
              <w:rPr>
                <w:rFonts w:hint="eastAsia" w:ascii="宋体" w:hAnsi="宋体" w:cs="宋体"/>
                <w:kern w:val="1"/>
              </w:rPr>
            </w:pPr>
          </w:p>
        </w:tc>
      </w:tr>
      <w:tr w14:paraId="68E618CC">
        <w:tblPrEx>
          <w:tblCellMar>
            <w:top w:w="0" w:type="dxa"/>
            <w:left w:w="108" w:type="dxa"/>
            <w:bottom w:w="0" w:type="dxa"/>
            <w:right w:w="108" w:type="dxa"/>
          </w:tblCellMar>
        </w:tblPrEx>
        <w:trPr>
          <w:gridAfter w:val="1"/>
          <w:wAfter w:w="207" w:type="dxa"/>
          <w:cantSplit/>
          <w:trHeight w:val="664" w:hRule="atLeast"/>
          <w:jc w:val="center"/>
        </w:trPr>
        <w:tc>
          <w:tcPr>
            <w:tcW w:w="828" w:type="dxa"/>
            <w:vMerge w:val="continue"/>
            <w:tcBorders>
              <w:top w:val="single" w:color="000000" w:sz="4" w:space="0"/>
              <w:left w:val="single" w:color="000000" w:sz="8" w:space="0"/>
              <w:bottom w:val="single" w:color="000000" w:sz="4" w:space="0"/>
              <w:right w:val="single" w:color="000000" w:sz="4" w:space="0"/>
            </w:tcBorders>
            <w:noWrap w:val="0"/>
            <w:vAlign w:val="top"/>
          </w:tcPr>
          <w:p w14:paraId="6EA10366">
            <w:pPr>
              <w:jc w:val="left"/>
              <w:rPr>
                <w:rFonts w:hint="eastAsia" w:ascii="宋体" w:hAnsi="宋体" w:cs="宋体"/>
                <w:kern w:val="1"/>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5DF63065">
            <w:pPr>
              <w:spacing w:line="480" w:lineRule="auto"/>
              <w:jc w:val="center"/>
              <w:rPr>
                <w:kern w:val="1"/>
              </w:rPr>
            </w:pPr>
            <w:r>
              <w:rPr>
                <w:rFonts w:hint="eastAsia"/>
                <w:kern w:val="1"/>
              </w:rPr>
              <w:t>账号</w:t>
            </w:r>
          </w:p>
        </w:tc>
        <w:tc>
          <w:tcPr>
            <w:tcW w:w="4680" w:type="dxa"/>
            <w:gridSpan w:val="6"/>
            <w:tcBorders>
              <w:top w:val="single" w:color="000000" w:sz="4" w:space="0"/>
              <w:left w:val="single" w:color="000000" w:sz="4" w:space="0"/>
              <w:bottom w:val="single" w:color="000000" w:sz="4" w:space="0"/>
              <w:right w:val="single" w:color="000000" w:sz="4" w:space="0"/>
            </w:tcBorders>
            <w:noWrap w:val="0"/>
            <w:vAlign w:val="center"/>
          </w:tcPr>
          <w:p w14:paraId="448EF684">
            <w:pPr>
              <w:spacing w:before="156" w:line="480" w:lineRule="auto"/>
              <w:jc w:val="center"/>
              <w:rPr>
                <w:kern w:val="1"/>
              </w:rPr>
            </w:pPr>
          </w:p>
        </w:tc>
        <w:tc>
          <w:tcPr>
            <w:tcW w:w="2340" w:type="dxa"/>
            <w:vMerge w:val="continue"/>
            <w:tcBorders>
              <w:top w:val="single" w:color="000000" w:sz="4" w:space="0"/>
              <w:left w:val="single" w:color="000000" w:sz="4" w:space="0"/>
              <w:bottom w:val="single" w:color="000000" w:sz="4" w:space="0"/>
              <w:right w:val="single" w:color="000000" w:sz="8" w:space="0"/>
            </w:tcBorders>
            <w:noWrap w:val="0"/>
            <w:vAlign w:val="center"/>
          </w:tcPr>
          <w:p w14:paraId="4E96D350">
            <w:pPr>
              <w:jc w:val="left"/>
              <w:rPr>
                <w:kern w:val="1"/>
              </w:rPr>
            </w:pPr>
          </w:p>
        </w:tc>
      </w:tr>
      <w:tr w14:paraId="3244C2D8">
        <w:tblPrEx>
          <w:tblCellMar>
            <w:top w:w="0" w:type="dxa"/>
            <w:left w:w="108" w:type="dxa"/>
            <w:bottom w:w="0" w:type="dxa"/>
            <w:right w:w="108" w:type="dxa"/>
          </w:tblCellMar>
        </w:tblPrEx>
        <w:trPr>
          <w:gridAfter w:val="1"/>
          <w:wAfter w:w="207" w:type="dxa"/>
          <w:cantSplit/>
          <w:trHeight w:val="646" w:hRule="atLeast"/>
          <w:jc w:val="center"/>
        </w:trPr>
        <w:tc>
          <w:tcPr>
            <w:tcW w:w="828" w:type="dxa"/>
            <w:vMerge w:val="restart"/>
            <w:tcBorders>
              <w:top w:val="single" w:color="000000" w:sz="4" w:space="0"/>
              <w:left w:val="single" w:color="000000" w:sz="8" w:space="0"/>
              <w:bottom w:val="single" w:color="000000" w:sz="4" w:space="0"/>
              <w:right w:val="single" w:color="000000" w:sz="4" w:space="0"/>
            </w:tcBorders>
            <w:noWrap w:val="0"/>
            <w:textDirection w:val="tbRlV"/>
            <w:vAlign w:val="bottom"/>
          </w:tcPr>
          <w:p w14:paraId="2DEC0070">
            <w:pPr>
              <w:ind w:firstLine="560"/>
              <w:jc w:val="center"/>
              <w:rPr>
                <w:kern w:val="1"/>
              </w:rPr>
            </w:pPr>
            <w:r>
              <w:rPr>
                <w:rFonts w:hint="eastAsia"/>
                <w:kern w:val="1"/>
              </w:rPr>
              <w:t>受　托　方　（乙　方）</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7FAC2B74">
            <w:pPr>
              <w:spacing w:line="480" w:lineRule="auto"/>
              <w:jc w:val="center"/>
              <w:rPr>
                <w:kern w:val="1"/>
              </w:rPr>
            </w:pPr>
            <w:r>
              <w:rPr>
                <w:rFonts w:hint="eastAsia"/>
                <w:kern w:val="1"/>
              </w:rPr>
              <w:t>名称（或姓名）</w:t>
            </w:r>
          </w:p>
        </w:tc>
        <w:tc>
          <w:tcPr>
            <w:tcW w:w="4680" w:type="dxa"/>
            <w:gridSpan w:val="6"/>
            <w:tcBorders>
              <w:top w:val="single" w:color="000000" w:sz="4" w:space="0"/>
              <w:left w:val="single" w:color="000000" w:sz="4" w:space="0"/>
              <w:bottom w:val="single" w:color="000000" w:sz="4" w:space="0"/>
              <w:right w:val="single" w:color="000000" w:sz="4" w:space="0"/>
            </w:tcBorders>
            <w:noWrap w:val="0"/>
            <w:vAlign w:val="center"/>
          </w:tcPr>
          <w:p w14:paraId="023185AE">
            <w:pPr>
              <w:spacing w:line="480" w:lineRule="auto"/>
              <w:jc w:val="center"/>
              <w:rPr>
                <w:kern w:val="1"/>
              </w:rPr>
            </w:pPr>
          </w:p>
        </w:tc>
        <w:tc>
          <w:tcPr>
            <w:tcW w:w="2340" w:type="dxa"/>
            <w:vMerge w:val="restart"/>
            <w:tcBorders>
              <w:top w:val="single" w:color="000000" w:sz="4" w:space="0"/>
              <w:left w:val="single" w:color="000000" w:sz="4" w:space="0"/>
              <w:bottom w:val="single" w:color="000000" w:sz="4" w:space="0"/>
              <w:right w:val="single" w:color="000000" w:sz="8" w:space="0"/>
            </w:tcBorders>
            <w:noWrap w:val="0"/>
            <w:vAlign w:val="center"/>
          </w:tcPr>
          <w:p w14:paraId="489F3B74">
            <w:pPr>
              <w:spacing w:line="480" w:lineRule="auto"/>
              <w:jc w:val="center"/>
              <w:rPr>
                <w:kern w:val="1"/>
              </w:rPr>
            </w:pPr>
            <w:r>
              <w:rPr>
                <w:rFonts w:hint="eastAsia"/>
                <w:kern w:val="1"/>
              </w:rPr>
              <w:t>技术合同专用章</w:t>
            </w:r>
          </w:p>
          <w:p w14:paraId="3C0CC38B">
            <w:pPr>
              <w:spacing w:line="480" w:lineRule="auto"/>
              <w:jc w:val="center"/>
              <w:rPr>
                <w:kern w:val="1"/>
              </w:rPr>
            </w:pPr>
            <w:r>
              <w:rPr>
                <w:rFonts w:hint="eastAsia"/>
                <w:kern w:val="1"/>
              </w:rPr>
              <w:t>或</w:t>
            </w:r>
          </w:p>
          <w:p w14:paraId="4A28B24B">
            <w:pPr>
              <w:spacing w:line="480" w:lineRule="auto"/>
              <w:jc w:val="center"/>
              <w:rPr>
                <w:kern w:val="1"/>
              </w:rPr>
            </w:pPr>
            <w:r>
              <w:rPr>
                <w:rFonts w:hint="eastAsia"/>
                <w:kern w:val="1"/>
              </w:rPr>
              <w:t>单位公章</w:t>
            </w:r>
          </w:p>
          <w:p w14:paraId="5C974790">
            <w:pPr>
              <w:spacing w:line="480" w:lineRule="auto"/>
              <w:jc w:val="center"/>
              <w:rPr>
                <w:kern w:val="1"/>
              </w:rPr>
            </w:pPr>
          </w:p>
          <w:p w14:paraId="08FB8825">
            <w:pPr>
              <w:spacing w:line="480" w:lineRule="auto"/>
              <w:jc w:val="center"/>
              <w:rPr>
                <w:kern w:val="1"/>
              </w:rPr>
            </w:pPr>
          </w:p>
          <w:p w14:paraId="4D67276E">
            <w:pPr>
              <w:spacing w:line="480" w:lineRule="auto"/>
              <w:jc w:val="center"/>
              <w:rPr>
                <w:kern w:val="1"/>
              </w:rPr>
            </w:pPr>
          </w:p>
          <w:p w14:paraId="78ADE30F">
            <w:pPr>
              <w:spacing w:line="480" w:lineRule="auto"/>
              <w:jc w:val="center"/>
              <w:rPr>
                <w:kern w:val="1"/>
              </w:rPr>
            </w:pPr>
          </w:p>
          <w:p w14:paraId="5E88414E">
            <w:pPr>
              <w:spacing w:line="480" w:lineRule="auto"/>
              <w:jc w:val="center"/>
              <w:rPr>
                <w:kern w:val="1"/>
              </w:rPr>
            </w:pPr>
            <w:r>
              <w:rPr>
                <w:rFonts w:hint="eastAsia"/>
                <w:kern w:val="1"/>
              </w:rPr>
              <w:t xml:space="preserve">   年  月  日</w:t>
            </w:r>
          </w:p>
        </w:tc>
      </w:tr>
      <w:tr w14:paraId="1466E65A">
        <w:tblPrEx>
          <w:tblCellMar>
            <w:top w:w="0" w:type="dxa"/>
            <w:left w:w="108" w:type="dxa"/>
            <w:bottom w:w="0" w:type="dxa"/>
            <w:right w:w="108" w:type="dxa"/>
          </w:tblCellMar>
        </w:tblPrEx>
        <w:trPr>
          <w:gridAfter w:val="1"/>
          <w:wAfter w:w="207" w:type="dxa"/>
          <w:cantSplit/>
          <w:trHeight w:val="664" w:hRule="atLeast"/>
          <w:jc w:val="center"/>
        </w:trPr>
        <w:tc>
          <w:tcPr>
            <w:tcW w:w="828" w:type="dxa"/>
            <w:vMerge w:val="continue"/>
            <w:tcBorders>
              <w:top w:val="single" w:color="000000" w:sz="4" w:space="0"/>
              <w:left w:val="single" w:color="000000" w:sz="8" w:space="0"/>
              <w:bottom w:val="single" w:color="000000" w:sz="4" w:space="0"/>
              <w:right w:val="single" w:color="000000" w:sz="4" w:space="0"/>
            </w:tcBorders>
            <w:noWrap w:val="0"/>
            <w:vAlign w:val="center"/>
          </w:tcPr>
          <w:p w14:paraId="12EB18B4">
            <w:pPr>
              <w:jc w:val="left"/>
              <w:rPr>
                <w:kern w:val="1"/>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5146C431">
            <w:pPr>
              <w:spacing w:line="480" w:lineRule="auto"/>
              <w:jc w:val="center"/>
              <w:rPr>
                <w:kern w:val="1"/>
              </w:rPr>
            </w:pPr>
            <w:r>
              <w:rPr>
                <w:rFonts w:hint="eastAsia"/>
                <w:kern w:val="1"/>
              </w:rPr>
              <w:t>法定代表人</w:t>
            </w:r>
          </w:p>
        </w:tc>
        <w:tc>
          <w:tcPr>
            <w:tcW w:w="4680" w:type="dxa"/>
            <w:gridSpan w:val="6"/>
            <w:tcBorders>
              <w:top w:val="single" w:color="000000" w:sz="4" w:space="0"/>
              <w:left w:val="single" w:color="000000" w:sz="4" w:space="0"/>
              <w:bottom w:val="single" w:color="000000" w:sz="4" w:space="0"/>
              <w:right w:val="single" w:color="000000" w:sz="4" w:space="0"/>
            </w:tcBorders>
            <w:noWrap w:val="0"/>
            <w:vAlign w:val="center"/>
          </w:tcPr>
          <w:p w14:paraId="3B73B7CE">
            <w:pPr>
              <w:spacing w:line="480" w:lineRule="auto"/>
              <w:jc w:val="center"/>
              <w:rPr>
                <w:kern w:val="1"/>
              </w:rPr>
            </w:pPr>
            <w:r>
              <w:rPr>
                <w:rFonts w:hint="eastAsia"/>
                <w:kern w:val="1"/>
              </w:rPr>
              <w:t>（签字或盖章）</w:t>
            </w:r>
          </w:p>
        </w:tc>
        <w:tc>
          <w:tcPr>
            <w:tcW w:w="2340" w:type="dxa"/>
            <w:vMerge w:val="continue"/>
            <w:tcBorders>
              <w:top w:val="single" w:color="000000" w:sz="4" w:space="0"/>
              <w:left w:val="single" w:color="000000" w:sz="4" w:space="0"/>
              <w:bottom w:val="single" w:color="000000" w:sz="4" w:space="0"/>
              <w:right w:val="single" w:color="000000" w:sz="8" w:space="0"/>
            </w:tcBorders>
            <w:noWrap w:val="0"/>
            <w:vAlign w:val="center"/>
          </w:tcPr>
          <w:p w14:paraId="30D19C35">
            <w:pPr>
              <w:jc w:val="left"/>
              <w:rPr>
                <w:kern w:val="1"/>
              </w:rPr>
            </w:pPr>
          </w:p>
        </w:tc>
      </w:tr>
      <w:tr w14:paraId="43A3BE18">
        <w:tblPrEx>
          <w:tblCellMar>
            <w:top w:w="0" w:type="dxa"/>
            <w:left w:w="108" w:type="dxa"/>
            <w:bottom w:w="0" w:type="dxa"/>
            <w:right w:w="108" w:type="dxa"/>
          </w:tblCellMar>
        </w:tblPrEx>
        <w:trPr>
          <w:gridAfter w:val="1"/>
          <w:wAfter w:w="207" w:type="dxa"/>
          <w:cantSplit/>
          <w:trHeight w:val="664" w:hRule="atLeast"/>
          <w:jc w:val="center"/>
        </w:trPr>
        <w:tc>
          <w:tcPr>
            <w:tcW w:w="828" w:type="dxa"/>
            <w:vMerge w:val="continue"/>
            <w:tcBorders>
              <w:top w:val="single" w:color="000000" w:sz="4" w:space="0"/>
              <w:left w:val="single" w:color="000000" w:sz="8" w:space="0"/>
              <w:bottom w:val="single" w:color="000000" w:sz="4" w:space="0"/>
              <w:right w:val="single" w:color="000000" w:sz="4" w:space="0"/>
            </w:tcBorders>
            <w:noWrap w:val="0"/>
            <w:vAlign w:val="center"/>
          </w:tcPr>
          <w:p w14:paraId="67353FBB">
            <w:pPr>
              <w:jc w:val="left"/>
              <w:rPr>
                <w:kern w:val="1"/>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6558E714">
            <w:pPr>
              <w:spacing w:line="480" w:lineRule="auto"/>
              <w:jc w:val="center"/>
              <w:rPr>
                <w:kern w:val="1"/>
              </w:rPr>
            </w:pPr>
            <w:r>
              <w:rPr>
                <w:rFonts w:hint="eastAsia"/>
                <w:kern w:val="1"/>
              </w:rPr>
              <w:t>委托代理人</w:t>
            </w:r>
          </w:p>
        </w:tc>
        <w:tc>
          <w:tcPr>
            <w:tcW w:w="4680" w:type="dxa"/>
            <w:gridSpan w:val="6"/>
            <w:tcBorders>
              <w:top w:val="single" w:color="000000" w:sz="4" w:space="0"/>
              <w:left w:val="single" w:color="000000" w:sz="4" w:space="0"/>
              <w:bottom w:val="single" w:color="000000" w:sz="4" w:space="0"/>
              <w:right w:val="single" w:color="000000" w:sz="4" w:space="0"/>
            </w:tcBorders>
            <w:noWrap w:val="0"/>
            <w:vAlign w:val="center"/>
          </w:tcPr>
          <w:p w14:paraId="624A7762">
            <w:pPr>
              <w:spacing w:line="480" w:lineRule="auto"/>
              <w:jc w:val="center"/>
              <w:rPr>
                <w:kern w:val="1"/>
              </w:rPr>
            </w:pPr>
          </w:p>
        </w:tc>
        <w:tc>
          <w:tcPr>
            <w:tcW w:w="2340" w:type="dxa"/>
            <w:vMerge w:val="continue"/>
            <w:tcBorders>
              <w:top w:val="single" w:color="000000" w:sz="4" w:space="0"/>
              <w:left w:val="single" w:color="000000" w:sz="4" w:space="0"/>
              <w:bottom w:val="single" w:color="000000" w:sz="4" w:space="0"/>
              <w:right w:val="single" w:color="000000" w:sz="8" w:space="0"/>
            </w:tcBorders>
            <w:noWrap w:val="0"/>
            <w:vAlign w:val="center"/>
          </w:tcPr>
          <w:p w14:paraId="6F79A95B">
            <w:pPr>
              <w:jc w:val="left"/>
              <w:rPr>
                <w:kern w:val="1"/>
              </w:rPr>
            </w:pPr>
          </w:p>
        </w:tc>
      </w:tr>
      <w:tr w14:paraId="61D739A4">
        <w:tblPrEx>
          <w:tblCellMar>
            <w:top w:w="0" w:type="dxa"/>
            <w:left w:w="108" w:type="dxa"/>
            <w:bottom w:w="0" w:type="dxa"/>
            <w:right w:w="108" w:type="dxa"/>
          </w:tblCellMar>
        </w:tblPrEx>
        <w:trPr>
          <w:gridAfter w:val="1"/>
          <w:wAfter w:w="207" w:type="dxa"/>
          <w:cantSplit/>
          <w:trHeight w:val="664" w:hRule="atLeast"/>
          <w:jc w:val="center"/>
        </w:trPr>
        <w:tc>
          <w:tcPr>
            <w:tcW w:w="828" w:type="dxa"/>
            <w:vMerge w:val="continue"/>
            <w:tcBorders>
              <w:top w:val="single" w:color="000000" w:sz="4" w:space="0"/>
              <w:left w:val="single" w:color="000000" w:sz="8" w:space="0"/>
              <w:bottom w:val="single" w:color="000000" w:sz="4" w:space="0"/>
              <w:right w:val="single" w:color="000000" w:sz="4" w:space="0"/>
            </w:tcBorders>
            <w:noWrap w:val="0"/>
            <w:vAlign w:val="center"/>
          </w:tcPr>
          <w:p w14:paraId="68651E58">
            <w:pPr>
              <w:jc w:val="left"/>
              <w:rPr>
                <w:kern w:val="1"/>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275D3C98">
            <w:pPr>
              <w:spacing w:line="480" w:lineRule="auto"/>
              <w:jc w:val="center"/>
              <w:rPr>
                <w:kern w:val="1"/>
              </w:rPr>
            </w:pPr>
            <w:r>
              <w:rPr>
                <w:rFonts w:hint="eastAsia"/>
                <w:kern w:val="1"/>
              </w:rPr>
              <w:t>联系（经办）人</w:t>
            </w:r>
          </w:p>
        </w:tc>
        <w:tc>
          <w:tcPr>
            <w:tcW w:w="4680" w:type="dxa"/>
            <w:gridSpan w:val="6"/>
            <w:tcBorders>
              <w:top w:val="single" w:color="000000" w:sz="4" w:space="0"/>
              <w:left w:val="single" w:color="000000" w:sz="4" w:space="0"/>
              <w:bottom w:val="single" w:color="000000" w:sz="4" w:space="0"/>
              <w:right w:val="single" w:color="000000" w:sz="4" w:space="0"/>
            </w:tcBorders>
            <w:noWrap w:val="0"/>
            <w:vAlign w:val="center"/>
          </w:tcPr>
          <w:p w14:paraId="7C6DAFCA">
            <w:pPr>
              <w:spacing w:line="480" w:lineRule="auto"/>
              <w:jc w:val="center"/>
              <w:rPr>
                <w:kern w:val="1"/>
              </w:rPr>
            </w:pPr>
          </w:p>
        </w:tc>
        <w:tc>
          <w:tcPr>
            <w:tcW w:w="2340" w:type="dxa"/>
            <w:vMerge w:val="continue"/>
            <w:tcBorders>
              <w:top w:val="single" w:color="000000" w:sz="4" w:space="0"/>
              <w:left w:val="single" w:color="000000" w:sz="4" w:space="0"/>
              <w:bottom w:val="single" w:color="000000" w:sz="4" w:space="0"/>
              <w:right w:val="single" w:color="000000" w:sz="8" w:space="0"/>
            </w:tcBorders>
            <w:noWrap w:val="0"/>
            <w:vAlign w:val="center"/>
          </w:tcPr>
          <w:p w14:paraId="18BB0277">
            <w:pPr>
              <w:jc w:val="left"/>
              <w:rPr>
                <w:kern w:val="1"/>
              </w:rPr>
            </w:pPr>
          </w:p>
        </w:tc>
      </w:tr>
      <w:tr w14:paraId="56D813F4">
        <w:tblPrEx>
          <w:tblCellMar>
            <w:top w:w="0" w:type="dxa"/>
            <w:left w:w="108" w:type="dxa"/>
            <w:bottom w:w="0" w:type="dxa"/>
            <w:right w:w="108" w:type="dxa"/>
          </w:tblCellMar>
        </w:tblPrEx>
        <w:trPr>
          <w:gridAfter w:val="1"/>
          <w:wAfter w:w="207" w:type="dxa"/>
          <w:cantSplit/>
          <w:trHeight w:val="1309" w:hRule="atLeast"/>
          <w:jc w:val="center"/>
        </w:trPr>
        <w:tc>
          <w:tcPr>
            <w:tcW w:w="828" w:type="dxa"/>
            <w:vMerge w:val="continue"/>
            <w:tcBorders>
              <w:top w:val="single" w:color="000000" w:sz="4" w:space="0"/>
              <w:left w:val="single" w:color="000000" w:sz="8" w:space="0"/>
              <w:bottom w:val="single" w:color="000000" w:sz="4" w:space="0"/>
              <w:right w:val="single" w:color="000000" w:sz="4" w:space="0"/>
            </w:tcBorders>
            <w:noWrap w:val="0"/>
            <w:vAlign w:val="center"/>
          </w:tcPr>
          <w:p w14:paraId="7BA6EFA1">
            <w:pPr>
              <w:jc w:val="left"/>
              <w:rPr>
                <w:kern w:val="1"/>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2B0D448C">
            <w:pPr>
              <w:spacing w:line="480" w:lineRule="auto"/>
              <w:jc w:val="center"/>
              <w:rPr>
                <w:kern w:val="1"/>
              </w:rPr>
            </w:pPr>
            <w:r>
              <w:rPr>
                <w:rFonts w:hint="eastAsia"/>
                <w:kern w:val="1"/>
              </w:rPr>
              <w:t>住　　所</w:t>
            </w:r>
          </w:p>
          <w:p w14:paraId="4E7C8A50">
            <w:pPr>
              <w:spacing w:line="480" w:lineRule="auto"/>
              <w:jc w:val="center"/>
              <w:rPr>
                <w:kern w:val="1"/>
              </w:rPr>
            </w:pPr>
            <w:r>
              <w:rPr>
                <w:rFonts w:hint="eastAsia"/>
                <w:kern w:val="1"/>
              </w:rPr>
              <w:t>（通讯地址）</w:t>
            </w:r>
          </w:p>
        </w:tc>
        <w:tc>
          <w:tcPr>
            <w:tcW w:w="2407" w:type="dxa"/>
            <w:gridSpan w:val="4"/>
            <w:tcBorders>
              <w:top w:val="single" w:color="000000" w:sz="4" w:space="0"/>
              <w:left w:val="single" w:color="000000" w:sz="4" w:space="0"/>
              <w:bottom w:val="single" w:color="000000" w:sz="4" w:space="0"/>
              <w:right w:val="single" w:color="000000" w:sz="4" w:space="0"/>
            </w:tcBorders>
            <w:noWrap w:val="0"/>
            <w:vAlign w:val="center"/>
          </w:tcPr>
          <w:p w14:paraId="260B1D88">
            <w:pPr>
              <w:spacing w:line="480" w:lineRule="auto"/>
              <w:jc w:val="center"/>
              <w:rPr>
                <w:rFonts w:hint="eastAsia" w:ascii="宋体" w:hAnsi="宋体" w:cs="宋体"/>
                <w:kern w:val="1"/>
              </w:rPr>
            </w:pPr>
          </w:p>
        </w:tc>
        <w:tc>
          <w:tcPr>
            <w:tcW w:w="699" w:type="dxa"/>
            <w:tcBorders>
              <w:top w:val="single" w:color="000000" w:sz="4" w:space="0"/>
              <w:left w:val="single" w:color="000000" w:sz="4" w:space="0"/>
              <w:bottom w:val="single" w:color="000000" w:sz="4" w:space="0"/>
              <w:right w:val="single" w:color="000000" w:sz="4" w:space="0"/>
            </w:tcBorders>
            <w:noWrap w:val="0"/>
            <w:vAlign w:val="center"/>
          </w:tcPr>
          <w:p w14:paraId="00A79C58">
            <w:pPr>
              <w:spacing w:line="480" w:lineRule="auto"/>
              <w:jc w:val="center"/>
              <w:rPr>
                <w:kern w:val="1"/>
              </w:rPr>
            </w:pPr>
            <w:r>
              <w:rPr>
                <w:rFonts w:hint="eastAsia"/>
                <w:kern w:val="1"/>
              </w:rPr>
              <w:t>邮政</w:t>
            </w:r>
          </w:p>
          <w:p w14:paraId="7A0C84A0">
            <w:pPr>
              <w:spacing w:line="480" w:lineRule="auto"/>
              <w:jc w:val="center"/>
              <w:rPr>
                <w:kern w:val="1"/>
              </w:rPr>
            </w:pPr>
            <w:r>
              <w:rPr>
                <w:rFonts w:hint="eastAsia"/>
                <w:kern w:val="1"/>
              </w:rPr>
              <w:t>编码</w:t>
            </w:r>
          </w:p>
        </w:tc>
        <w:tc>
          <w:tcPr>
            <w:tcW w:w="1574" w:type="dxa"/>
            <w:tcBorders>
              <w:top w:val="single" w:color="000000" w:sz="4" w:space="0"/>
              <w:left w:val="single" w:color="000000" w:sz="4" w:space="0"/>
              <w:bottom w:val="single" w:color="000000" w:sz="4" w:space="0"/>
              <w:right w:val="single" w:color="000000" w:sz="4" w:space="0"/>
            </w:tcBorders>
            <w:noWrap w:val="0"/>
            <w:vAlign w:val="center"/>
          </w:tcPr>
          <w:p w14:paraId="1ACDE424">
            <w:pPr>
              <w:spacing w:line="480" w:lineRule="auto"/>
              <w:jc w:val="center"/>
              <w:rPr>
                <w:kern w:val="1"/>
              </w:rPr>
            </w:pPr>
          </w:p>
        </w:tc>
        <w:tc>
          <w:tcPr>
            <w:tcW w:w="2340" w:type="dxa"/>
            <w:vMerge w:val="continue"/>
            <w:tcBorders>
              <w:top w:val="single" w:color="000000" w:sz="4" w:space="0"/>
              <w:left w:val="single" w:color="000000" w:sz="4" w:space="0"/>
              <w:bottom w:val="single" w:color="000000" w:sz="4" w:space="0"/>
              <w:right w:val="single" w:color="000000" w:sz="8" w:space="0"/>
            </w:tcBorders>
            <w:noWrap w:val="0"/>
            <w:vAlign w:val="center"/>
          </w:tcPr>
          <w:p w14:paraId="4BB25257">
            <w:pPr>
              <w:jc w:val="left"/>
              <w:rPr>
                <w:kern w:val="1"/>
              </w:rPr>
            </w:pPr>
          </w:p>
        </w:tc>
      </w:tr>
      <w:tr w14:paraId="6B36864D">
        <w:tblPrEx>
          <w:tblCellMar>
            <w:top w:w="0" w:type="dxa"/>
            <w:left w:w="108" w:type="dxa"/>
            <w:bottom w:w="0" w:type="dxa"/>
            <w:right w:w="108" w:type="dxa"/>
          </w:tblCellMar>
        </w:tblPrEx>
        <w:trPr>
          <w:gridAfter w:val="1"/>
          <w:wAfter w:w="207" w:type="dxa"/>
          <w:cantSplit/>
          <w:trHeight w:val="664" w:hRule="atLeast"/>
          <w:jc w:val="center"/>
        </w:trPr>
        <w:tc>
          <w:tcPr>
            <w:tcW w:w="828" w:type="dxa"/>
            <w:vMerge w:val="continue"/>
            <w:tcBorders>
              <w:top w:val="single" w:color="000000" w:sz="4" w:space="0"/>
              <w:left w:val="single" w:color="000000" w:sz="8" w:space="0"/>
              <w:bottom w:val="single" w:color="000000" w:sz="4" w:space="0"/>
              <w:right w:val="single" w:color="000000" w:sz="4" w:space="0"/>
            </w:tcBorders>
            <w:noWrap w:val="0"/>
            <w:vAlign w:val="center"/>
          </w:tcPr>
          <w:p w14:paraId="73BE7C4A">
            <w:pPr>
              <w:jc w:val="left"/>
              <w:rPr>
                <w:kern w:val="1"/>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03F1FBC3">
            <w:pPr>
              <w:spacing w:line="480" w:lineRule="auto"/>
              <w:jc w:val="center"/>
              <w:rPr>
                <w:kern w:val="1"/>
              </w:rPr>
            </w:pPr>
            <w:r>
              <w:rPr>
                <w:rFonts w:hint="eastAsia"/>
                <w:kern w:val="1"/>
              </w:rPr>
              <w:t>电话</w:t>
            </w:r>
          </w:p>
        </w:tc>
        <w:tc>
          <w:tcPr>
            <w:tcW w:w="1692" w:type="dxa"/>
            <w:gridSpan w:val="2"/>
            <w:tcBorders>
              <w:top w:val="single" w:color="000000" w:sz="4" w:space="0"/>
              <w:left w:val="single" w:color="000000" w:sz="4" w:space="0"/>
              <w:bottom w:val="single" w:color="000000" w:sz="4" w:space="0"/>
              <w:right w:val="single" w:color="000000" w:sz="4" w:space="0"/>
            </w:tcBorders>
            <w:noWrap w:val="0"/>
            <w:vAlign w:val="center"/>
          </w:tcPr>
          <w:p w14:paraId="14B8040B">
            <w:pPr>
              <w:spacing w:line="480" w:lineRule="auto"/>
              <w:jc w:val="center"/>
              <w:rPr>
                <w:kern w:val="1"/>
              </w:rPr>
            </w:pPr>
          </w:p>
        </w:tc>
        <w:tc>
          <w:tcPr>
            <w:tcW w:w="715" w:type="dxa"/>
            <w:gridSpan w:val="2"/>
            <w:tcBorders>
              <w:top w:val="single" w:color="000000" w:sz="4" w:space="0"/>
              <w:left w:val="single" w:color="000000" w:sz="4" w:space="0"/>
              <w:bottom w:val="single" w:color="000000" w:sz="4" w:space="0"/>
              <w:right w:val="single" w:color="000000" w:sz="4" w:space="0"/>
            </w:tcBorders>
            <w:noWrap w:val="0"/>
            <w:vAlign w:val="center"/>
          </w:tcPr>
          <w:p w14:paraId="745DC2C7">
            <w:pPr>
              <w:spacing w:line="480" w:lineRule="auto"/>
              <w:jc w:val="center"/>
              <w:rPr>
                <w:kern w:val="1"/>
              </w:rPr>
            </w:pPr>
            <w:r>
              <w:rPr>
                <w:rFonts w:hint="eastAsia"/>
                <w:kern w:val="1"/>
              </w:rPr>
              <w:t>传真</w:t>
            </w:r>
          </w:p>
        </w:tc>
        <w:tc>
          <w:tcPr>
            <w:tcW w:w="2273" w:type="dxa"/>
            <w:gridSpan w:val="2"/>
            <w:tcBorders>
              <w:top w:val="single" w:color="000000" w:sz="4" w:space="0"/>
              <w:left w:val="single" w:color="000000" w:sz="4" w:space="0"/>
              <w:bottom w:val="single" w:color="000000" w:sz="4" w:space="0"/>
              <w:right w:val="single" w:color="000000" w:sz="4" w:space="0"/>
            </w:tcBorders>
            <w:noWrap w:val="0"/>
            <w:vAlign w:val="center"/>
          </w:tcPr>
          <w:p w14:paraId="1B222131">
            <w:pPr>
              <w:spacing w:line="480" w:lineRule="auto"/>
              <w:jc w:val="center"/>
              <w:rPr>
                <w:kern w:val="1"/>
              </w:rPr>
            </w:pPr>
          </w:p>
        </w:tc>
        <w:tc>
          <w:tcPr>
            <w:tcW w:w="2340" w:type="dxa"/>
            <w:vMerge w:val="continue"/>
            <w:tcBorders>
              <w:top w:val="single" w:color="000000" w:sz="4" w:space="0"/>
              <w:left w:val="single" w:color="000000" w:sz="4" w:space="0"/>
              <w:bottom w:val="single" w:color="000000" w:sz="4" w:space="0"/>
              <w:right w:val="single" w:color="000000" w:sz="8" w:space="0"/>
            </w:tcBorders>
            <w:noWrap w:val="0"/>
            <w:vAlign w:val="center"/>
          </w:tcPr>
          <w:p w14:paraId="6A5BA3CD">
            <w:pPr>
              <w:jc w:val="left"/>
              <w:rPr>
                <w:kern w:val="1"/>
              </w:rPr>
            </w:pPr>
          </w:p>
        </w:tc>
      </w:tr>
      <w:tr w14:paraId="508AFE4D">
        <w:tblPrEx>
          <w:tblCellMar>
            <w:top w:w="0" w:type="dxa"/>
            <w:left w:w="108" w:type="dxa"/>
            <w:bottom w:w="0" w:type="dxa"/>
            <w:right w:w="108" w:type="dxa"/>
          </w:tblCellMar>
        </w:tblPrEx>
        <w:trPr>
          <w:gridAfter w:val="1"/>
          <w:wAfter w:w="207" w:type="dxa"/>
          <w:cantSplit/>
          <w:trHeight w:val="664" w:hRule="atLeast"/>
          <w:jc w:val="center"/>
        </w:trPr>
        <w:tc>
          <w:tcPr>
            <w:tcW w:w="828" w:type="dxa"/>
            <w:vMerge w:val="continue"/>
            <w:tcBorders>
              <w:top w:val="single" w:color="000000" w:sz="4" w:space="0"/>
              <w:left w:val="single" w:color="000000" w:sz="8" w:space="0"/>
              <w:bottom w:val="single" w:color="000000" w:sz="4" w:space="0"/>
              <w:right w:val="single" w:color="000000" w:sz="4" w:space="0"/>
            </w:tcBorders>
            <w:noWrap w:val="0"/>
            <w:vAlign w:val="center"/>
          </w:tcPr>
          <w:p w14:paraId="222517DC">
            <w:pPr>
              <w:jc w:val="left"/>
              <w:rPr>
                <w:kern w:val="1"/>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0CF30CA9">
            <w:pPr>
              <w:spacing w:line="480" w:lineRule="auto"/>
              <w:jc w:val="center"/>
              <w:rPr>
                <w:kern w:val="1"/>
              </w:rPr>
            </w:pPr>
            <w:r>
              <w:rPr>
                <w:rFonts w:hint="eastAsia"/>
                <w:kern w:val="1"/>
              </w:rPr>
              <w:t>开户银行</w:t>
            </w:r>
          </w:p>
        </w:tc>
        <w:tc>
          <w:tcPr>
            <w:tcW w:w="4680" w:type="dxa"/>
            <w:gridSpan w:val="6"/>
            <w:tcBorders>
              <w:top w:val="single" w:color="000000" w:sz="4" w:space="0"/>
              <w:left w:val="single" w:color="000000" w:sz="4" w:space="0"/>
              <w:bottom w:val="single" w:color="000000" w:sz="4" w:space="0"/>
              <w:right w:val="single" w:color="000000" w:sz="4" w:space="0"/>
            </w:tcBorders>
            <w:noWrap w:val="0"/>
            <w:vAlign w:val="center"/>
          </w:tcPr>
          <w:p w14:paraId="3BE27C56">
            <w:pPr>
              <w:spacing w:line="480" w:lineRule="auto"/>
              <w:jc w:val="center"/>
              <w:rPr>
                <w:rFonts w:hint="eastAsia" w:ascii="宋体" w:hAnsi="宋体" w:cs="宋体"/>
                <w:kern w:val="1"/>
              </w:rPr>
            </w:pPr>
          </w:p>
        </w:tc>
        <w:tc>
          <w:tcPr>
            <w:tcW w:w="2340" w:type="dxa"/>
            <w:vMerge w:val="continue"/>
            <w:tcBorders>
              <w:top w:val="single" w:color="000000" w:sz="4" w:space="0"/>
              <w:left w:val="single" w:color="000000" w:sz="4" w:space="0"/>
              <w:bottom w:val="single" w:color="000000" w:sz="4" w:space="0"/>
              <w:right w:val="single" w:color="000000" w:sz="8" w:space="0"/>
            </w:tcBorders>
            <w:noWrap w:val="0"/>
            <w:vAlign w:val="center"/>
          </w:tcPr>
          <w:p w14:paraId="020E376C">
            <w:pPr>
              <w:jc w:val="left"/>
              <w:rPr>
                <w:rFonts w:hint="eastAsia" w:ascii="宋体" w:hAnsi="宋体" w:cs="宋体"/>
                <w:kern w:val="1"/>
              </w:rPr>
            </w:pPr>
          </w:p>
        </w:tc>
      </w:tr>
      <w:tr w14:paraId="1B6E7BC8">
        <w:tblPrEx>
          <w:tblCellMar>
            <w:top w:w="0" w:type="dxa"/>
            <w:left w:w="108" w:type="dxa"/>
            <w:bottom w:w="0" w:type="dxa"/>
            <w:right w:w="108" w:type="dxa"/>
          </w:tblCellMar>
        </w:tblPrEx>
        <w:trPr>
          <w:gridAfter w:val="1"/>
          <w:wAfter w:w="207" w:type="dxa"/>
          <w:cantSplit/>
          <w:trHeight w:val="1421" w:hRule="atLeast"/>
          <w:jc w:val="center"/>
        </w:trPr>
        <w:tc>
          <w:tcPr>
            <w:tcW w:w="828" w:type="dxa"/>
            <w:vMerge w:val="continue"/>
            <w:tcBorders>
              <w:top w:val="single" w:color="000000" w:sz="4" w:space="0"/>
              <w:left w:val="single" w:color="000000" w:sz="8" w:space="0"/>
              <w:bottom w:val="single" w:color="000000" w:sz="8" w:space="0"/>
              <w:right w:val="single" w:color="000000" w:sz="4" w:space="0"/>
            </w:tcBorders>
            <w:noWrap w:val="0"/>
            <w:vAlign w:val="center"/>
          </w:tcPr>
          <w:p w14:paraId="0E00DC59">
            <w:pPr>
              <w:jc w:val="left"/>
              <w:rPr>
                <w:rFonts w:hint="eastAsia" w:ascii="宋体" w:hAnsi="宋体" w:cs="宋体"/>
                <w:kern w:val="1"/>
              </w:rPr>
            </w:pPr>
          </w:p>
        </w:tc>
        <w:tc>
          <w:tcPr>
            <w:tcW w:w="1800" w:type="dxa"/>
            <w:tcBorders>
              <w:top w:val="single" w:color="000000" w:sz="4" w:space="0"/>
              <w:left w:val="single" w:color="000000" w:sz="4" w:space="0"/>
              <w:bottom w:val="single" w:color="000000" w:sz="8" w:space="0"/>
              <w:right w:val="single" w:color="000000" w:sz="4" w:space="0"/>
            </w:tcBorders>
            <w:noWrap w:val="0"/>
            <w:vAlign w:val="center"/>
          </w:tcPr>
          <w:p w14:paraId="17EE8004">
            <w:pPr>
              <w:spacing w:line="480" w:lineRule="auto"/>
              <w:jc w:val="center"/>
              <w:rPr>
                <w:kern w:val="1"/>
              </w:rPr>
            </w:pPr>
            <w:r>
              <w:rPr>
                <w:rFonts w:hint="eastAsia"/>
                <w:kern w:val="1"/>
              </w:rPr>
              <w:t>账号</w:t>
            </w:r>
          </w:p>
        </w:tc>
        <w:tc>
          <w:tcPr>
            <w:tcW w:w="4680" w:type="dxa"/>
            <w:gridSpan w:val="6"/>
            <w:tcBorders>
              <w:top w:val="single" w:color="000000" w:sz="4" w:space="0"/>
              <w:left w:val="single" w:color="000000" w:sz="4" w:space="0"/>
              <w:bottom w:val="single" w:color="000000" w:sz="8" w:space="0"/>
              <w:right w:val="single" w:color="000000" w:sz="4" w:space="0"/>
            </w:tcBorders>
            <w:noWrap w:val="0"/>
            <w:vAlign w:val="center"/>
          </w:tcPr>
          <w:p w14:paraId="6D89AECC">
            <w:pPr>
              <w:spacing w:line="480" w:lineRule="auto"/>
              <w:jc w:val="center"/>
              <w:rPr>
                <w:kern w:val="1"/>
              </w:rPr>
            </w:pPr>
          </w:p>
        </w:tc>
        <w:tc>
          <w:tcPr>
            <w:tcW w:w="2340" w:type="dxa"/>
            <w:vMerge w:val="continue"/>
            <w:tcBorders>
              <w:top w:val="single" w:color="000000" w:sz="4" w:space="0"/>
              <w:left w:val="single" w:color="000000" w:sz="4" w:space="0"/>
              <w:bottom w:val="single" w:color="000000" w:sz="8" w:space="0"/>
              <w:right w:val="single" w:color="000000" w:sz="8" w:space="0"/>
            </w:tcBorders>
            <w:noWrap w:val="0"/>
            <w:vAlign w:val="center"/>
          </w:tcPr>
          <w:p w14:paraId="1B7BF34D">
            <w:pPr>
              <w:jc w:val="left"/>
              <w:rPr>
                <w:kern w:val="1"/>
              </w:rPr>
            </w:pPr>
          </w:p>
        </w:tc>
      </w:tr>
    </w:tbl>
    <w:p w14:paraId="183BCA6C">
      <w:pPr>
        <w:jc w:val="left"/>
        <w:rPr>
          <w:kern w:val="1"/>
        </w:rPr>
      </w:pPr>
    </w:p>
    <w:p w14:paraId="1B30518C">
      <w:pPr>
        <w:rPr>
          <w:vanish/>
        </w:rPr>
      </w:pPr>
    </w:p>
    <w:p w14:paraId="74EBED35">
      <w:pPr>
        <w:spacing w:before="312" w:after="312"/>
        <w:jc w:val="center"/>
      </w:pPr>
    </w:p>
    <w:p w14:paraId="3C574223">
      <w:pPr>
        <w:spacing w:before="312" w:after="312"/>
        <w:jc w:val="center"/>
      </w:pPr>
    </w:p>
    <w:p w14:paraId="0F087507">
      <w:pPr>
        <w:spacing w:before="312" w:after="312"/>
        <w:jc w:val="center"/>
        <w:rPr>
          <w:rFonts w:eastAsia="楷体_GB2312"/>
          <w:b/>
          <w:kern w:val="1"/>
          <w:sz w:val="44"/>
          <w:u w:val="single"/>
        </w:rPr>
      </w:pPr>
      <w:r>
        <w:rPr>
          <w:rFonts w:hint="eastAsia" w:eastAsia="楷体_GB2312"/>
          <w:b/>
          <w:kern w:val="1"/>
          <w:sz w:val="44"/>
          <w:u w:val="single"/>
        </w:rPr>
        <w:t>印花税票粘贴处</w:t>
      </w:r>
    </w:p>
    <w:p w14:paraId="194B0DF1">
      <w:pPr>
        <w:spacing w:before="312" w:after="312"/>
        <w:jc w:val="center"/>
        <w:rPr>
          <w:rFonts w:eastAsia="楷体_GB2312"/>
          <w:b/>
          <w:kern w:val="1"/>
          <w:sz w:val="44"/>
          <w:u w:val="single"/>
        </w:rPr>
      </w:pPr>
    </w:p>
    <w:p w14:paraId="5A1F92AB">
      <w:pPr>
        <w:spacing w:before="312" w:after="312"/>
        <w:rPr>
          <w:kern w:val="1"/>
          <w:sz w:val="28"/>
        </w:rPr>
      </w:pPr>
    </w:p>
    <w:tbl>
      <w:tblPr>
        <w:tblStyle w:val="5"/>
        <w:tblW w:w="0" w:type="auto"/>
        <w:jc w:val="center"/>
        <w:tblLayout w:type="fixed"/>
        <w:tblCellMar>
          <w:top w:w="0" w:type="dxa"/>
          <w:left w:w="108" w:type="dxa"/>
          <w:bottom w:w="0" w:type="dxa"/>
          <w:right w:w="108" w:type="dxa"/>
        </w:tblCellMar>
      </w:tblPr>
      <w:tblGrid>
        <w:gridCol w:w="7665"/>
      </w:tblGrid>
      <w:tr w14:paraId="56247D4E">
        <w:tblPrEx>
          <w:tblCellMar>
            <w:top w:w="0" w:type="dxa"/>
            <w:left w:w="108" w:type="dxa"/>
            <w:bottom w:w="0" w:type="dxa"/>
            <w:right w:w="108" w:type="dxa"/>
          </w:tblCellMar>
        </w:tblPrEx>
        <w:trPr>
          <w:trHeight w:val="4517" w:hRule="atLeast"/>
          <w:jc w:val="center"/>
        </w:trPr>
        <w:tc>
          <w:tcPr>
            <w:tcW w:w="7665" w:type="dxa"/>
            <w:tcBorders>
              <w:top w:val="single" w:color="000000" w:sz="4" w:space="0"/>
              <w:left w:val="single" w:color="000000" w:sz="4" w:space="0"/>
              <w:bottom w:val="single" w:color="000000" w:sz="4" w:space="0"/>
              <w:right w:val="single" w:color="000000" w:sz="4" w:space="0"/>
            </w:tcBorders>
            <w:noWrap w:val="0"/>
            <w:vAlign w:val="top"/>
          </w:tcPr>
          <w:p w14:paraId="4E10FBC2">
            <w:pPr>
              <w:rPr>
                <w:rFonts w:eastAsia="楷体_GB2312"/>
                <w:kern w:val="1"/>
                <w:sz w:val="24"/>
              </w:rPr>
            </w:pPr>
          </w:p>
          <w:p w14:paraId="6750FE3C">
            <w:pPr>
              <w:rPr>
                <w:rFonts w:eastAsia="楷体_GB2312"/>
                <w:kern w:val="1"/>
                <w:sz w:val="28"/>
              </w:rPr>
            </w:pPr>
            <w:r>
              <w:rPr>
                <w:rFonts w:hint="eastAsia" w:eastAsia="楷体_GB2312"/>
                <w:kern w:val="1"/>
                <w:sz w:val="28"/>
              </w:rPr>
              <w:t>登记机关审查登记栏：</w:t>
            </w:r>
          </w:p>
          <w:p w14:paraId="37A2967E">
            <w:pPr>
              <w:rPr>
                <w:rFonts w:eastAsia="楷体_GB2312"/>
                <w:kern w:val="1"/>
                <w:sz w:val="28"/>
              </w:rPr>
            </w:pPr>
          </w:p>
          <w:p w14:paraId="63B10630">
            <w:pPr>
              <w:rPr>
                <w:rFonts w:eastAsia="楷体_GB2312"/>
                <w:kern w:val="1"/>
                <w:sz w:val="28"/>
              </w:rPr>
            </w:pPr>
          </w:p>
          <w:p w14:paraId="56D00513">
            <w:pPr>
              <w:rPr>
                <w:rFonts w:eastAsia="楷体_GB2312"/>
                <w:kern w:val="1"/>
                <w:sz w:val="28"/>
              </w:rPr>
            </w:pPr>
          </w:p>
          <w:p w14:paraId="0E950E38">
            <w:pPr>
              <w:rPr>
                <w:rFonts w:eastAsia="楷体_GB2312"/>
                <w:kern w:val="1"/>
                <w:sz w:val="28"/>
              </w:rPr>
            </w:pPr>
          </w:p>
          <w:p w14:paraId="52654901">
            <w:pPr>
              <w:rPr>
                <w:rFonts w:eastAsia="楷体_GB2312"/>
                <w:kern w:val="1"/>
                <w:sz w:val="28"/>
              </w:rPr>
            </w:pPr>
          </w:p>
          <w:p w14:paraId="2A14D08A">
            <w:pPr>
              <w:rPr>
                <w:rFonts w:eastAsia="楷体_GB2312"/>
                <w:kern w:val="1"/>
                <w:sz w:val="28"/>
              </w:rPr>
            </w:pPr>
          </w:p>
          <w:p w14:paraId="68E88CD5">
            <w:pPr>
              <w:rPr>
                <w:rFonts w:eastAsia="楷体_GB2312"/>
                <w:kern w:val="1"/>
                <w:sz w:val="28"/>
              </w:rPr>
            </w:pPr>
          </w:p>
          <w:p w14:paraId="3AA39A88">
            <w:pPr>
              <w:rPr>
                <w:rFonts w:eastAsia="楷体_GB2312"/>
                <w:kern w:val="1"/>
                <w:sz w:val="28"/>
              </w:rPr>
            </w:pPr>
          </w:p>
          <w:p w14:paraId="7A449A3E">
            <w:pPr>
              <w:jc w:val="right"/>
              <w:rPr>
                <w:rFonts w:eastAsia="楷体_GB2312"/>
                <w:kern w:val="1"/>
                <w:sz w:val="28"/>
              </w:rPr>
            </w:pPr>
            <w:r>
              <w:rPr>
                <w:rFonts w:hint="eastAsia" w:eastAsia="楷体_GB2312"/>
                <w:kern w:val="1"/>
                <w:sz w:val="28"/>
              </w:rPr>
              <w:t>技术合同登记机关（专用章）</w:t>
            </w:r>
          </w:p>
          <w:p w14:paraId="0FAA2C96">
            <w:pPr>
              <w:rPr>
                <w:rFonts w:eastAsia="楷体_GB2312"/>
                <w:kern w:val="1"/>
                <w:sz w:val="28"/>
              </w:rPr>
            </w:pPr>
          </w:p>
          <w:p w14:paraId="367F81B0">
            <w:pPr>
              <w:rPr>
                <w:rFonts w:eastAsia="楷体_GB2312"/>
                <w:kern w:val="1"/>
                <w:sz w:val="28"/>
              </w:rPr>
            </w:pPr>
            <w:r>
              <w:rPr>
                <w:rFonts w:hint="eastAsia" w:eastAsia="楷体_GB2312"/>
                <w:kern w:val="1"/>
                <w:sz w:val="28"/>
              </w:rPr>
              <w:t>经办人：                 年   月   日</w:t>
            </w:r>
          </w:p>
          <w:p w14:paraId="36DDEA3E">
            <w:pPr>
              <w:ind w:right="456"/>
              <w:jc w:val="right"/>
              <w:rPr>
                <w:rFonts w:eastAsia="楷体_GB2312"/>
                <w:kern w:val="1"/>
                <w:sz w:val="24"/>
              </w:rPr>
            </w:pPr>
          </w:p>
        </w:tc>
      </w:tr>
    </w:tbl>
    <w:p w14:paraId="1E4A30D0">
      <w:pPr>
        <w:spacing w:before="240" w:after="240"/>
        <w:rPr>
          <w:kern w:val="1"/>
        </w:rPr>
      </w:pPr>
    </w:p>
    <w:p w14:paraId="4A189F4F">
      <w:pPr>
        <w:rPr>
          <w:rFonts w:hint="default"/>
          <w:lang w:val="en-US" w:eastAsia="zh-CN"/>
        </w:rPr>
      </w:pPr>
    </w:p>
    <w:p w14:paraId="60813D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539CC1">
    <w:pPr>
      <w:pStyle w:val="3"/>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5E137C21">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TK2dTWAQAAsQ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qlC5GWYcBKncfZkxWE3TIR2&#10;rj0hzx4XoqEW958S/cmi3ml3ZiPMxm42Dj6ofZeXK/UC/+EQcbg8c+owwiLX5OBLZtbT1qVVeern&#10;qsc/bfM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aGmCS9MAAAAFAQAADwAAAAAAAAABACAAAAAi&#10;AAAAZHJzL2Rvd25yZXYueG1sUEsBAhQAFAAAAAgAh07iQHTK2dTWAQAAsQMAAA4AAAAAAAAAAQAg&#10;AAAAIgEAAGRycy9lMm9Eb2MueG1sUEsFBgAAAAAGAAYAWQEAAGoFAAAAAA==&#10;">
              <v:fill on="f" focussize="0,0"/>
              <v:stroke on="f" weight="1.25pt"/>
              <v:imagedata o:title=""/>
              <o:lock v:ext="edit" aspectratio="f"/>
              <v:textbox inset="0mm,0mm,0mm,0mm" style="mso-fit-shape-to-text:t;">
                <w:txbxContent>
                  <w:p w14:paraId="5E137C21">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603EAE">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0F0C76"/>
    <w:multiLevelType w:val="multilevel"/>
    <w:tmpl w:val="630F0C76"/>
    <w:lvl w:ilvl="0" w:tentative="0">
      <w:start w:val="1"/>
      <w:numFmt w:val="decimal"/>
      <w:pStyle w:val="7"/>
      <w:suff w:val="nothing"/>
      <w:lvlText w:val="%1."/>
      <w:lvlJc w:val="left"/>
      <w:pPr>
        <w:ind w:left="0" w:firstLine="0"/>
      </w:pPr>
      <w:rPr>
        <w:rFonts w:hint="eastAsia"/>
      </w:rPr>
    </w:lvl>
    <w:lvl w:ilvl="1" w:tentative="0">
      <w:start w:val="1"/>
      <w:numFmt w:val="lowerLetter"/>
      <w:lvlText w:val="%2)"/>
      <w:lvlJc w:val="left"/>
      <w:pPr>
        <w:ind w:left="1440" w:hanging="440"/>
      </w:pPr>
      <w:rPr>
        <w:rFonts w:hint="eastAsia"/>
      </w:rPr>
    </w:lvl>
    <w:lvl w:ilvl="2" w:tentative="0">
      <w:start w:val="1"/>
      <w:numFmt w:val="lowerRoman"/>
      <w:lvlText w:val="%3."/>
      <w:lvlJc w:val="right"/>
      <w:pPr>
        <w:ind w:left="1880" w:hanging="440"/>
      </w:pPr>
      <w:rPr>
        <w:rFonts w:hint="eastAsia"/>
      </w:rPr>
    </w:lvl>
    <w:lvl w:ilvl="3" w:tentative="0">
      <w:start w:val="1"/>
      <w:numFmt w:val="decimal"/>
      <w:lvlText w:val="%4."/>
      <w:lvlJc w:val="left"/>
      <w:pPr>
        <w:ind w:left="2320" w:hanging="440"/>
      </w:pPr>
      <w:rPr>
        <w:rFonts w:hint="eastAsia"/>
      </w:rPr>
    </w:lvl>
    <w:lvl w:ilvl="4" w:tentative="0">
      <w:start w:val="1"/>
      <w:numFmt w:val="lowerLetter"/>
      <w:lvlText w:val="%5)"/>
      <w:lvlJc w:val="left"/>
      <w:pPr>
        <w:ind w:left="2760" w:hanging="440"/>
      </w:pPr>
      <w:rPr>
        <w:rFonts w:hint="eastAsia"/>
      </w:rPr>
    </w:lvl>
    <w:lvl w:ilvl="5" w:tentative="0">
      <w:start w:val="1"/>
      <w:numFmt w:val="lowerRoman"/>
      <w:lvlText w:val="%6."/>
      <w:lvlJc w:val="right"/>
      <w:pPr>
        <w:ind w:left="3200" w:hanging="440"/>
      </w:pPr>
      <w:rPr>
        <w:rFonts w:hint="eastAsia"/>
      </w:rPr>
    </w:lvl>
    <w:lvl w:ilvl="6" w:tentative="0">
      <w:start w:val="1"/>
      <w:numFmt w:val="decimal"/>
      <w:lvlText w:val="%7."/>
      <w:lvlJc w:val="left"/>
      <w:pPr>
        <w:ind w:left="3640" w:hanging="440"/>
      </w:pPr>
      <w:rPr>
        <w:rFonts w:hint="eastAsia"/>
      </w:rPr>
    </w:lvl>
    <w:lvl w:ilvl="7" w:tentative="0">
      <w:start w:val="1"/>
      <w:numFmt w:val="lowerLetter"/>
      <w:lvlText w:val="%8)"/>
      <w:lvlJc w:val="left"/>
      <w:pPr>
        <w:ind w:left="4080" w:hanging="440"/>
      </w:pPr>
      <w:rPr>
        <w:rFonts w:hint="eastAsia"/>
      </w:rPr>
    </w:lvl>
    <w:lvl w:ilvl="8" w:tentative="0">
      <w:start w:val="1"/>
      <w:numFmt w:val="lowerRoman"/>
      <w:lvlText w:val="%9."/>
      <w:lvlJc w:val="right"/>
      <w:pPr>
        <w:ind w:left="4520" w:hanging="440"/>
      </w:pPr>
      <w:rPr>
        <w:rFonts w:hint="eastAsia"/>
      </w:rPr>
    </w:lvl>
  </w:abstractNum>
  <w:abstractNum w:abstractNumId="1">
    <w:nsid w:val="685D0C13"/>
    <w:multiLevelType w:val="multilevel"/>
    <w:tmpl w:val="685D0C13"/>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440" w:hanging="440"/>
      </w:pPr>
      <w:rPr>
        <w:rFonts w:hint="eastAsia"/>
      </w:rPr>
    </w:lvl>
    <w:lvl w:ilvl="2" w:tentative="0">
      <w:start w:val="1"/>
      <w:numFmt w:val="lowerRoman"/>
      <w:lvlText w:val="%3."/>
      <w:lvlJc w:val="right"/>
      <w:pPr>
        <w:ind w:left="1880" w:hanging="440"/>
      </w:pPr>
      <w:rPr>
        <w:rFonts w:hint="eastAsia"/>
      </w:rPr>
    </w:lvl>
    <w:lvl w:ilvl="3" w:tentative="0">
      <w:start w:val="1"/>
      <w:numFmt w:val="decimal"/>
      <w:lvlText w:val="%4."/>
      <w:lvlJc w:val="left"/>
      <w:pPr>
        <w:ind w:left="2320" w:hanging="440"/>
      </w:pPr>
      <w:rPr>
        <w:rFonts w:hint="eastAsia"/>
      </w:rPr>
    </w:lvl>
    <w:lvl w:ilvl="4" w:tentative="0">
      <w:start w:val="1"/>
      <w:numFmt w:val="lowerLetter"/>
      <w:lvlText w:val="%5)"/>
      <w:lvlJc w:val="left"/>
      <w:pPr>
        <w:ind w:left="2760" w:hanging="440"/>
      </w:pPr>
      <w:rPr>
        <w:rFonts w:hint="eastAsia"/>
      </w:rPr>
    </w:lvl>
    <w:lvl w:ilvl="5" w:tentative="0">
      <w:start w:val="1"/>
      <w:numFmt w:val="lowerRoman"/>
      <w:lvlText w:val="%6."/>
      <w:lvlJc w:val="right"/>
      <w:pPr>
        <w:ind w:left="3200" w:hanging="440"/>
      </w:pPr>
      <w:rPr>
        <w:rFonts w:hint="eastAsia"/>
      </w:rPr>
    </w:lvl>
    <w:lvl w:ilvl="6" w:tentative="0">
      <w:start w:val="1"/>
      <w:numFmt w:val="decimal"/>
      <w:lvlText w:val="%7."/>
      <w:lvlJc w:val="left"/>
      <w:pPr>
        <w:ind w:left="3640" w:hanging="440"/>
      </w:pPr>
      <w:rPr>
        <w:rFonts w:hint="eastAsia"/>
      </w:rPr>
    </w:lvl>
    <w:lvl w:ilvl="7" w:tentative="0">
      <w:start w:val="1"/>
      <w:numFmt w:val="lowerLetter"/>
      <w:lvlText w:val="%8)"/>
      <w:lvlJc w:val="left"/>
      <w:pPr>
        <w:ind w:left="4080" w:hanging="440"/>
      </w:pPr>
      <w:rPr>
        <w:rFonts w:hint="eastAsia"/>
      </w:rPr>
    </w:lvl>
    <w:lvl w:ilvl="8" w:tentative="0">
      <w:start w:val="1"/>
      <w:numFmt w:val="lowerRoman"/>
      <w:lvlText w:val="%9."/>
      <w:lvlJc w:val="right"/>
      <w:pPr>
        <w:ind w:left="4520" w:hanging="44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lMThlMjFhNWE2MzViMmFiZjY5MTc2YTg1Mjc1NTEifQ=="/>
  </w:docVars>
  <w:rsids>
    <w:rsidRoot w:val="3AE47A18"/>
    <w:rsid w:val="3AE47A18"/>
    <w:rsid w:val="3D702C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caption"/>
    <w:basedOn w:val="1"/>
    <w:next w:val="1"/>
    <w:qFormat/>
    <w:uiPriority w:val="0"/>
    <w:rPr>
      <w:rFonts w:ascii="Arial" w:hAnsi="Arial" w:eastAsia="黑体"/>
      <w:sz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next w:val="2"/>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7">
    <w:name w:val="List Paragraph"/>
    <w:basedOn w:val="1"/>
    <w:qFormat/>
    <w:uiPriority w:val="0"/>
    <w:pPr>
      <w:numPr>
        <w:ilvl w:val="0"/>
        <w:numId w:val="1"/>
      </w:numPr>
      <w:spacing w:line="360" w:lineRule="auto"/>
    </w:pPr>
    <w:rPr>
      <w:kern w:val="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3</TotalTime>
  <ScaleCrop>false</ScaleCrop>
  <LinksUpToDate>false</LinksUpToDate>
  <CharactersWithSpaces>0</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2025-02-17T08:04:00Z</dcterms:created>
  <dc:creator>孙妍</dc:creator>
  <cp:lastModifiedBy>孙妍</cp:lastModifiedBy>
  <dcterms:modified xsi:type="dcterms:W3CDTF">2025-02-17T08:10:02Z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84DE8C8CDAAA44A7A80A457EAB157B24_11</vt:lpwstr>
  </property>
</Properties>
</file>