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DD67F">
      <w:pPr>
        <w:spacing w:line="260" w:lineRule="auto"/>
        <w:rPr>
          <w:rFonts w:hint="eastAsia" w:asciiTheme="minorEastAsia" w:hAnsiTheme="minorEastAsia" w:eastAsiaTheme="minorEastAsia" w:cstheme="minorEastAsia"/>
          <w:color w:val="auto"/>
          <w:sz w:val="21"/>
        </w:rPr>
      </w:pPr>
    </w:p>
    <w:p w14:paraId="0388B587">
      <w:pPr>
        <w:spacing w:line="260" w:lineRule="auto"/>
        <w:rPr>
          <w:rFonts w:hint="eastAsia" w:asciiTheme="minorEastAsia" w:hAnsiTheme="minorEastAsia" w:eastAsiaTheme="minorEastAsia" w:cstheme="minorEastAsia"/>
          <w:color w:val="auto"/>
          <w:sz w:val="21"/>
        </w:rPr>
      </w:pPr>
    </w:p>
    <w:p w14:paraId="161E3312">
      <w:pPr>
        <w:spacing w:line="260" w:lineRule="auto"/>
        <w:rPr>
          <w:rFonts w:hint="eastAsia" w:asciiTheme="minorEastAsia" w:hAnsiTheme="minorEastAsia" w:eastAsiaTheme="minorEastAsia" w:cstheme="minorEastAsia"/>
          <w:color w:val="auto"/>
          <w:sz w:val="21"/>
        </w:rPr>
      </w:pPr>
    </w:p>
    <w:p w14:paraId="1089DC07">
      <w:pPr>
        <w:spacing w:line="260" w:lineRule="auto"/>
        <w:rPr>
          <w:rFonts w:hint="eastAsia" w:asciiTheme="minorEastAsia" w:hAnsiTheme="minorEastAsia" w:eastAsiaTheme="minorEastAsia" w:cstheme="minorEastAsia"/>
          <w:color w:val="auto"/>
          <w:sz w:val="21"/>
        </w:rPr>
      </w:pPr>
    </w:p>
    <w:p w14:paraId="2AA02553">
      <w:pPr>
        <w:spacing w:line="260" w:lineRule="auto"/>
        <w:rPr>
          <w:rFonts w:hint="eastAsia" w:asciiTheme="minorEastAsia" w:hAnsiTheme="minorEastAsia" w:eastAsiaTheme="minorEastAsia" w:cstheme="minorEastAsia"/>
          <w:color w:val="auto"/>
          <w:sz w:val="21"/>
        </w:rPr>
      </w:pPr>
    </w:p>
    <w:p w14:paraId="5E9B9B07">
      <w:pPr>
        <w:spacing w:line="260" w:lineRule="auto"/>
        <w:rPr>
          <w:rFonts w:hint="eastAsia" w:asciiTheme="minorEastAsia" w:hAnsiTheme="minorEastAsia" w:eastAsiaTheme="minorEastAsia" w:cstheme="minorEastAsia"/>
          <w:color w:val="auto"/>
          <w:sz w:val="21"/>
        </w:rPr>
      </w:pPr>
    </w:p>
    <w:p w14:paraId="6BE5CE85">
      <w:pPr>
        <w:spacing w:line="261" w:lineRule="auto"/>
        <w:rPr>
          <w:rFonts w:hint="eastAsia" w:asciiTheme="minorEastAsia" w:hAnsiTheme="minorEastAsia" w:eastAsiaTheme="minorEastAsia" w:cstheme="minorEastAsia"/>
          <w:color w:val="auto"/>
          <w:sz w:val="21"/>
        </w:rPr>
      </w:pPr>
    </w:p>
    <w:p w14:paraId="0BC58F3E">
      <w:pPr>
        <w:pStyle w:val="5"/>
        <w:spacing w:before="101" w:line="225" w:lineRule="auto"/>
        <w:ind w:left="2458"/>
        <w:rPr>
          <w:rFonts w:hint="eastAsia" w:asciiTheme="minorEastAsia" w:hAnsiTheme="minorEastAsia" w:eastAsiaTheme="minorEastAsia" w:cstheme="minorEastAsia"/>
          <w:color w:val="auto"/>
          <w:sz w:val="31"/>
          <w:szCs w:val="31"/>
          <w:lang w:eastAsia="zh-CN"/>
        </w:rPr>
      </w:pPr>
      <w:r>
        <w:rPr>
          <w:rFonts w:hint="eastAsia" w:asciiTheme="minorEastAsia" w:hAnsiTheme="minorEastAsia" w:eastAsiaTheme="minorEastAsia" w:cstheme="minorEastAsia"/>
          <w:b/>
          <w:bCs/>
          <w:color w:val="auto"/>
          <w:spacing w:val="6"/>
          <w:sz w:val="31"/>
          <w:szCs w:val="31"/>
          <w:lang w:eastAsia="zh-CN"/>
        </w:rPr>
        <w:t>海口市美兰区环境卫生管理局</w:t>
      </w:r>
    </w:p>
    <w:p w14:paraId="34668D57">
      <w:pPr>
        <w:pStyle w:val="5"/>
        <w:spacing w:before="246" w:line="225" w:lineRule="auto"/>
        <w:ind w:left="1334"/>
        <w:rPr>
          <w:rFonts w:hint="eastAsia" w:asciiTheme="minorEastAsia" w:hAnsiTheme="minorEastAsia" w:eastAsiaTheme="minorEastAsia" w:cstheme="minorEastAsia"/>
          <w:color w:val="auto"/>
          <w:sz w:val="31"/>
          <w:szCs w:val="31"/>
          <w:lang w:val="en-US" w:eastAsia="zh-CN"/>
        </w:rPr>
      </w:pPr>
      <w:r>
        <w:rPr>
          <w:rFonts w:hint="eastAsia" w:asciiTheme="minorEastAsia" w:hAnsiTheme="minorEastAsia" w:eastAsiaTheme="minorEastAsia" w:cstheme="minorEastAsia"/>
          <w:b/>
          <w:bCs/>
          <w:color w:val="auto"/>
          <w:spacing w:val="7"/>
          <w:sz w:val="31"/>
          <w:szCs w:val="31"/>
          <w:lang w:eastAsia="zh-CN"/>
        </w:rPr>
        <w:t>海口市美兰区乡镇环卫项目</w:t>
      </w:r>
      <w:r>
        <w:rPr>
          <w:rFonts w:hint="eastAsia" w:asciiTheme="minorEastAsia" w:hAnsiTheme="minorEastAsia" w:eastAsiaTheme="minorEastAsia" w:cstheme="minorEastAsia"/>
          <w:b/>
          <w:bCs/>
          <w:color w:val="auto"/>
          <w:spacing w:val="7"/>
          <w:sz w:val="31"/>
          <w:szCs w:val="31"/>
        </w:rPr>
        <w:t>服务合同</w:t>
      </w:r>
      <w:r>
        <w:rPr>
          <w:rFonts w:hint="eastAsia" w:asciiTheme="minorEastAsia" w:hAnsiTheme="minorEastAsia" w:eastAsiaTheme="minorEastAsia" w:cstheme="minorEastAsia"/>
          <w:b/>
          <w:bCs/>
          <w:color w:val="auto"/>
          <w:spacing w:val="7"/>
          <w:sz w:val="31"/>
          <w:szCs w:val="31"/>
          <w:lang w:eastAsia="zh-CN"/>
        </w:rPr>
        <w:t>（</w:t>
      </w:r>
      <w:r>
        <w:rPr>
          <w:rFonts w:hint="eastAsia" w:asciiTheme="minorEastAsia" w:hAnsiTheme="minorEastAsia" w:eastAsiaTheme="minorEastAsia" w:cstheme="minorEastAsia"/>
          <w:b/>
          <w:bCs/>
          <w:color w:val="auto"/>
          <w:spacing w:val="7"/>
          <w:sz w:val="31"/>
          <w:szCs w:val="31"/>
          <w:lang w:val="en-US" w:eastAsia="zh-CN"/>
        </w:rPr>
        <w:t>草案</w:t>
      </w:r>
      <w:r>
        <w:rPr>
          <w:rFonts w:hint="eastAsia" w:asciiTheme="minorEastAsia" w:hAnsiTheme="minorEastAsia" w:eastAsiaTheme="minorEastAsia" w:cstheme="minorEastAsia"/>
          <w:b/>
          <w:bCs/>
          <w:color w:val="auto"/>
          <w:spacing w:val="7"/>
          <w:sz w:val="31"/>
          <w:szCs w:val="31"/>
          <w:lang w:eastAsia="zh-CN"/>
        </w:rPr>
        <w:t>）</w:t>
      </w:r>
    </w:p>
    <w:p w14:paraId="38BB5FBC">
      <w:pPr>
        <w:pStyle w:val="5"/>
        <w:spacing w:before="246" w:line="224" w:lineRule="auto"/>
        <w:ind w:left="0"/>
        <w:jc w:val="center"/>
        <w:rPr>
          <w:rFonts w:hint="eastAsia" w:asciiTheme="minorEastAsia" w:hAnsiTheme="minorEastAsia" w:eastAsiaTheme="minorEastAsia" w:cstheme="minorEastAsia"/>
          <w:color w:val="auto"/>
          <w:sz w:val="31"/>
          <w:szCs w:val="31"/>
        </w:rPr>
      </w:pPr>
      <w:r>
        <w:rPr>
          <w:rFonts w:hint="eastAsia" w:asciiTheme="minorEastAsia" w:hAnsiTheme="minorEastAsia" w:eastAsiaTheme="minorEastAsia" w:cstheme="minorEastAsia"/>
          <w:b/>
          <w:bCs/>
          <w:color w:val="auto"/>
          <w:spacing w:val="1"/>
          <w:sz w:val="31"/>
          <w:szCs w:val="31"/>
        </w:rPr>
        <w:t>（具体以签署的正式合同文本为准）</w:t>
      </w:r>
    </w:p>
    <w:p w14:paraId="7D5AA578">
      <w:pPr>
        <w:spacing w:line="249" w:lineRule="auto"/>
        <w:rPr>
          <w:rFonts w:hint="eastAsia" w:asciiTheme="minorEastAsia" w:hAnsiTheme="minorEastAsia" w:eastAsiaTheme="minorEastAsia" w:cstheme="minorEastAsia"/>
          <w:color w:val="auto"/>
          <w:sz w:val="21"/>
        </w:rPr>
      </w:pPr>
    </w:p>
    <w:p w14:paraId="544B416E">
      <w:pPr>
        <w:spacing w:line="250" w:lineRule="auto"/>
        <w:rPr>
          <w:rFonts w:hint="eastAsia" w:asciiTheme="minorEastAsia" w:hAnsiTheme="minorEastAsia" w:eastAsiaTheme="minorEastAsia" w:cstheme="minorEastAsia"/>
          <w:color w:val="auto"/>
          <w:sz w:val="21"/>
        </w:rPr>
      </w:pPr>
    </w:p>
    <w:p w14:paraId="7822A09A">
      <w:pPr>
        <w:spacing w:line="250" w:lineRule="auto"/>
        <w:rPr>
          <w:rFonts w:hint="eastAsia" w:asciiTheme="minorEastAsia" w:hAnsiTheme="minorEastAsia" w:eastAsiaTheme="minorEastAsia" w:cstheme="minorEastAsia"/>
          <w:color w:val="auto"/>
          <w:sz w:val="21"/>
        </w:rPr>
      </w:pPr>
    </w:p>
    <w:p w14:paraId="62F9E687">
      <w:pPr>
        <w:spacing w:line="250" w:lineRule="auto"/>
        <w:rPr>
          <w:rFonts w:hint="eastAsia" w:asciiTheme="minorEastAsia" w:hAnsiTheme="minorEastAsia" w:eastAsiaTheme="minorEastAsia" w:cstheme="minorEastAsia"/>
          <w:color w:val="auto"/>
          <w:sz w:val="21"/>
        </w:rPr>
      </w:pPr>
    </w:p>
    <w:p w14:paraId="7405ACFA">
      <w:pPr>
        <w:spacing w:line="250" w:lineRule="auto"/>
        <w:rPr>
          <w:rFonts w:hint="eastAsia" w:asciiTheme="minorEastAsia" w:hAnsiTheme="minorEastAsia" w:eastAsiaTheme="minorEastAsia" w:cstheme="minorEastAsia"/>
          <w:color w:val="auto"/>
          <w:sz w:val="21"/>
        </w:rPr>
      </w:pPr>
    </w:p>
    <w:p w14:paraId="3F1B991E">
      <w:pPr>
        <w:spacing w:line="250" w:lineRule="auto"/>
        <w:rPr>
          <w:rFonts w:hint="eastAsia" w:asciiTheme="minorEastAsia" w:hAnsiTheme="minorEastAsia" w:eastAsiaTheme="minorEastAsia" w:cstheme="minorEastAsia"/>
          <w:color w:val="auto"/>
          <w:sz w:val="21"/>
        </w:rPr>
      </w:pPr>
    </w:p>
    <w:p w14:paraId="2E1D7D3C">
      <w:pPr>
        <w:spacing w:line="250" w:lineRule="auto"/>
        <w:rPr>
          <w:rFonts w:hint="eastAsia" w:asciiTheme="minorEastAsia" w:hAnsiTheme="minorEastAsia" w:eastAsiaTheme="minorEastAsia" w:cstheme="minorEastAsia"/>
          <w:color w:val="auto"/>
          <w:sz w:val="21"/>
        </w:rPr>
      </w:pPr>
    </w:p>
    <w:p w14:paraId="4EFF084D">
      <w:pPr>
        <w:spacing w:line="250" w:lineRule="auto"/>
        <w:rPr>
          <w:rFonts w:hint="eastAsia" w:asciiTheme="minorEastAsia" w:hAnsiTheme="minorEastAsia" w:eastAsiaTheme="minorEastAsia" w:cstheme="minorEastAsia"/>
          <w:color w:val="auto"/>
          <w:sz w:val="21"/>
        </w:rPr>
      </w:pPr>
    </w:p>
    <w:p w14:paraId="2CA072F4">
      <w:pPr>
        <w:spacing w:line="250" w:lineRule="auto"/>
        <w:rPr>
          <w:rFonts w:hint="eastAsia" w:asciiTheme="minorEastAsia" w:hAnsiTheme="minorEastAsia" w:eastAsiaTheme="minorEastAsia" w:cstheme="minorEastAsia"/>
          <w:color w:val="auto"/>
          <w:sz w:val="21"/>
        </w:rPr>
      </w:pPr>
    </w:p>
    <w:p w14:paraId="26F7E1C0">
      <w:pPr>
        <w:spacing w:line="250" w:lineRule="auto"/>
        <w:rPr>
          <w:rFonts w:hint="eastAsia" w:asciiTheme="minorEastAsia" w:hAnsiTheme="minorEastAsia" w:eastAsiaTheme="minorEastAsia" w:cstheme="minorEastAsia"/>
          <w:color w:val="auto"/>
          <w:sz w:val="21"/>
        </w:rPr>
      </w:pPr>
    </w:p>
    <w:p w14:paraId="4025ADC9">
      <w:pPr>
        <w:pStyle w:val="5"/>
        <w:spacing w:before="92" w:line="220" w:lineRule="auto"/>
        <w:ind w:left="253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3"/>
          <w:sz w:val="28"/>
          <w:szCs w:val="28"/>
        </w:rPr>
        <w:t>项目编号：</w:t>
      </w:r>
      <w:r>
        <w:rPr>
          <w:rFonts w:hint="eastAsia" w:asciiTheme="minorEastAsia" w:hAnsiTheme="minorEastAsia" w:eastAsiaTheme="minorEastAsia" w:cstheme="minorEastAsia"/>
          <w:color w:val="auto"/>
          <w:spacing w:val="-3"/>
          <w:sz w:val="28"/>
          <w:szCs w:val="28"/>
          <w:u w:val="single" w:color="auto"/>
        </w:rPr>
        <w:t xml:space="preserve">  </w:t>
      </w:r>
      <w:r>
        <w:rPr>
          <w:rFonts w:hint="eastAsia" w:asciiTheme="minorEastAsia" w:hAnsiTheme="minorEastAsia" w:eastAsiaTheme="minorEastAsia" w:cstheme="minorEastAsia"/>
          <w:color w:val="auto"/>
          <w:spacing w:val="-3"/>
          <w:sz w:val="28"/>
          <w:szCs w:val="28"/>
          <w:u w:val="single" w:color="auto"/>
          <w:lang w:eastAsia="zh-CN"/>
        </w:rPr>
        <w:t>【</w:t>
      </w:r>
      <w:r>
        <w:rPr>
          <w:rFonts w:hint="eastAsia" w:asciiTheme="minorEastAsia" w:hAnsiTheme="minorEastAsia" w:eastAsiaTheme="minorEastAsia" w:cstheme="minorEastAsia"/>
          <w:color w:val="auto"/>
          <w:spacing w:val="-3"/>
          <w:sz w:val="28"/>
          <w:szCs w:val="28"/>
          <w:u w:val="single" w:color="auto"/>
        </w:rPr>
        <w:t>HNZY-2025-37</w:t>
      </w:r>
      <w:r>
        <w:rPr>
          <w:rFonts w:hint="eastAsia" w:asciiTheme="minorEastAsia" w:hAnsiTheme="minorEastAsia" w:eastAsiaTheme="minorEastAsia" w:cstheme="minorEastAsia"/>
          <w:color w:val="auto"/>
          <w:spacing w:val="-3"/>
          <w:sz w:val="28"/>
          <w:szCs w:val="28"/>
          <w:u w:val="single" w:color="auto"/>
          <w:lang w:eastAsia="zh-CN"/>
        </w:rPr>
        <w:t>】</w:t>
      </w:r>
      <w:r>
        <w:rPr>
          <w:rFonts w:hint="eastAsia" w:asciiTheme="minorEastAsia" w:hAnsiTheme="minorEastAsia" w:eastAsiaTheme="minorEastAsia" w:cstheme="minorEastAsia"/>
          <w:color w:val="auto"/>
          <w:spacing w:val="-3"/>
          <w:sz w:val="28"/>
          <w:szCs w:val="28"/>
          <w:u w:val="single" w:color="auto"/>
        </w:rPr>
        <w:t xml:space="preserve">  </w:t>
      </w:r>
      <w:r>
        <w:rPr>
          <w:rFonts w:hint="eastAsia" w:asciiTheme="minorEastAsia" w:hAnsiTheme="minorEastAsia" w:eastAsiaTheme="minorEastAsia" w:cstheme="minorEastAsia"/>
          <w:color w:val="auto"/>
          <w:spacing w:val="2"/>
          <w:sz w:val="28"/>
          <w:szCs w:val="28"/>
          <w:u w:val="single" w:color="auto"/>
        </w:rPr>
        <w:t xml:space="preserve">      </w:t>
      </w:r>
    </w:p>
    <w:p w14:paraId="7C4DD9FB">
      <w:pPr>
        <w:pStyle w:val="5"/>
        <w:spacing w:before="290" w:line="220" w:lineRule="auto"/>
        <w:ind w:left="2534"/>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b/>
          <w:bCs/>
          <w:color w:val="auto"/>
          <w:spacing w:val="-3"/>
          <w:sz w:val="28"/>
          <w:szCs w:val="28"/>
        </w:rPr>
        <w:t>项目名称：</w:t>
      </w:r>
      <w:r>
        <w:rPr>
          <w:rFonts w:hint="eastAsia" w:asciiTheme="minorEastAsia" w:hAnsiTheme="minorEastAsia" w:eastAsiaTheme="minorEastAsia" w:cstheme="minorEastAsia"/>
          <w:b/>
          <w:bCs/>
          <w:color w:val="auto"/>
          <w:spacing w:val="-3"/>
          <w:sz w:val="28"/>
          <w:szCs w:val="28"/>
          <w:u w:val="single" w:color="auto"/>
          <w:lang w:eastAsia="zh-CN"/>
        </w:rPr>
        <w:t>海口市美兰区乡镇环卫项目</w:t>
      </w:r>
    </w:p>
    <w:p w14:paraId="55E04DA1">
      <w:pPr>
        <w:pStyle w:val="5"/>
        <w:spacing w:before="290" w:line="220" w:lineRule="auto"/>
        <w:ind w:left="2531"/>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5"/>
          <w:sz w:val="28"/>
          <w:szCs w:val="28"/>
        </w:rPr>
        <w:t>合同编号：</w:t>
      </w:r>
      <w:r>
        <w:rPr>
          <w:rFonts w:hint="eastAsia" w:asciiTheme="minorEastAsia" w:hAnsiTheme="minorEastAsia" w:eastAsiaTheme="minorEastAsia" w:cstheme="minorEastAsia"/>
          <w:color w:val="auto"/>
          <w:sz w:val="28"/>
          <w:szCs w:val="28"/>
          <w:u w:val="single" w:color="auto"/>
        </w:rPr>
        <w:t xml:space="preserve">                       </w:t>
      </w:r>
    </w:p>
    <w:p w14:paraId="13BA120B">
      <w:pPr>
        <w:spacing w:line="249" w:lineRule="auto"/>
        <w:rPr>
          <w:rFonts w:hint="eastAsia" w:asciiTheme="minorEastAsia" w:hAnsiTheme="minorEastAsia" w:eastAsiaTheme="minorEastAsia" w:cstheme="minorEastAsia"/>
          <w:color w:val="auto"/>
          <w:sz w:val="21"/>
        </w:rPr>
      </w:pPr>
    </w:p>
    <w:p w14:paraId="211FE146">
      <w:pPr>
        <w:spacing w:line="249" w:lineRule="auto"/>
        <w:rPr>
          <w:rFonts w:hint="eastAsia" w:asciiTheme="minorEastAsia" w:hAnsiTheme="minorEastAsia" w:eastAsiaTheme="minorEastAsia" w:cstheme="minorEastAsia"/>
          <w:color w:val="auto"/>
          <w:sz w:val="21"/>
        </w:rPr>
      </w:pPr>
    </w:p>
    <w:p w14:paraId="63E357B9">
      <w:pPr>
        <w:spacing w:line="250" w:lineRule="auto"/>
        <w:rPr>
          <w:rFonts w:hint="eastAsia" w:asciiTheme="minorEastAsia" w:hAnsiTheme="minorEastAsia" w:eastAsiaTheme="minorEastAsia" w:cstheme="minorEastAsia"/>
          <w:color w:val="auto"/>
          <w:sz w:val="21"/>
        </w:rPr>
      </w:pPr>
    </w:p>
    <w:p w14:paraId="043ABDFC">
      <w:pPr>
        <w:spacing w:line="250" w:lineRule="auto"/>
        <w:rPr>
          <w:rFonts w:hint="eastAsia" w:asciiTheme="minorEastAsia" w:hAnsiTheme="minorEastAsia" w:eastAsiaTheme="minorEastAsia" w:cstheme="minorEastAsia"/>
          <w:color w:val="auto"/>
          <w:sz w:val="21"/>
        </w:rPr>
      </w:pPr>
    </w:p>
    <w:p w14:paraId="6B24CAC1">
      <w:pPr>
        <w:spacing w:line="250" w:lineRule="auto"/>
        <w:rPr>
          <w:rFonts w:hint="eastAsia" w:asciiTheme="minorEastAsia" w:hAnsiTheme="minorEastAsia" w:eastAsiaTheme="minorEastAsia" w:cstheme="minorEastAsia"/>
          <w:color w:val="auto"/>
          <w:sz w:val="21"/>
        </w:rPr>
      </w:pPr>
    </w:p>
    <w:p w14:paraId="0575B643">
      <w:pPr>
        <w:spacing w:line="250" w:lineRule="auto"/>
        <w:rPr>
          <w:rFonts w:hint="eastAsia" w:asciiTheme="minorEastAsia" w:hAnsiTheme="minorEastAsia" w:eastAsiaTheme="minorEastAsia" w:cstheme="minorEastAsia"/>
          <w:color w:val="auto"/>
          <w:sz w:val="21"/>
        </w:rPr>
      </w:pPr>
    </w:p>
    <w:p w14:paraId="5DCE6893">
      <w:pPr>
        <w:spacing w:line="250" w:lineRule="auto"/>
        <w:rPr>
          <w:rFonts w:hint="eastAsia" w:asciiTheme="minorEastAsia" w:hAnsiTheme="minorEastAsia" w:eastAsiaTheme="minorEastAsia" w:cstheme="minorEastAsia"/>
          <w:color w:val="auto"/>
          <w:sz w:val="21"/>
        </w:rPr>
      </w:pPr>
    </w:p>
    <w:p w14:paraId="130C228D">
      <w:pPr>
        <w:pStyle w:val="5"/>
        <w:spacing w:before="92" w:line="220" w:lineRule="auto"/>
        <w:ind w:left="2707"/>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b/>
          <w:bCs/>
          <w:color w:val="auto"/>
          <w:spacing w:val="-5"/>
          <w:sz w:val="28"/>
          <w:szCs w:val="28"/>
        </w:rPr>
        <w:t>甲方：</w:t>
      </w:r>
      <w:r>
        <w:rPr>
          <w:rFonts w:hint="eastAsia" w:asciiTheme="minorEastAsia" w:hAnsiTheme="minorEastAsia" w:eastAsiaTheme="minorEastAsia" w:cstheme="minorEastAsia"/>
          <w:b/>
          <w:bCs/>
          <w:color w:val="auto"/>
          <w:spacing w:val="-5"/>
          <w:sz w:val="28"/>
          <w:szCs w:val="28"/>
          <w:u w:val="single" w:color="auto"/>
          <w:lang w:eastAsia="zh-CN"/>
        </w:rPr>
        <w:t>海口市美兰区环境卫生管理局</w:t>
      </w:r>
    </w:p>
    <w:p w14:paraId="57EDF121">
      <w:pPr>
        <w:pStyle w:val="5"/>
        <w:spacing w:before="291" w:line="219" w:lineRule="auto"/>
        <w:ind w:left="269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10"/>
          <w:sz w:val="28"/>
          <w:szCs w:val="28"/>
        </w:rPr>
        <w:t>乙方：</w:t>
      </w:r>
      <w:r>
        <w:rPr>
          <w:rFonts w:hint="eastAsia" w:asciiTheme="minorEastAsia" w:hAnsiTheme="minorEastAsia" w:eastAsiaTheme="minorEastAsia" w:cstheme="minorEastAsia"/>
          <w:color w:val="auto"/>
          <w:spacing w:val="9"/>
          <w:sz w:val="28"/>
          <w:szCs w:val="28"/>
          <w:u w:val="single" w:color="auto"/>
        </w:rPr>
        <w:t xml:space="preserve">     </w:t>
      </w:r>
      <w:r>
        <w:rPr>
          <w:rFonts w:hint="eastAsia" w:asciiTheme="minorEastAsia" w:hAnsiTheme="minorEastAsia" w:eastAsiaTheme="minorEastAsia" w:cstheme="minorEastAsia"/>
          <w:b/>
          <w:bCs/>
          <w:color w:val="auto"/>
          <w:spacing w:val="-10"/>
          <w:sz w:val="28"/>
          <w:szCs w:val="28"/>
          <w:u w:val="single" w:color="auto"/>
          <w:lang w:val="en-US" w:eastAsia="zh-CN"/>
        </w:rPr>
        <w:t xml:space="preserve">                  </w:t>
      </w:r>
      <w:r>
        <w:rPr>
          <w:rFonts w:hint="eastAsia" w:asciiTheme="minorEastAsia" w:hAnsiTheme="minorEastAsia" w:eastAsiaTheme="minorEastAsia" w:cstheme="minorEastAsia"/>
          <w:color w:val="auto"/>
          <w:spacing w:val="-10"/>
          <w:sz w:val="28"/>
          <w:szCs w:val="28"/>
          <w:u w:val="single" w:color="auto"/>
        </w:rPr>
        <w:t xml:space="preserve">     </w:t>
      </w:r>
    </w:p>
    <w:p w14:paraId="2D469C02">
      <w:pPr>
        <w:spacing w:line="282" w:lineRule="auto"/>
        <w:rPr>
          <w:rFonts w:hint="eastAsia" w:asciiTheme="minorEastAsia" w:hAnsiTheme="minorEastAsia" w:eastAsiaTheme="minorEastAsia" w:cstheme="minorEastAsia"/>
          <w:color w:val="auto"/>
          <w:sz w:val="21"/>
        </w:rPr>
      </w:pPr>
    </w:p>
    <w:p w14:paraId="45400D8C">
      <w:pPr>
        <w:spacing w:line="282" w:lineRule="auto"/>
        <w:rPr>
          <w:rFonts w:hint="eastAsia" w:asciiTheme="minorEastAsia" w:hAnsiTheme="minorEastAsia" w:eastAsiaTheme="minorEastAsia" w:cstheme="minorEastAsia"/>
          <w:color w:val="auto"/>
          <w:sz w:val="21"/>
        </w:rPr>
      </w:pPr>
    </w:p>
    <w:p w14:paraId="11B56CBA">
      <w:pPr>
        <w:spacing w:line="282" w:lineRule="auto"/>
        <w:rPr>
          <w:rFonts w:hint="eastAsia" w:asciiTheme="minorEastAsia" w:hAnsiTheme="minorEastAsia" w:eastAsiaTheme="minorEastAsia" w:cstheme="minorEastAsia"/>
          <w:color w:val="auto"/>
          <w:sz w:val="21"/>
        </w:rPr>
      </w:pPr>
    </w:p>
    <w:p w14:paraId="15E6ACCB">
      <w:pPr>
        <w:spacing w:line="283" w:lineRule="auto"/>
        <w:rPr>
          <w:rFonts w:hint="eastAsia" w:asciiTheme="minorEastAsia" w:hAnsiTheme="minorEastAsia" w:eastAsiaTheme="minorEastAsia" w:cstheme="minorEastAsia"/>
          <w:color w:val="auto"/>
          <w:sz w:val="21"/>
        </w:rPr>
      </w:pPr>
    </w:p>
    <w:p w14:paraId="3902E384">
      <w:pPr>
        <w:pStyle w:val="5"/>
        <w:spacing w:before="91" w:line="220" w:lineRule="auto"/>
        <w:ind w:left="281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2"/>
          <w:sz w:val="28"/>
          <w:szCs w:val="28"/>
        </w:rPr>
        <w:t>签订日期：</w:t>
      </w:r>
      <w:r>
        <w:rPr>
          <w:rFonts w:hint="eastAsia" w:asciiTheme="minorEastAsia" w:hAnsiTheme="minorEastAsia" w:eastAsiaTheme="minorEastAsia" w:cstheme="minorEastAsia"/>
          <w:color w:val="auto"/>
          <w:spacing w:val="-2"/>
          <w:sz w:val="28"/>
          <w:szCs w:val="28"/>
        </w:rPr>
        <w:t xml:space="preserve"> </w:t>
      </w:r>
      <w:r>
        <w:rPr>
          <w:rFonts w:hint="eastAsia" w:asciiTheme="minorEastAsia" w:hAnsiTheme="minorEastAsia" w:eastAsiaTheme="minorEastAsia" w:cstheme="minorEastAsia"/>
          <w:color w:val="auto"/>
          <w:spacing w:val="-2"/>
          <w:sz w:val="28"/>
          <w:szCs w:val="28"/>
          <w:u w:val="single" w:color="auto"/>
        </w:rPr>
        <w:t xml:space="preserve">     </w:t>
      </w:r>
      <w:r>
        <w:rPr>
          <w:rFonts w:hint="eastAsia" w:asciiTheme="minorEastAsia" w:hAnsiTheme="minorEastAsia" w:eastAsiaTheme="minorEastAsia" w:cstheme="minorEastAsia"/>
          <w:color w:val="auto"/>
          <w:spacing w:val="-128"/>
          <w:sz w:val="28"/>
          <w:szCs w:val="28"/>
        </w:rPr>
        <w:t xml:space="preserve"> </w:t>
      </w:r>
      <w:r>
        <w:rPr>
          <w:rFonts w:hint="eastAsia" w:asciiTheme="minorEastAsia" w:hAnsiTheme="minorEastAsia" w:eastAsiaTheme="minorEastAsia" w:cstheme="minorEastAsia"/>
          <w:b/>
          <w:bCs/>
          <w:color w:val="auto"/>
          <w:spacing w:val="-2"/>
          <w:sz w:val="28"/>
          <w:szCs w:val="28"/>
        </w:rPr>
        <w:t>年</w:t>
      </w:r>
      <w:r>
        <w:rPr>
          <w:rFonts w:hint="eastAsia" w:asciiTheme="minorEastAsia" w:hAnsiTheme="minorEastAsia" w:eastAsiaTheme="minorEastAsia" w:cstheme="minorEastAsia"/>
          <w:color w:val="auto"/>
          <w:spacing w:val="-2"/>
          <w:sz w:val="28"/>
          <w:szCs w:val="28"/>
          <w:u w:val="single" w:color="auto"/>
        </w:rPr>
        <w:t xml:space="preserve">    </w:t>
      </w:r>
      <w:r>
        <w:rPr>
          <w:rFonts w:hint="eastAsia" w:asciiTheme="minorEastAsia" w:hAnsiTheme="minorEastAsia" w:eastAsiaTheme="minorEastAsia" w:cstheme="minorEastAsia"/>
          <w:color w:val="auto"/>
          <w:spacing w:val="-122"/>
          <w:sz w:val="28"/>
          <w:szCs w:val="28"/>
        </w:rPr>
        <w:t xml:space="preserve"> </w:t>
      </w:r>
      <w:r>
        <w:rPr>
          <w:rFonts w:hint="eastAsia" w:asciiTheme="minorEastAsia" w:hAnsiTheme="minorEastAsia" w:eastAsiaTheme="minorEastAsia" w:cstheme="minorEastAsia"/>
          <w:b/>
          <w:bCs/>
          <w:color w:val="auto"/>
          <w:spacing w:val="-2"/>
          <w:sz w:val="28"/>
          <w:szCs w:val="28"/>
        </w:rPr>
        <w:t>月</w:t>
      </w:r>
    </w:p>
    <w:p w14:paraId="19465DBA">
      <w:pPr>
        <w:spacing w:line="220" w:lineRule="auto"/>
        <w:rPr>
          <w:rFonts w:hint="eastAsia" w:asciiTheme="minorEastAsia" w:hAnsiTheme="minorEastAsia" w:eastAsiaTheme="minorEastAsia" w:cstheme="minorEastAsia"/>
          <w:color w:val="auto"/>
          <w:sz w:val="28"/>
          <w:szCs w:val="28"/>
        </w:rPr>
        <w:sectPr>
          <w:footerReference r:id="rId5" w:type="default"/>
          <w:pgSz w:w="11906" w:h="16839"/>
          <w:pgMar w:top="1207" w:right="1416" w:bottom="1113" w:left="1417" w:header="845" w:footer="899" w:gutter="0"/>
          <w:pgNumType w:fmt="decimal"/>
          <w:cols w:space="720" w:num="1"/>
        </w:sectPr>
      </w:pPr>
    </w:p>
    <w:p w14:paraId="43C04F82">
      <w:pPr>
        <w:pStyle w:val="5"/>
        <w:spacing w:before="154" w:line="219" w:lineRule="auto"/>
        <w:ind w:left="358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7"/>
          <w:sz w:val="24"/>
          <w:szCs w:val="24"/>
        </w:rPr>
        <w:t>第一部分</w:t>
      </w:r>
      <w:r>
        <w:rPr>
          <w:rFonts w:hint="eastAsia" w:asciiTheme="minorEastAsia" w:hAnsiTheme="minorEastAsia" w:eastAsiaTheme="minorEastAsia" w:cstheme="minorEastAsia"/>
          <w:color w:val="auto"/>
          <w:spacing w:val="9"/>
          <w:sz w:val="24"/>
          <w:szCs w:val="24"/>
        </w:rPr>
        <w:t xml:space="preserve">  </w:t>
      </w:r>
      <w:r>
        <w:rPr>
          <w:rFonts w:hint="eastAsia" w:asciiTheme="minorEastAsia" w:hAnsiTheme="minorEastAsia" w:eastAsiaTheme="minorEastAsia" w:cstheme="minorEastAsia"/>
          <w:b/>
          <w:bCs/>
          <w:color w:val="auto"/>
          <w:spacing w:val="-7"/>
          <w:sz w:val="24"/>
          <w:szCs w:val="24"/>
        </w:rPr>
        <w:t>总</w:t>
      </w:r>
      <w:r>
        <w:rPr>
          <w:rFonts w:hint="eastAsia" w:asciiTheme="minorEastAsia" w:hAnsiTheme="minorEastAsia" w:eastAsiaTheme="minorEastAsia" w:cstheme="minorEastAsia"/>
          <w:color w:val="auto"/>
          <w:spacing w:val="8"/>
          <w:sz w:val="24"/>
          <w:szCs w:val="24"/>
        </w:rPr>
        <w:t xml:space="preserve">  </w:t>
      </w:r>
      <w:r>
        <w:rPr>
          <w:rFonts w:hint="eastAsia" w:asciiTheme="minorEastAsia" w:hAnsiTheme="minorEastAsia" w:eastAsiaTheme="minorEastAsia" w:cstheme="minorEastAsia"/>
          <w:b/>
          <w:bCs/>
          <w:color w:val="auto"/>
          <w:spacing w:val="-7"/>
          <w:sz w:val="24"/>
          <w:szCs w:val="24"/>
        </w:rPr>
        <w:t>则</w:t>
      </w:r>
    </w:p>
    <w:p w14:paraId="79C7DBBB">
      <w:pPr>
        <w:pStyle w:val="5"/>
        <w:spacing w:before="218"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第一条</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本合同当事人</w:t>
      </w:r>
    </w:p>
    <w:p w14:paraId="6551E72E">
      <w:pPr>
        <w:pStyle w:val="5"/>
        <w:spacing w:before="216" w:line="219" w:lineRule="auto"/>
        <w:ind w:left="51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rPr>
        <mc:AlternateContent>
          <mc:Choice Requires="wps">
            <w:drawing>
              <wp:anchor distT="0" distB="0" distL="114300" distR="114300" simplePos="0" relativeHeight="251662336" behindDoc="0" locked="0" layoutInCell="1" allowOverlap="1">
                <wp:simplePos x="0" y="0"/>
                <wp:positionH relativeFrom="column">
                  <wp:posOffset>1527175</wp:posOffset>
                </wp:positionH>
                <wp:positionV relativeFrom="paragraph">
                  <wp:posOffset>284480</wp:posOffset>
                </wp:positionV>
                <wp:extent cx="2057400" cy="7620"/>
                <wp:effectExtent l="0" t="0" r="0" b="0"/>
                <wp:wrapNone/>
                <wp:docPr id="3" name="任意多边形 3"/>
                <wp:cNvGraphicFramePr/>
                <a:graphic xmlns:a="http://schemas.openxmlformats.org/drawingml/2006/main">
                  <a:graphicData uri="http://schemas.microsoft.com/office/word/2010/wordprocessingShape">
                    <wps:wsp>
                      <wps:cNvSpPr/>
                      <wps:spPr>
                        <a:xfrm>
                          <a:off x="0" y="0"/>
                          <a:ext cx="2057400" cy="7620"/>
                        </a:xfrm>
                        <a:custGeom>
                          <a:avLst/>
                          <a:gdLst/>
                          <a:ahLst/>
                          <a:cxnLst/>
                          <a:pathLst>
                            <a:path w="3240" h="12">
                              <a:moveTo>
                                <a:pt x="0" y="5"/>
                              </a:moveTo>
                              <a:lnTo>
                                <a:pt x="3239"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20.25pt;margin-top:22.4pt;height:0.6pt;width:162pt;z-index:251662336;mso-width-relative:page;mso-height-relative:page;" filled="f" stroked="t" coordsize="3240,12" o:gfxdata="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cdQxh2QAAAAkBAAAPAAAAAAAAAAEAIAAAACIAAABkcnMv&#10;ZG93bnJldi54bWxQSwECFAAUAAAACACHTuJAoVLHnDsCAACWBAAADgAAAAAAAAABACAAAAAoAQAA&#10;ZHJzL2Uyb0RvYy54bWxQSwUGAAAAAAYABgBZAQAA1QUAAAAA&#10;" path="m0,5l3239,5e">
                <v:fill on="f" focussize="0,0"/>
                <v:stroke weight="0.6pt" color="#000000" joinstyle="bevel"/>
                <v:imagedata o:title=""/>
                <o:lock v:ext="edit" aspectratio="f"/>
              </v:shape>
            </w:pict>
          </mc:Fallback>
        </mc:AlternateContent>
      </w:r>
      <w:r>
        <w:rPr>
          <w:rFonts w:hint="eastAsia" w:asciiTheme="minorEastAsia" w:hAnsiTheme="minorEastAsia" w:eastAsiaTheme="minorEastAsia" w:cstheme="minorEastAsia"/>
          <w:color w:val="auto"/>
          <w:spacing w:val="-7"/>
          <w:sz w:val="24"/>
          <w:szCs w:val="24"/>
        </w:rPr>
        <w:t>甲方（采购人</w:t>
      </w:r>
      <w:r>
        <w:rPr>
          <w:rFonts w:hint="eastAsia" w:asciiTheme="minorEastAsia" w:hAnsiTheme="minorEastAsia" w:eastAsiaTheme="minorEastAsia" w:cstheme="minorEastAsia"/>
          <w:color w:val="auto"/>
          <w:sz w:val="24"/>
          <w:szCs w:val="24"/>
        </w:rPr>
        <w:t>）：</w:t>
      </w:r>
    </w:p>
    <w:p w14:paraId="0454F392">
      <w:pPr>
        <w:pStyle w:val="5"/>
        <w:spacing w:before="215" w:line="220" w:lineRule="auto"/>
        <w:ind w:left="51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rPr>
        <mc:AlternateContent>
          <mc:Choice Requires="wps">
            <w:drawing>
              <wp:anchor distT="0" distB="0" distL="114300" distR="114300" simplePos="0" relativeHeight="251663360" behindDoc="0" locked="0" layoutInCell="1" allowOverlap="1">
                <wp:simplePos x="0" y="0"/>
                <wp:positionH relativeFrom="column">
                  <wp:posOffset>1527175</wp:posOffset>
                </wp:positionH>
                <wp:positionV relativeFrom="paragraph">
                  <wp:posOffset>284480</wp:posOffset>
                </wp:positionV>
                <wp:extent cx="2057400" cy="7620"/>
                <wp:effectExtent l="0" t="0" r="0" b="0"/>
                <wp:wrapNone/>
                <wp:docPr id="2" name="任意多边形 2"/>
                <wp:cNvGraphicFramePr/>
                <a:graphic xmlns:a="http://schemas.openxmlformats.org/drawingml/2006/main">
                  <a:graphicData uri="http://schemas.microsoft.com/office/word/2010/wordprocessingShape">
                    <wps:wsp>
                      <wps:cNvSpPr/>
                      <wps:spPr>
                        <a:xfrm>
                          <a:off x="0" y="0"/>
                          <a:ext cx="2057400" cy="7620"/>
                        </a:xfrm>
                        <a:custGeom>
                          <a:avLst/>
                          <a:gdLst/>
                          <a:ahLst/>
                          <a:cxnLst/>
                          <a:pathLst>
                            <a:path w="3240" h="12">
                              <a:moveTo>
                                <a:pt x="0" y="5"/>
                              </a:moveTo>
                              <a:lnTo>
                                <a:pt x="3239"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20.25pt;margin-top:22.4pt;height:0.6pt;width:162pt;z-index:251663360;mso-width-relative:page;mso-height-relative:page;" filled="f" stroked="t" coordsize="3240,12" o:gfxdata="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nHUMYdkAAAAJAQAADwAAAAAAAAABACAAAAAiAAAAZHJz&#10;L2Rvd25yZXYueG1sUEsBAhQAFAAAAAgAh07iQFY8iF48AgAAlgQAAA4AAAAAAAAAAQAgAAAAKAEA&#10;AGRycy9lMm9Eb2MueG1sUEsFBgAAAAAGAAYAWQEAANYFAAAAAA==&#10;" path="m0,5l3239,5e">
                <v:fill on="f" focussize="0,0"/>
                <v:stroke weight="0.6pt" color="#000000" joinstyle="bevel"/>
                <v:imagedata o:title=""/>
                <o:lock v:ext="edit" aspectratio="f"/>
              </v:shape>
            </w:pict>
          </mc:Fallback>
        </mc:AlternateContent>
      </w:r>
      <w:r>
        <w:rPr>
          <w:rFonts w:hint="eastAsia" w:asciiTheme="minorEastAsia" w:hAnsiTheme="minorEastAsia" w:eastAsiaTheme="minorEastAsia" w:cstheme="minorEastAsia"/>
          <w:color w:val="auto"/>
          <w:spacing w:val="-6"/>
          <w:sz w:val="24"/>
          <w:szCs w:val="24"/>
        </w:rPr>
        <w:t>乙方（中标人</w:t>
      </w:r>
      <w:r>
        <w:rPr>
          <w:rFonts w:hint="eastAsia" w:asciiTheme="minorEastAsia" w:hAnsiTheme="minorEastAsia" w:eastAsiaTheme="minorEastAsia" w:cstheme="minorEastAsia"/>
          <w:color w:val="auto"/>
          <w:spacing w:val="1"/>
          <w:sz w:val="24"/>
          <w:szCs w:val="24"/>
        </w:rPr>
        <w:t>）：</w:t>
      </w:r>
    </w:p>
    <w:p w14:paraId="251937AE">
      <w:pPr>
        <w:pStyle w:val="5"/>
        <w:spacing w:before="211" w:line="385" w:lineRule="auto"/>
        <w:ind w:left="12" w:right="80" w:firstLine="479"/>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为全面做好海口市美兰区乡镇环卫保洁工作，按照科学划分、严格准入、规范</w:t>
      </w:r>
      <w:r>
        <w:rPr>
          <w:rFonts w:hint="eastAsia" w:asciiTheme="minorEastAsia" w:hAnsiTheme="minorEastAsia" w:eastAsiaTheme="minorEastAsia" w:cstheme="minorEastAsia"/>
          <w:color w:val="auto"/>
          <w:spacing w:val="10"/>
          <w:sz w:val="24"/>
          <w:szCs w:val="24"/>
        </w:rPr>
        <w:t xml:space="preserve"> </w:t>
      </w:r>
      <w:r>
        <w:rPr>
          <w:rFonts w:hint="eastAsia" w:asciiTheme="minorEastAsia" w:hAnsiTheme="minorEastAsia" w:eastAsiaTheme="minorEastAsia" w:cstheme="minorEastAsia"/>
          <w:color w:val="auto"/>
          <w:spacing w:val="-2"/>
          <w:sz w:val="24"/>
          <w:szCs w:val="24"/>
        </w:rPr>
        <w:t>管理、市场运作的原则，由</w:t>
      </w:r>
      <w:r>
        <w:rPr>
          <w:rFonts w:hint="eastAsia" w:asciiTheme="minorEastAsia" w:hAnsiTheme="minorEastAsia" w:eastAsiaTheme="minorEastAsia" w:cstheme="minorEastAsia"/>
          <w:color w:val="auto"/>
          <w:spacing w:val="-2"/>
          <w:sz w:val="24"/>
          <w:szCs w:val="24"/>
          <w:u w:val="single"/>
        </w:rPr>
        <w:t>海南中由项目管理有限公司对海口市美兰区乡镇环卫项目</w:t>
      </w:r>
      <w:r>
        <w:rPr>
          <w:rFonts w:hint="eastAsia" w:asciiTheme="minorEastAsia" w:hAnsiTheme="minorEastAsia" w:eastAsiaTheme="minorEastAsia" w:cstheme="minorEastAsia"/>
          <w:color w:val="auto"/>
          <w:spacing w:val="-1"/>
          <w:sz w:val="24"/>
          <w:szCs w:val="24"/>
          <w:u w:val="single" w:color="auto"/>
        </w:rPr>
        <w:t>（项目编号：</w:t>
      </w:r>
      <w:r>
        <w:rPr>
          <w:rFonts w:hint="eastAsia" w:asciiTheme="minorEastAsia" w:hAnsiTheme="minorEastAsia" w:eastAsiaTheme="minorEastAsia" w:cstheme="minorEastAsia"/>
          <w:color w:val="auto"/>
          <w:spacing w:val="-1"/>
          <w:sz w:val="24"/>
          <w:szCs w:val="24"/>
          <w:u w:val="single" w:color="auto"/>
          <w:lang w:eastAsia="zh-CN"/>
        </w:rPr>
        <w:t>[HNZY-2025-37]</w:t>
      </w:r>
      <w:r>
        <w:rPr>
          <w:rFonts w:hint="eastAsia" w:asciiTheme="minorEastAsia" w:hAnsiTheme="minorEastAsia" w:eastAsiaTheme="minorEastAsia" w:cstheme="minorEastAsia"/>
          <w:color w:val="auto"/>
          <w:spacing w:val="-1"/>
          <w:sz w:val="24"/>
          <w:szCs w:val="24"/>
          <w:u w:val="single" w:color="auto"/>
        </w:rPr>
        <w:t>）</w:t>
      </w:r>
      <w:r>
        <w:rPr>
          <w:rFonts w:hint="eastAsia" w:asciiTheme="minorEastAsia" w:hAnsiTheme="minorEastAsia" w:eastAsiaTheme="minorEastAsia" w:cstheme="minorEastAsia"/>
          <w:color w:val="auto"/>
          <w:spacing w:val="-1"/>
          <w:sz w:val="24"/>
          <w:szCs w:val="24"/>
        </w:rPr>
        <w:t>进行公开招标。</w:t>
      </w:r>
    </w:p>
    <w:p w14:paraId="3595E06E">
      <w:pPr>
        <w:pStyle w:val="5"/>
        <w:spacing w:before="2" w:line="384" w:lineRule="auto"/>
        <w:ind w:left="7" w:firstLine="511"/>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甲乙双方根据招标</w:t>
      </w:r>
      <w:bookmarkStart w:id="4" w:name="_GoBack"/>
      <w:r>
        <w:rPr>
          <w:rFonts w:hint="eastAsia" w:asciiTheme="minorEastAsia" w:hAnsiTheme="minorEastAsia" w:eastAsiaTheme="minorEastAsia" w:cstheme="minorEastAsia"/>
          <w:color w:val="auto"/>
          <w:spacing w:val="-3"/>
          <w:sz w:val="24"/>
          <w:szCs w:val="24"/>
        </w:rPr>
        <w:t>文件的要求，依</w:t>
      </w:r>
      <w:bookmarkEnd w:id="4"/>
      <w:r>
        <w:rPr>
          <w:rFonts w:hint="eastAsia" w:asciiTheme="minorEastAsia" w:hAnsiTheme="minorEastAsia" w:eastAsiaTheme="minorEastAsia" w:cstheme="minorEastAsia"/>
          <w:color w:val="auto"/>
          <w:spacing w:val="-3"/>
          <w:sz w:val="24"/>
          <w:szCs w:val="24"/>
        </w:rPr>
        <w:t>据《中华人民共和国民典法》、《中华人民共和</w:t>
      </w:r>
      <w:r>
        <w:rPr>
          <w:rFonts w:hint="eastAsia" w:asciiTheme="minorEastAsia" w:hAnsiTheme="minorEastAsia" w:eastAsiaTheme="minorEastAsia" w:cstheme="minorEastAsia"/>
          <w:color w:val="auto"/>
          <w:spacing w:val="-6"/>
          <w:sz w:val="24"/>
          <w:szCs w:val="24"/>
        </w:rPr>
        <w:t>国政府采购法》、《城市市容和环境卫生管理条例》等有关法律，双方恪守公平、公正、</w:t>
      </w:r>
      <w:r>
        <w:rPr>
          <w:rFonts w:hint="eastAsia" w:asciiTheme="minorEastAsia" w:hAnsiTheme="minorEastAsia" w:eastAsiaTheme="minorEastAsia" w:cstheme="minorEastAsia"/>
          <w:color w:val="auto"/>
          <w:spacing w:val="16"/>
          <w:sz w:val="24"/>
          <w:szCs w:val="24"/>
        </w:rPr>
        <w:t xml:space="preserve"> </w:t>
      </w:r>
      <w:r>
        <w:rPr>
          <w:rFonts w:hint="eastAsia" w:asciiTheme="minorEastAsia" w:hAnsiTheme="minorEastAsia" w:eastAsiaTheme="minorEastAsia" w:cstheme="minorEastAsia"/>
          <w:color w:val="auto"/>
          <w:spacing w:val="-1"/>
          <w:sz w:val="24"/>
          <w:szCs w:val="24"/>
        </w:rPr>
        <w:t>诚信的原则，友好协商，签订本合同。</w:t>
      </w:r>
    </w:p>
    <w:p w14:paraId="22EDC5D6">
      <w:pPr>
        <w:pStyle w:val="5"/>
        <w:spacing w:before="1"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第二条</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合同文件的组成</w:t>
      </w:r>
    </w:p>
    <w:p w14:paraId="4C91E0B3">
      <w:pPr>
        <w:pStyle w:val="5"/>
        <w:spacing w:before="216" w:line="219"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本合同所附下列文件是构成本合同不可分割的部分：</w:t>
      </w:r>
    </w:p>
    <w:p w14:paraId="3865BAEB">
      <w:pPr>
        <w:pStyle w:val="5"/>
        <w:spacing w:before="215" w:line="219" w:lineRule="auto"/>
        <w:ind w:left="50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1.招标文件以及相关的澄清、补充文件等；</w:t>
      </w:r>
    </w:p>
    <w:p w14:paraId="55801AF6">
      <w:pPr>
        <w:pStyle w:val="5"/>
        <w:spacing w:before="215" w:line="219" w:lineRule="auto"/>
        <w:ind w:left="49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2.乙方的投标文件及其澄清、补充说明文件等；</w:t>
      </w:r>
    </w:p>
    <w:p w14:paraId="7C956C80">
      <w:pPr>
        <w:pStyle w:val="5"/>
        <w:spacing w:before="216" w:line="219" w:lineRule="auto"/>
        <w:ind w:left="4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3.中标通知书。</w:t>
      </w:r>
    </w:p>
    <w:p w14:paraId="702E8992">
      <w:pPr>
        <w:pStyle w:val="5"/>
        <w:spacing w:before="198" w:line="219" w:lineRule="auto"/>
        <w:ind w:left="285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第二部分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服务范围和工作内容</w:t>
      </w:r>
    </w:p>
    <w:p w14:paraId="7A3A2AC1">
      <w:pPr>
        <w:pStyle w:val="5"/>
        <w:spacing w:before="196" w:line="219" w:lineRule="auto"/>
        <w:ind w:left="49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pacing w:val="-3"/>
          <w:sz w:val="24"/>
          <w:szCs w:val="24"/>
        </w:rPr>
        <w:t>第三条</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服务范围</w:t>
      </w:r>
      <w:r>
        <w:rPr>
          <w:rFonts w:hint="eastAsia" w:asciiTheme="minorEastAsia" w:hAnsiTheme="minorEastAsia" w:eastAsiaTheme="minorEastAsia" w:cstheme="minorEastAsia"/>
          <w:b/>
          <w:bCs/>
          <w:color w:val="auto"/>
          <w:spacing w:val="-3"/>
          <w:sz w:val="24"/>
          <w:szCs w:val="24"/>
          <w:lang w:val="en-US" w:eastAsia="zh-CN"/>
        </w:rPr>
        <w:t>及服务标准</w:t>
      </w:r>
    </w:p>
    <w:p w14:paraId="75F7B9C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海口市美兰区乡镇环卫项目作业范围包括美兰区主城区辖区范围内的</w:t>
      </w:r>
      <w:r>
        <w:rPr>
          <w:rFonts w:hint="eastAsia"/>
          <w:color w:val="auto"/>
          <w:lang w:val="en-US" w:eastAsia="zh-CN"/>
        </w:rPr>
        <w:t>道路及公共区域清扫保洁、生活垃圾收集清运、公共厕所运维管理</w:t>
      </w:r>
      <w:r>
        <w:rPr>
          <w:rFonts w:hint="eastAsia" w:asciiTheme="minorEastAsia" w:hAnsiTheme="minorEastAsia" w:eastAsiaTheme="minorEastAsia" w:cstheme="minorEastAsia"/>
          <w:color w:val="auto"/>
          <w:spacing w:val="-2"/>
          <w:sz w:val="24"/>
          <w:szCs w:val="24"/>
          <w:lang w:eastAsia="zh-CN"/>
        </w:rPr>
        <w:t>。</w:t>
      </w:r>
    </w:p>
    <w:p w14:paraId="77A36DF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lang w:val="en-US" w:eastAsia="zh-CN"/>
        </w:rPr>
        <w:t>一</w:t>
      </w:r>
      <w:r>
        <w:rPr>
          <w:rFonts w:hint="eastAsia" w:asciiTheme="minorEastAsia" w:hAnsiTheme="minorEastAsia" w:eastAsiaTheme="minorEastAsia" w:cstheme="minorEastAsia"/>
          <w:color w:val="auto"/>
          <w:spacing w:val="-2"/>
          <w:sz w:val="24"/>
          <w:szCs w:val="24"/>
          <w:lang w:eastAsia="zh-CN"/>
        </w:rPr>
        <w:t>）道路及公共区域清扫保洁</w:t>
      </w:r>
    </w:p>
    <w:p w14:paraId="0B8344B0">
      <w:pPr>
        <w:pStyle w:val="5"/>
        <w:numPr>
          <w:ilvl w:val="0"/>
          <w:numId w:val="0"/>
        </w:numPr>
        <w:spacing w:before="211" w:line="385" w:lineRule="auto"/>
        <w:ind w:left="491" w:leftChars="0" w:right="80" w:rightChars="0"/>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1、作业范围</w:t>
      </w:r>
    </w:p>
    <w:p w14:paraId="55359BD4">
      <w:pPr>
        <w:pStyle w:val="5"/>
        <w:numPr>
          <w:ilvl w:val="0"/>
          <w:numId w:val="0"/>
        </w:numPr>
        <w:spacing w:before="211" w:line="385" w:lineRule="auto"/>
        <w:ind w:left="491" w:leftChars="0" w:right="80" w:rightChars="0" w:firstLine="472" w:firstLineChars="200"/>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海口市美兰区灵山镇、演丰镇、三江镇（不含三江居）、大致坡镇在内镇墟范围内的主要交通干道、“墙到墙”、绿化以及所辖村村通道路的清扫保洁，从而形成范围内全覆盖的环卫作业。</w:t>
      </w:r>
    </w:p>
    <w:p w14:paraId="407263FE">
      <w:pPr>
        <w:pStyle w:val="20"/>
        <w:spacing w:line="360" w:lineRule="auto"/>
        <w:ind w:firstLine="560"/>
        <w:rPr>
          <w:rFonts w:hint="eastAsia" w:asciiTheme="minorEastAsia" w:hAnsiTheme="minorEastAsia" w:eastAsiaTheme="minorEastAsia" w:cstheme="minorEastAsia"/>
          <w:snapToGrid w:val="0"/>
          <w:color w:val="auto"/>
          <w:spacing w:val="-2"/>
          <w:kern w:val="0"/>
          <w:sz w:val="24"/>
          <w:szCs w:val="24"/>
          <w:lang w:val="en-US" w:eastAsia="zh-CN" w:bidi="ar-SA"/>
        </w:rPr>
      </w:pPr>
      <w:r>
        <w:rPr>
          <w:rFonts w:hint="eastAsia" w:asciiTheme="minorEastAsia" w:hAnsiTheme="minorEastAsia" w:eastAsiaTheme="minorEastAsia" w:cstheme="minorEastAsia"/>
          <w:snapToGrid w:val="0"/>
          <w:color w:val="auto"/>
          <w:spacing w:val="-2"/>
          <w:kern w:val="0"/>
          <w:sz w:val="24"/>
          <w:szCs w:val="24"/>
          <w:lang w:val="en-US" w:eastAsia="zh-CN" w:bidi="ar-SA"/>
        </w:rPr>
        <w:t>2、作业面积</w:t>
      </w:r>
    </w:p>
    <w:p w14:paraId="006FECD0">
      <w:pPr>
        <w:pStyle w:val="20"/>
        <w:spacing w:line="360" w:lineRule="auto"/>
        <w:ind w:firstLine="560"/>
        <w:rPr>
          <w:rFonts w:hint="eastAsia" w:asciiTheme="minorEastAsia" w:hAnsiTheme="minorEastAsia" w:eastAsiaTheme="minorEastAsia" w:cstheme="minorEastAsia"/>
          <w:snapToGrid w:val="0"/>
          <w:color w:val="auto"/>
          <w:spacing w:val="-2"/>
          <w:kern w:val="0"/>
          <w:sz w:val="24"/>
          <w:szCs w:val="24"/>
          <w:lang w:val="en-US" w:eastAsia="zh-CN" w:bidi="ar-SA"/>
        </w:rPr>
      </w:pPr>
      <w:r>
        <w:rPr>
          <w:rFonts w:hint="eastAsia" w:asciiTheme="minorEastAsia" w:hAnsiTheme="minorEastAsia" w:eastAsiaTheme="minorEastAsia" w:cstheme="minorEastAsia"/>
          <w:snapToGrid w:val="0"/>
          <w:color w:val="auto"/>
          <w:spacing w:val="-2"/>
          <w:kern w:val="0"/>
          <w:sz w:val="24"/>
          <w:szCs w:val="24"/>
          <w:lang w:val="en-US" w:eastAsia="zh-CN" w:bidi="ar-SA"/>
        </w:rPr>
        <w:t>道路及公共区域的清扫保洁面积为4940001.87㎡，其中：初始面积—镇墟道路761397.24㎡、村村通道路2863449.26㎡、绿化面积1115.80㎡、“墙到墙”面积899743.91㎡、罗牛山场部和三江社区居委会的龙窝村面积31512.78㎡；新增镇墟道路面积190600.40㎡，新增（加宽）村村通道路112056.38㎡，新增保税区空港片区道路面积30992.60㎡，新增保税区空港片区其他面积51091.50㎡，共计为384740.88㎡；核减村村通道路1958㎡。</w:t>
      </w:r>
    </w:p>
    <w:p w14:paraId="215DCD85">
      <w:pPr>
        <w:pStyle w:val="20"/>
        <w:spacing w:line="360" w:lineRule="auto"/>
        <w:ind w:firstLine="560"/>
        <w:rPr>
          <w:rFonts w:hint="eastAsia" w:asciiTheme="minorEastAsia" w:hAnsiTheme="minorEastAsia" w:eastAsiaTheme="minorEastAsia" w:cstheme="minorEastAsia"/>
          <w:snapToGrid w:val="0"/>
          <w:color w:val="auto"/>
          <w:spacing w:val="-2"/>
          <w:kern w:val="0"/>
          <w:sz w:val="24"/>
          <w:szCs w:val="24"/>
          <w:lang w:val="en-US" w:eastAsia="zh-CN" w:bidi="ar-SA"/>
        </w:rPr>
      </w:pPr>
      <w:r>
        <w:rPr>
          <w:rFonts w:hint="eastAsia" w:asciiTheme="minorEastAsia" w:hAnsiTheme="minorEastAsia" w:eastAsiaTheme="minorEastAsia" w:cstheme="minorEastAsia"/>
          <w:snapToGrid w:val="0"/>
          <w:color w:val="auto"/>
          <w:spacing w:val="-2"/>
          <w:kern w:val="0"/>
          <w:sz w:val="24"/>
          <w:szCs w:val="24"/>
          <w:lang w:val="en-US" w:eastAsia="zh-CN" w:bidi="ar-SA"/>
        </w:rPr>
        <w:t>（面积增减以测绘报告为准）详见下表：</w:t>
      </w:r>
    </w:p>
    <w:p w14:paraId="59420572">
      <w:pPr>
        <w:rPr>
          <w:rFonts w:hint="eastAsia" w:asciiTheme="minorEastAsia" w:hAnsiTheme="minorEastAsia" w:eastAsiaTheme="minorEastAsia" w:cstheme="minorEastAsia"/>
          <w:snapToGrid w:val="0"/>
          <w:color w:val="auto"/>
          <w:spacing w:val="-2"/>
          <w:kern w:val="0"/>
          <w:sz w:val="24"/>
          <w:szCs w:val="24"/>
          <w:lang w:val="en-US" w:eastAsia="zh-CN" w:bidi="ar-SA"/>
        </w:rPr>
      </w:pPr>
      <w:r>
        <w:rPr>
          <w:rFonts w:hint="eastAsia" w:asciiTheme="minorEastAsia" w:hAnsiTheme="minorEastAsia" w:eastAsiaTheme="minorEastAsia" w:cstheme="minorEastAsia"/>
          <w:snapToGrid w:val="0"/>
          <w:color w:val="auto"/>
          <w:spacing w:val="-2"/>
          <w:kern w:val="0"/>
          <w:sz w:val="24"/>
          <w:szCs w:val="24"/>
          <w:lang w:val="en-US" w:eastAsia="zh-CN" w:bidi="ar-SA"/>
        </w:rPr>
        <w:br w:type="page"/>
      </w:r>
    </w:p>
    <w:p w14:paraId="00EC5EFB">
      <w:pPr>
        <w:ind w:firstLine="562" w:firstLineChars="20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附表1-1 </w:t>
      </w:r>
      <w:r>
        <w:rPr>
          <w:rFonts w:hint="eastAsia" w:ascii="仿宋" w:hAnsi="仿宋" w:eastAsia="仿宋" w:cs="仿宋"/>
          <w:b/>
          <w:sz w:val="28"/>
          <w:szCs w:val="28"/>
          <w:highlight w:val="none"/>
          <w:lang w:eastAsia="zh-CN"/>
        </w:rPr>
        <w:t>镇墟市场化</w:t>
      </w:r>
      <w:r>
        <w:rPr>
          <w:rFonts w:hint="eastAsia" w:ascii="仿宋" w:hAnsi="仿宋" w:eastAsia="仿宋" w:cs="仿宋"/>
          <w:b/>
          <w:sz w:val="28"/>
          <w:szCs w:val="28"/>
          <w:highlight w:val="none"/>
        </w:rPr>
        <w:t>的作业面积统计表</w:t>
      </w:r>
    </w:p>
    <w:p w14:paraId="5B6E4C7E">
      <w:pPr>
        <w:pStyle w:val="9"/>
        <w:rPr>
          <w:highlight w:val="none"/>
        </w:rPr>
      </w:pPr>
      <w:r>
        <w:rPr>
          <w:rFonts w:hint="eastAsia"/>
          <w:highlight w:val="none"/>
        </w:rPr>
        <w:t>单位：㎡</w:t>
      </w:r>
    </w:p>
    <w:tbl>
      <w:tblPr>
        <w:tblStyle w:val="10"/>
        <w:tblW w:w="8680" w:type="dxa"/>
        <w:jc w:val="center"/>
        <w:tblLayout w:type="fixed"/>
        <w:tblCellMar>
          <w:top w:w="0" w:type="dxa"/>
          <w:left w:w="108" w:type="dxa"/>
          <w:bottom w:w="0" w:type="dxa"/>
          <w:right w:w="108" w:type="dxa"/>
        </w:tblCellMar>
      </w:tblPr>
      <w:tblGrid>
        <w:gridCol w:w="1671"/>
        <w:gridCol w:w="3343"/>
        <w:gridCol w:w="3666"/>
      </w:tblGrid>
      <w:tr w14:paraId="35CAB37B">
        <w:tblPrEx>
          <w:tblCellMar>
            <w:top w:w="0" w:type="dxa"/>
            <w:left w:w="108" w:type="dxa"/>
            <w:bottom w:w="0" w:type="dxa"/>
            <w:right w:w="108" w:type="dxa"/>
          </w:tblCellMar>
        </w:tblPrEx>
        <w:trPr>
          <w:trHeight w:val="578" w:hRule="atLeast"/>
          <w:tblHeader/>
          <w:jc w:val="center"/>
        </w:trPr>
        <w:tc>
          <w:tcPr>
            <w:tcW w:w="167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90D23">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bidi="ar"/>
              </w:rPr>
              <w:t>序号</w:t>
            </w:r>
          </w:p>
        </w:tc>
        <w:tc>
          <w:tcPr>
            <w:tcW w:w="3343" w:type="dxa"/>
            <w:tcBorders>
              <w:top w:val="single" w:color="000000" w:sz="8" w:space="0"/>
              <w:left w:val="single" w:color="000000" w:sz="8" w:space="0"/>
              <w:bottom w:val="single" w:color="000000" w:sz="8" w:space="0"/>
              <w:right w:val="single" w:color="auto" w:sz="4" w:space="0"/>
            </w:tcBorders>
            <w:shd w:val="clear" w:color="auto" w:fill="auto"/>
            <w:vAlign w:val="center"/>
          </w:tcPr>
          <w:p w14:paraId="7E3358CE">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bidi="ar"/>
              </w:rPr>
              <w:t>类别</w:t>
            </w:r>
          </w:p>
        </w:tc>
        <w:tc>
          <w:tcPr>
            <w:tcW w:w="3666" w:type="dxa"/>
            <w:tcBorders>
              <w:top w:val="single" w:color="auto" w:sz="4" w:space="0"/>
              <w:left w:val="single" w:color="auto" w:sz="4" w:space="0"/>
              <w:bottom w:val="single" w:color="auto" w:sz="4" w:space="0"/>
              <w:right w:val="single" w:color="auto" w:sz="4" w:space="0"/>
            </w:tcBorders>
            <w:vAlign w:val="center"/>
          </w:tcPr>
          <w:p w14:paraId="3940A89F">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bidi="ar"/>
              </w:rPr>
              <w:t>作业面积</w:t>
            </w:r>
          </w:p>
        </w:tc>
      </w:tr>
      <w:tr w14:paraId="74A8AA87">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000000" w:sz="8" w:space="0"/>
              <w:right w:val="single" w:color="000000" w:sz="8" w:space="0"/>
            </w:tcBorders>
            <w:shd w:val="clear" w:color="auto" w:fill="auto"/>
            <w:vAlign w:val="center"/>
          </w:tcPr>
          <w:p w14:paraId="2B2BE562">
            <w:pPr>
              <w:widowControl/>
              <w:jc w:val="center"/>
              <w:textAlignment w:val="center"/>
              <w:rPr>
                <w:rFonts w:hint="eastAsia" w:ascii="仿宋" w:hAnsi="仿宋" w:eastAsia="仿宋" w:cs="仿宋"/>
                <w:sz w:val="24"/>
                <w:szCs w:val="24"/>
                <w:highlight w:val="none"/>
              </w:rPr>
            </w:pPr>
            <w:r>
              <w:rPr>
                <w:rFonts w:ascii="仿宋" w:hAnsi="仿宋" w:eastAsia="仿宋" w:cs="仿宋"/>
                <w:kern w:val="0"/>
                <w:sz w:val="24"/>
                <w:szCs w:val="24"/>
                <w:highlight w:val="none"/>
                <w:lang w:bidi="ar"/>
              </w:rPr>
              <w:t>1</w:t>
            </w:r>
          </w:p>
        </w:tc>
        <w:tc>
          <w:tcPr>
            <w:tcW w:w="3343" w:type="dxa"/>
            <w:tcBorders>
              <w:top w:val="nil"/>
              <w:left w:val="single" w:color="000000" w:sz="8" w:space="0"/>
              <w:bottom w:val="single" w:color="000000" w:sz="8" w:space="0"/>
              <w:right w:val="single" w:color="auto" w:sz="4" w:space="0"/>
            </w:tcBorders>
            <w:shd w:val="clear" w:color="auto" w:fill="auto"/>
            <w:vAlign w:val="center"/>
          </w:tcPr>
          <w:p w14:paraId="315C3D94">
            <w:pPr>
              <w:widowControl/>
              <w:jc w:val="center"/>
              <w:textAlignment w:val="center"/>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镇墟道路面积</w:t>
            </w:r>
          </w:p>
        </w:tc>
        <w:tc>
          <w:tcPr>
            <w:tcW w:w="3666" w:type="dxa"/>
            <w:tcBorders>
              <w:top w:val="single" w:color="auto" w:sz="4" w:space="0"/>
              <w:left w:val="single" w:color="auto" w:sz="4" w:space="0"/>
              <w:bottom w:val="single" w:color="auto" w:sz="4" w:space="0"/>
              <w:right w:val="single" w:color="auto" w:sz="4" w:space="0"/>
            </w:tcBorders>
            <w:vAlign w:val="center"/>
          </w:tcPr>
          <w:p w14:paraId="5D509888">
            <w:pPr>
              <w:widowControl/>
              <w:jc w:val="center"/>
              <w:textAlignment w:val="center"/>
              <w:rPr>
                <w:rFonts w:hint="eastAsia" w:ascii="仿宋" w:hAnsi="仿宋" w:eastAsia="仿宋" w:cs="仿宋"/>
                <w:sz w:val="24"/>
                <w:szCs w:val="24"/>
                <w:highlight w:val="none"/>
              </w:rPr>
            </w:pPr>
            <w:r>
              <w:rPr>
                <w:rFonts w:ascii="仿宋" w:hAnsi="仿宋" w:eastAsia="仿宋"/>
                <w:sz w:val="24"/>
                <w:szCs w:val="24"/>
                <w:highlight w:val="none"/>
              </w:rPr>
              <w:t>761397.24</w:t>
            </w:r>
          </w:p>
        </w:tc>
      </w:tr>
      <w:tr w14:paraId="7F490171">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000000" w:sz="8" w:space="0"/>
              <w:right w:val="single" w:color="000000" w:sz="8" w:space="0"/>
            </w:tcBorders>
            <w:shd w:val="clear" w:color="auto" w:fill="auto"/>
            <w:vAlign w:val="center"/>
          </w:tcPr>
          <w:p w14:paraId="16C57CDE">
            <w:pPr>
              <w:widowControl/>
              <w:jc w:val="center"/>
              <w:textAlignment w:val="center"/>
              <w:rPr>
                <w:rFonts w:hint="eastAsia" w:ascii="仿宋" w:hAnsi="仿宋" w:eastAsia="仿宋" w:cs="仿宋"/>
                <w:kern w:val="0"/>
                <w:sz w:val="24"/>
                <w:szCs w:val="24"/>
                <w:highlight w:val="none"/>
                <w:lang w:bidi="ar"/>
              </w:rPr>
            </w:pPr>
            <w:r>
              <w:rPr>
                <w:rFonts w:ascii="仿宋" w:hAnsi="仿宋" w:eastAsia="仿宋" w:cs="仿宋"/>
                <w:kern w:val="0"/>
                <w:sz w:val="24"/>
                <w:szCs w:val="24"/>
                <w:highlight w:val="none"/>
                <w:lang w:bidi="ar"/>
              </w:rPr>
              <w:t>2</w:t>
            </w:r>
          </w:p>
        </w:tc>
        <w:tc>
          <w:tcPr>
            <w:tcW w:w="3343" w:type="dxa"/>
            <w:tcBorders>
              <w:top w:val="nil"/>
              <w:left w:val="single" w:color="000000" w:sz="8" w:space="0"/>
              <w:bottom w:val="single" w:color="000000" w:sz="8" w:space="0"/>
              <w:right w:val="single" w:color="auto" w:sz="4" w:space="0"/>
            </w:tcBorders>
            <w:shd w:val="clear" w:color="auto" w:fill="auto"/>
            <w:vAlign w:val="center"/>
          </w:tcPr>
          <w:p w14:paraId="74DD87FC">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村村通道路面积</w:t>
            </w:r>
          </w:p>
        </w:tc>
        <w:tc>
          <w:tcPr>
            <w:tcW w:w="3666" w:type="dxa"/>
            <w:tcBorders>
              <w:top w:val="single" w:color="auto" w:sz="4" w:space="0"/>
              <w:left w:val="single" w:color="auto" w:sz="4" w:space="0"/>
              <w:bottom w:val="single" w:color="auto" w:sz="4" w:space="0"/>
              <w:right w:val="single" w:color="auto" w:sz="4" w:space="0"/>
            </w:tcBorders>
            <w:vAlign w:val="center"/>
          </w:tcPr>
          <w:p w14:paraId="5EB9BF9A">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sz w:val="24"/>
                <w:szCs w:val="24"/>
                <w:highlight w:val="none"/>
              </w:rPr>
              <w:t>2863449.26</w:t>
            </w:r>
          </w:p>
        </w:tc>
      </w:tr>
      <w:tr w14:paraId="5110B4E2">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000000" w:sz="8" w:space="0"/>
              <w:right w:val="single" w:color="000000" w:sz="8" w:space="0"/>
            </w:tcBorders>
            <w:shd w:val="clear" w:color="auto" w:fill="auto"/>
            <w:vAlign w:val="center"/>
          </w:tcPr>
          <w:p w14:paraId="78A77501">
            <w:pPr>
              <w:widowControl/>
              <w:jc w:val="center"/>
              <w:textAlignment w:val="center"/>
              <w:rPr>
                <w:rFonts w:hint="eastAsia" w:ascii="仿宋" w:hAnsi="仿宋" w:eastAsia="仿宋" w:cs="仿宋"/>
                <w:sz w:val="24"/>
                <w:szCs w:val="24"/>
                <w:highlight w:val="none"/>
              </w:rPr>
            </w:pPr>
            <w:r>
              <w:rPr>
                <w:rFonts w:ascii="仿宋" w:hAnsi="仿宋" w:eastAsia="仿宋" w:cs="仿宋"/>
                <w:kern w:val="0"/>
                <w:sz w:val="24"/>
                <w:szCs w:val="24"/>
                <w:highlight w:val="none"/>
                <w:lang w:bidi="ar"/>
              </w:rPr>
              <w:t>3</w:t>
            </w:r>
          </w:p>
        </w:tc>
        <w:tc>
          <w:tcPr>
            <w:tcW w:w="3343" w:type="dxa"/>
            <w:tcBorders>
              <w:top w:val="nil"/>
              <w:left w:val="single" w:color="000000" w:sz="8" w:space="0"/>
              <w:bottom w:val="single" w:color="000000" w:sz="8" w:space="0"/>
              <w:right w:val="single" w:color="000000" w:sz="8" w:space="0"/>
            </w:tcBorders>
            <w:shd w:val="clear" w:color="auto" w:fill="auto"/>
            <w:vAlign w:val="center"/>
          </w:tcPr>
          <w:p w14:paraId="3B698DB4">
            <w:pPr>
              <w:widowControl/>
              <w:jc w:val="center"/>
              <w:textAlignment w:val="center"/>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绿化面积</w:t>
            </w:r>
          </w:p>
        </w:tc>
        <w:tc>
          <w:tcPr>
            <w:tcW w:w="3666" w:type="dxa"/>
            <w:tcBorders>
              <w:top w:val="nil"/>
              <w:left w:val="single" w:color="000000" w:sz="8" w:space="0"/>
              <w:bottom w:val="single" w:color="000000" w:sz="8" w:space="0"/>
              <w:right w:val="single" w:color="000000" w:sz="8" w:space="0"/>
            </w:tcBorders>
            <w:vAlign w:val="center"/>
          </w:tcPr>
          <w:p w14:paraId="272AF303">
            <w:pPr>
              <w:widowControl/>
              <w:jc w:val="center"/>
              <w:textAlignment w:val="center"/>
              <w:rPr>
                <w:rFonts w:hint="eastAsia" w:ascii="仿宋" w:hAnsi="仿宋" w:eastAsia="仿宋" w:cs="仿宋"/>
                <w:sz w:val="24"/>
                <w:szCs w:val="24"/>
                <w:highlight w:val="none"/>
              </w:rPr>
            </w:pPr>
            <w:r>
              <w:rPr>
                <w:rFonts w:ascii="仿宋" w:hAnsi="仿宋" w:eastAsia="仿宋" w:cs="仿宋"/>
                <w:kern w:val="0"/>
                <w:sz w:val="24"/>
                <w:szCs w:val="24"/>
                <w:highlight w:val="none"/>
                <w:lang w:bidi="ar"/>
              </w:rPr>
              <w:t>1115.80</w:t>
            </w:r>
          </w:p>
        </w:tc>
      </w:tr>
      <w:tr w14:paraId="5F47875F">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auto" w:sz="4" w:space="0"/>
              <w:right w:val="single" w:color="000000" w:sz="8" w:space="0"/>
            </w:tcBorders>
            <w:shd w:val="clear" w:color="auto" w:fill="auto"/>
            <w:vAlign w:val="center"/>
          </w:tcPr>
          <w:p w14:paraId="0BEF8ABB">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4</w:t>
            </w:r>
          </w:p>
        </w:tc>
        <w:tc>
          <w:tcPr>
            <w:tcW w:w="3343" w:type="dxa"/>
            <w:tcBorders>
              <w:top w:val="nil"/>
              <w:left w:val="single" w:color="000000" w:sz="8" w:space="0"/>
              <w:bottom w:val="single" w:color="auto" w:sz="4" w:space="0"/>
              <w:right w:val="single" w:color="000000" w:sz="8" w:space="0"/>
            </w:tcBorders>
            <w:shd w:val="clear" w:color="auto" w:fill="auto"/>
            <w:vAlign w:val="center"/>
          </w:tcPr>
          <w:p w14:paraId="2ED5802E">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“墙到墙”面积</w:t>
            </w:r>
          </w:p>
        </w:tc>
        <w:tc>
          <w:tcPr>
            <w:tcW w:w="3666" w:type="dxa"/>
            <w:tcBorders>
              <w:top w:val="nil"/>
              <w:left w:val="single" w:color="000000" w:sz="8" w:space="0"/>
              <w:bottom w:val="single" w:color="auto" w:sz="4" w:space="0"/>
              <w:right w:val="single" w:color="000000" w:sz="8" w:space="0"/>
            </w:tcBorders>
            <w:vAlign w:val="center"/>
          </w:tcPr>
          <w:p w14:paraId="6A2FBC47">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sz w:val="24"/>
                <w:szCs w:val="24"/>
                <w:highlight w:val="none"/>
              </w:rPr>
              <w:t>899743.91</w:t>
            </w:r>
          </w:p>
        </w:tc>
      </w:tr>
      <w:tr w14:paraId="77C030A8">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auto" w:sz="4" w:space="0"/>
              <w:right w:val="single" w:color="000000" w:sz="8" w:space="0"/>
            </w:tcBorders>
            <w:shd w:val="clear" w:color="auto" w:fill="auto"/>
            <w:vAlign w:val="center"/>
          </w:tcPr>
          <w:p w14:paraId="26ADB136">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5</w:t>
            </w:r>
          </w:p>
        </w:tc>
        <w:tc>
          <w:tcPr>
            <w:tcW w:w="3343" w:type="dxa"/>
            <w:tcBorders>
              <w:top w:val="nil"/>
              <w:left w:val="single" w:color="000000" w:sz="8" w:space="0"/>
              <w:bottom w:val="single" w:color="auto" w:sz="4" w:space="0"/>
              <w:right w:val="single" w:color="000000" w:sz="8" w:space="0"/>
            </w:tcBorders>
            <w:shd w:val="clear" w:color="auto" w:fill="auto"/>
            <w:vAlign w:val="center"/>
          </w:tcPr>
          <w:p w14:paraId="7D85C2C0">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罗牛山场部和三江社区居委会的龙窝村</w:t>
            </w:r>
          </w:p>
        </w:tc>
        <w:tc>
          <w:tcPr>
            <w:tcW w:w="3666" w:type="dxa"/>
            <w:tcBorders>
              <w:top w:val="nil"/>
              <w:left w:val="single" w:color="000000" w:sz="8" w:space="0"/>
              <w:bottom w:val="single" w:color="auto" w:sz="4" w:space="0"/>
              <w:right w:val="single" w:color="000000" w:sz="8" w:space="0"/>
            </w:tcBorders>
            <w:vAlign w:val="center"/>
          </w:tcPr>
          <w:p w14:paraId="6D1E133E">
            <w:pPr>
              <w:widowControl/>
              <w:jc w:val="center"/>
              <w:textAlignment w:val="center"/>
              <w:rPr>
                <w:rFonts w:hint="eastAsia" w:ascii="仿宋" w:hAnsi="仿宋" w:eastAsia="仿宋"/>
                <w:sz w:val="24"/>
                <w:szCs w:val="24"/>
                <w:highlight w:val="none"/>
              </w:rPr>
            </w:pPr>
            <w:r>
              <w:rPr>
                <w:rFonts w:hint="eastAsia" w:ascii="仿宋" w:hAnsi="仿宋" w:eastAsia="仿宋"/>
                <w:sz w:val="24"/>
                <w:szCs w:val="24"/>
                <w:highlight w:val="none"/>
              </w:rPr>
              <w:t>31512.78</w:t>
            </w:r>
          </w:p>
        </w:tc>
      </w:tr>
      <w:tr w14:paraId="4CE0ECCA">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4C67250C">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6</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63696E3C">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小计1</w:t>
            </w:r>
          </w:p>
        </w:tc>
        <w:tc>
          <w:tcPr>
            <w:tcW w:w="3666" w:type="dxa"/>
            <w:tcBorders>
              <w:top w:val="single" w:color="auto" w:sz="4" w:space="0"/>
              <w:left w:val="single" w:color="auto" w:sz="4" w:space="0"/>
              <w:bottom w:val="single" w:color="auto" w:sz="4" w:space="0"/>
              <w:right w:val="single" w:color="auto" w:sz="4" w:space="0"/>
            </w:tcBorders>
            <w:noWrap/>
            <w:vAlign w:val="center"/>
          </w:tcPr>
          <w:p w14:paraId="50D4ED9B">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4557218.99</w:t>
            </w:r>
          </w:p>
        </w:tc>
      </w:tr>
      <w:tr w14:paraId="5FEFD1E1">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1B5ACA77">
            <w:pPr>
              <w:widowControl/>
              <w:jc w:val="center"/>
              <w:textAlignment w:val="center"/>
              <w:rPr>
                <w:rFonts w:hint="eastAsia" w:ascii="仿宋" w:hAnsi="仿宋" w:eastAsia="仿宋" w:cs="仿宋"/>
                <w:b w:val="0"/>
                <w:bCs w:val="0"/>
                <w:kern w:val="0"/>
                <w:sz w:val="24"/>
                <w:szCs w:val="24"/>
                <w:highlight w:val="none"/>
                <w:lang w:bidi="ar"/>
              </w:rPr>
            </w:pPr>
            <w:r>
              <w:rPr>
                <w:rFonts w:hint="eastAsia" w:ascii="仿宋" w:hAnsi="仿宋" w:eastAsia="仿宋" w:cs="仿宋"/>
                <w:b w:val="0"/>
                <w:bCs w:val="0"/>
                <w:kern w:val="0"/>
                <w:sz w:val="24"/>
                <w:szCs w:val="24"/>
                <w:highlight w:val="none"/>
                <w:lang w:bidi="ar"/>
              </w:rPr>
              <w:t>7</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5CA34D46">
            <w:pPr>
              <w:widowControl/>
              <w:jc w:val="center"/>
              <w:textAlignment w:val="center"/>
              <w:rPr>
                <w:rFonts w:hint="eastAsia" w:ascii="仿宋" w:hAnsi="仿宋" w:eastAsia="仿宋" w:cs="仿宋"/>
                <w:b/>
                <w:bCs/>
                <w:kern w:val="0"/>
                <w:sz w:val="24"/>
                <w:szCs w:val="24"/>
                <w:highlight w:val="none"/>
                <w:lang w:bidi="ar"/>
              </w:rPr>
            </w:pPr>
            <w:r>
              <w:rPr>
                <w:rFonts w:hint="eastAsia" w:ascii="仿宋" w:hAnsi="仿宋" w:eastAsia="仿宋" w:cs="仿宋"/>
                <w:kern w:val="0"/>
                <w:sz w:val="24"/>
                <w:szCs w:val="24"/>
                <w:highlight w:val="none"/>
                <w:lang w:bidi="ar"/>
              </w:rPr>
              <w:t>新增镇墟道路面积</w:t>
            </w:r>
          </w:p>
        </w:tc>
        <w:tc>
          <w:tcPr>
            <w:tcW w:w="3666" w:type="dxa"/>
            <w:tcBorders>
              <w:top w:val="single" w:color="auto" w:sz="4" w:space="0"/>
              <w:left w:val="single" w:color="auto" w:sz="4" w:space="0"/>
              <w:bottom w:val="single" w:color="auto" w:sz="4" w:space="0"/>
              <w:right w:val="single" w:color="auto" w:sz="4" w:space="0"/>
            </w:tcBorders>
            <w:noWrap/>
            <w:vAlign w:val="center"/>
          </w:tcPr>
          <w:p w14:paraId="23583B91">
            <w:pPr>
              <w:widowControl/>
              <w:jc w:val="center"/>
              <w:textAlignment w:val="center"/>
              <w:rPr>
                <w:rFonts w:hint="eastAsia" w:ascii="仿宋" w:hAnsi="仿宋" w:eastAsia="仿宋"/>
                <w:b/>
                <w:bCs/>
                <w:sz w:val="24"/>
                <w:szCs w:val="24"/>
                <w:highlight w:val="none"/>
                <w:lang w:eastAsia="zh-CN"/>
              </w:rPr>
            </w:pPr>
            <w:r>
              <w:rPr>
                <w:rFonts w:hint="eastAsia" w:ascii="仿宋" w:hAnsi="仿宋" w:eastAsia="仿宋"/>
                <w:sz w:val="24"/>
                <w:szCs w:val="24"/>
                <w:highlight w:val="none"/>
                <w:lang w:eastAsia="zh-CN"/>
              </w:rPr>
              <w:t>190600.40</w:t>
            </w:r>
          </w:p>
        </w:tc>
      </w:tr>
      <w:tr w14:paraId="0985A10D">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11FB0195">
            <w:pPr>
              <w:widowControl/>
              <w:jc w:val="center"/>
              <w:textAlignment w:val="center"/>
              <w:rPr>
                <w:rFonts w:hint="eastAsia" w:ascii="仿宋" w:hAnsi="仿宋" w:eastAsia="仿宋" w:cs="仿宋"/>
                <w:b w:val="0"/>
                <w:bCs w:val="0"/>
                <w:kern w:val="0"/>
                <w:sz w:val="24"/>
                <w:szCs w:val="24"/>
                <w:highlight w:val="none"/>
                <w:lang w:bidi="ar"/>
              </w:rPr>
            </w:pPr>
            <w:r>
              <w:rPr>
                <w:rFonts w:hint="eastAsia" w:ascii="仿宋" w:hAnsi="仿宋" w:eastAsia="仿宋" w:cs="仿宋"/>
                <w:b w:val="0"/>
                <w:bCs w:val="0"/>
                <w:kern w:val="0"/>
                <w:sz w:val="24"/>
                <w:szCs w:val="24"/>
                <w:highlight w:val="none"/>
                <w:lang w:bidi="ar"/>
              </w:rPr>
              <w:t>8</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698556D4">
            <w:pPr>
              <w:widowControl/>
              <w:jc w:val="center"/>
              <w:textAlignment w:val="center"/>
              <w:rPr>
                <w:rFonts w:hint="eastAsia" w:ascii="仿宋" w:hAnsi="仿宋" w:eastAsia="仿宋" w:cs="仿宋"/>
                <w:b/>
                <w:bCs/>
                <w:kern w:val="0"/>
                <w:sz w:val="24"/>
                <w:szCs w:val="24"/>
                <w:highlight w:val="none"/>
                <w:lang w:bidi="ar"/>
              </w:rPr>
            </w:pPr>
            <w:r>
              <w:rPr>
                <w:rFonts w:hint="eastAsia" w:ascii="仿宋" w:hAnsi="仿宋" w:eastAsia="仿宋" w:cs="仿宋"/>
                <w:kern w:val="0"/>
                <w:sz w:val="24"/>
                <w:szCs w:val="24"/>
                <w:highlight w:val="none"/>
                <w:lang w:bidi="ar"/>
              </w:rPr>
              <w:t>新增（加宽）村村通道路</w:t>
            </w:r>
          </w:p>
        </w:tc>
        <w:tc>
          <w:tcPr>
            <w:tcW w:w="3666" w:type="dxa"/>
            <w:tcBorders>
              <w:top w:val="single" w:color="auto" w:sz="4" w:space="0"/>
              <w:left w:val="single" w:color="auto" w:sz="4" w:space="0"/>
              <w:bottom w:val="single" w:color="auto" w:sz="4" w:space="0"/>
              <w:right w:val="single" w:color="auto" w:sz="4" w:space="0"/>
            </w:tcBorders>
            <w:noWrap/>
            <w:vAlign w:val="center"/>
          </w:tcPr>
          <w:p w14:paraId="302C45C8">
            <w:pPr>
              <w:widowControl/>
              <w:jc w:val="center"/>
              <w:textAlignment w:val="center"/>
              <w:rPr>
                <w:rFonts w:hint="eastAsia" w:ascii="仿宋" w:hAnsi="仿宋" w:eastAsia="仿宋"/>
                <w:b/>
                <w:bCs/>
                <w:sz w:val="24"/>
                <w:szCs w:val="24"/>
                <w:highlight w:val="none"/>
              </w:rPr>
            </w:pPr>
            <w:r>
              <w:rPr>
                <w:rFonts w:hint="eastAsia" w:ascii="仿宋" w:hAnsi="仿宋" w:eastAsia="仿宋"/>
                <w:sz w:val="24"/>
                <w:szCs w:val="24"/>
                <w:highlight w:val="none"/>
              </w:rPr>
              <w:t>112056.38</w:t>
            </w:r>
          </w:p>
        </w:tc>
      </w:tr>
      <w:tr w14:paraId="1B9864BA">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2214B90C">
            <w:pPr>
              <w:widowControl/>
              <w:jc w:val="center"/>
              <w:textAlignment w:val="center"/>
              <w:rPr>
                <w:rFonts w:hint="eastAsia" w:ascii="仿宋" w:hAnsi="仿宋" w:eastAsia="仿宋" w:cs="仿宋"/>
                <w:b w:val="0"/>
                <w:bCs w:val="0"/>
                <w:kern w:val="0"/>
                <w:sz w:val="24"/>
                <w:szCs w:val="24"/>
                <w:highlight w:val="none"/>
                <w:lang w:bidi="ar"/>
              </w:rPr>
            </w:pPr>
            <w:r>
              <w:rPr>
                <w:rFonts w:hint="eastAsia" w:ascii="仿宋" w:hAnsi="仿宋" w:eastAsia="仿宋" w:cs="仿宋"/>
                <w:b w:val="0"/>
                <w:bCs w:val="0"/>
                <w:kern w:val="0"/>
                <w:sz w:val="24"/>
                <w:szCs w:val="24"/>
                <w:highlight w:val="none"/>
                <w:lang w:bidi="ar"/>
              </w:rPr>
              <w:t>9</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19864A42">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新增保税区空港片区道路面积</w:t>
            </w:r>
          </w:p>
        </w:tc>
        <w:tc>
          <w:tcPr>
            <w:tcW w:w="3666" w:type="dxa"/>
            <w:tcBorders>
              <w:top w:val="single" w:color="auto" w:sz="4" w:space="0"/>
              <w:left w:val="single" w:color="auto" w:sz="4" w:space="0"/>
              <w:bottom w:val="single" w:color="auto" w:sz="4" w:space="0"/>
              <w:right w:val="single" w:color="auto" w:sz="4" w:space="0"/>
            </w:tcBorders>
            <w:noWrap/>
            <w:vAlign w:val="center"/>
          </w:tcPr>
          <w:p w14:paraId="77133030">
            <w:pPr>
              <w:widowControl/>
              <w:jc w:val="center"/>
              <w:textAlignment w:val="center"/>
              <w:rPr>
                <w:rFonts w:hint="eastAsia" w:ascii="仿宋" w:hAnsi="仿宋" w:eastAsia="仿宋"/>
                <w:sz w:val="24"/>
                <w:szCs w:val="24"/>
                <w:highlight w:val="none"/>
              </w:rPr>
            </w:pPr>
            <w:r>
              <w:rPr>
                <w:rFonts w:hint="eastAsia" w:ascii="仿宋" w:hAnsi="仿宋" w:eastAsia="仿宋"/>
                <w:sz w:val="24"/>
                <w:szCs w:val="24"/>
                <w:highlight w:val="none"/>
              </w:rPr>
              <w:t>30992.60</w:t>
            </w:r>
          </w:p>
        </w:tc>
      </w:tr>
      <w:tr w14:paraId="31A1B881">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4CB64672">
            <w:pPr>
              <w:widowControl/>
              <w:jc w:val="center"/>
              <w:textAlignment w:val="center"/>
              <w:rPr>
                <w:rFonts w:hint="eastAsia" w:ascii="仿宋" w:hAnsi="仿宋" w:eastAsia="仿宋" w:cs="仿宋"/>
                <w:b w:val="0"/>
                <w:bCs w:val="0"/>
                <w:kern w:val="0"/>
                <w:sz w:val="24"/>
                <w:szCs w:val="24"/>
                <w:highlight w:val="none"/>
                <w:lang w:bidi="ar"/>
              </w:rPr>
            </w:pPr>
            <w:r>
              <w:rPr>
                <w:rFonts w:hint="eastAsia" w:ascii="仿宋" w:hAnsi="仿宋" w:eastAsia="仿宋" w:cs="仿宋"/>
                <w:b w:val="0"/>
                <w:bCs w:val="0"/>
                <w:kern w:val="0"/>
                <w:sz w:val="24"/>
                <w:szCs w:val="24"/>
                <w:highlight w:val="none"/>
                <w:lang w:bidi="ar"/>
              </w:rPr>
              <w:t>10</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193416A4">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新增保税区空港片区其他面积</w:t>
            </w:r>
          </w:p>
        </w:tc>
        <w:tc>
          <w:tcPr>
            <w:tcW w:w="3666" w:type="dxa"/>
            <w:tcBorders>
              <w:top w:val="single" w:color="auto" w:sz="4" w:space="0"/>
              <w:left w:val="single" w:color="auto" w:sz="4" w:space="0"/>
              <w:bottom w:val="single" w:color="auto" w:sz="4" w:space="0"/>
              <w:right w:val="single" w:color="auto" w:sz="4" w:space="0"/>
            </w:tcBorders>
            <w:noWrap/>
            <w:vAlign w:val="center"/>
          </w:tcPr>
          <w:p w14:paraId="34D0FD4D">
            <w:pPr>
              <w:widowControl/>
              <w:jc w:val="center"/>
              <w:textAlignment w:val="center"/>
              <w:rPr>
                <w:rFonts w:hint="eastAsia" w:ascii="仿宋" w:hAnsi="仿宋" w:eastAsia="仿宋"/>
                <w:sz w:val="24"/>
                <w:szCs w:val="24"/>
                <w:highlight w:val="none"/>
              </w:rPr>
            </w:pPr>
            <w:r>
              <w:rPr>
                <w:rFonts w:hint="eastAsia" w:ascii="仿宋" w:hAnsi="仿宋" w:eastAsia="仿宋"/>
                <w:sz w:val="24"/>
                <w:szCs w:val="24"/>
                <w:highlight w:val="none"/>
              </w:rPr>
              <w:t>51091.50</w:t>
            </w:r>
          </w:p>
        </w:tc>
      </w:tr>
      <w:tr w14:paraId="46C4A7ED">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39E89146">
            <w:pPr>
              <w:widowControl/>
              <w:jc w:val="center"/>
              <w:textAlignment w:val="center"/>
              <w:rPr>
                <w:rFonts w:hint="eastAsia" w:ascii="仿宋" w:hAnsi="仿宋" w:eastAsia="仿宋" w:cs="仿宋"/>
                <w:b w:val="0"/>
                <w:bCs w:val="0"/>
                <w:kern w:val="0"/>
                <w:sz w:val="24"/>
                <w:szCs w:val="24"/>
                <w:highlight w:val="none"/>
                <w:lang w:bidi="ar"/>
              </w:rPr>
            </w:pPr>
            <w:r>
              <w:rPr>
                <w:rFonts w:hint="eastAsia" w:ascii="仿宋" w:hAnsi="仿宋" w:eastAsia="仿宋" w:cs="仿宋"/>
                <w:b w:val="0"/>
                <w:bCs w:val="0"/>
                <w:kern w:val="0"/>
                <w:sz w:val="24"/>
                <w:szCs w:val="24"/>
                <w:highlight w:val="none"/>
                <w:lang w:bidi="ar"/>
              </w:rPr>
              <w:t>11</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1E8543A6">
            <w:pPr>
              <w:widowControl/>
              <w:jc w:val="center"/>
              <w:textAlignment w:val="center"/>
              <w:rPr>
                <w:rFonts w:hint="eastAsia" w:ascii="仿宋" w:hAnsi="仿宋" w:eastAsia="仿宋" w:cs="仿宋"/>
                <w:b/>
                <w:bCs/>
                <w:kern w:val="0"/>
                <w:sz w:val="24"/>
                <w:szCs w:val="24"/>
                <w:highlight w:val="none"/>
                <w:lang w:bidi="ar"/>
              </w:rPr>
            </w:pPr>
            <w:r>
              <w:rPr>
                <w:rFonts w:hint="eastAsia" w:ascii="仿宋" w:hAnsi="仿宋" w:eastAsia="仿宋" w:cs="仿宋"/>
                <w:kern w:val="0"/>
                <w:sz w:val="24"/>
                <w:szCs w:val="24"/>
                <w:highlight w:val="none"/>
                <w:lang w:bidi="ar"/>
              </w:rPr>
              <w:t>小计2</w:t>
            </w:r>
          </w:p>
        </w:tc>
        <w:tc>
          <w:tcPr>
            <w:tcW w:w="3666" w:type="dxa"/>
            <w:tcBorders>
              <w:top w:val="single" w:color="auto" w:sz="4" w:space="0"/>
              <w:left w:val="single" w:color="auto" w:sz="4" w:space="0"/>
              <w:bottom w:val="single" w:color="auto" w:sz="4" w:space="0"/>
              <w:right w:val="single" w:color="auto" w:sz="4" w:space="0"/>
            </w:tcBorders>
            <w:noWrap/>
            <w:vAlign w:val="center"/>
          </w:tcPr>
          <w:p w14:paraId="0D6FF30D">
            <w:pPr>
              <w:widowControl/>
              <w:jc w:val="center"/>
              <w:textAlignment w:val="center"/>
              <w:rPr>
                <w:rFonts w:hint="eastAsia" w:ascii="仿宋" w:hAnsi="仿宋" w:eastAsia="仿宋"/>
                <w:b/>
                <w:bCs/>
                <w:sz w:val="24"/>
                <w:szCs w:val="24"/>
                <w:highlight w:val="none"/>
                <w:lang w:eastAsia="zh-CN"/>
              </w:rPr>
            </w:pPr>
            <w:r>
              <w:rPr>
                <w:rFonts w:hint="eastAsia" w:ascii="仿宋" w:hAnsi="仿宋" w:eastAsia="仿宋" w:cs="仿宋"/>
                <w:kern w:val="0"/>
                <w:sz w:val="24"/>
                <w:szCs w:val="24"/>
                <w:highlight w:val="none"/>
                <w:lang w:eastAsia="zh-CN" w:bidi="ar"/>
              </w:rPr>
              <w:t>384740.88</w:t>
            </w:r>
          </w:p>
        </w:tc>
      </w:tr>
      <w:tr w14:paraId="5F4680D0">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14D0D6C2">
            <w:pPr>
              <w:widowControl/>
              <w:jc w:val="center"/>
              <w:textAlignment w:val="center"/>
              <w:rPr>
                <w:rFonts w:hint="eastAsia" w:ascii="仿宋" w:hAnsi="仿宋" w:eastAsia="仿宋" w:cs="仿宋"/>
                <w:b w:val="0"/>
                <w:bCs w:val="0"/>
                <w:kern w:val="0"/>
                <w:sz w:val="24"/>
                <w:szCs w:val="24"/>
                <w:highlight w:val="none"/>
                <w:lang w:bidi="ar"/>
              </w:rPr>
            </w:pPr>
            <w:r>
              <w:rPr>
                <w:rFonts w:hint="eastAsia" w:ascii="仿宋" w:hAnsi="仿宋" w:eastAsia="仿宋" w:cs="仿宋"/>
                <w:b w:val="0"/>
                <w:bCs w:val="0"/>
                <w:kern w:val="0"/>
                <w:sz w:val="24"/>
                <w:szCs w:val="24"/>
                <w:highlight w:val="none"/>
                <w:lang w:bidi="ar"/>
              </w:rPr>
              <w:t>12</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5A9B2DF8">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核减村村通道路</w:t>
            </w:r>
          </w:p>
        </w:tc>
        <w:tc>
          <w:tcPr>
            <w:tcW w:w="3666" w:type="dxa"/>
            <w:tcBorders>
              <w:top w:val="single" w:color="auto" w:sz="4" w:space="0"/>
              <w:left w:val="single" w:color="auto" w:sz="4" w:space="0"/>
              <w:bottom w:val="single" w:color="auto" w:sz="4" w:space="0"/>
              <w:right w:val="single" w:color="auto" w:sz="4" w:space="0"/>
            </w:tcBorders>
            <w:noWrap/>
            <w:vAlign w:val="center"/>
          </w:tcPr>
          <w:p w14:paraId="4D6B829D">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1958</w:t>
            </w:r>
          </w:p>
        </w:tc>
      </w:tr>
      <w:tr w14:paraId="491AA688">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0A98BB9D">
            <w:pPr>
              <w:widowControl/>
              <w:jc w:val="center"/>
              <w:textAlignment w:val="center"/>
              <w:rPr>
                <w:rFonts w:hint="eastAsia" w:ascii="仿宋" w:hAnsi="仿宋" w:eastAsia="仿宋" w:cs="仿宋"/>
                <w:b w:val="0"/>
                <w:bCs w:val="0"/>
                <w:kern w:val="0"/>
                <w:sz w:val="24"/>
                <w:szCs w:val="24"/>
                <w:highlight w:val="none"/>
                <w:lang w:bidi="ar"/>
              </w:rPr>
            </w:pPr>
            <w:r>
              <w:rPr>
                <w:rFonts w:hint="eastAsia" w:ascii="仿宋" w:hAnsi="仿宋" w:eastAsia="仿宋" w:cs="仿宋"/>
                <w:b w:val="0"/>
                <w:bCs w:val="0"/>
                <w:kern w:val="0"/>
                <w:sz w:val="24"/>
                <w:szCs w:val="24"/>
                <w:highlight w:val="none"/>
                <w:lang w:bidi="ar"/>
              </w:rPr>
              <w:t>13</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75967FC1">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小计3</w:t>
            </w:r>
          </w:p>
        </w:tc>
        <w:tc>
          <w:tcPr>
            <w:tcW w:w="3666" w:type="dxa"/>
            <w:tcBorders>
              <w:top w:val="single" w:color="auto" w:sz="4" w:space="0"/>
              <w:left w:val="single" w:color="auto" w:sz="4" w:space="0"/>
              <w:bottom w:val="single" w:color="auto" w:sz="4" w:space="0"/>
              <w:right w:val="single" w:color="auto" w:sz="4" w:space="0"/>
            </w:tcBorders>
            <w:noWrap/>
            <w:vAlign w:val="center"/>
          </w:tcPr>
          <w:p w14:paraId="3F4CAD44">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1958</w:t>
            </w:r>
          </w:p>
        </w:tc>
      </w:tr>
      <w:tr w14:paraId="10C6697A">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7FFC847F">
            <w:pPr>
              <w:widowControl/>
              <w:jc w:val="center"/>
              <w:textAlignment w:val="center"/>
              <w:rPr>
                <w:rFonts w:hint="eastAsia" w:ascii="仿宋" w:hAnsi="仿宋" w:eastAsia="仿宋" w:cs="仿宋"/>
                <w:b/>
                <w:bCs/>
                <w:kern w:val="0"/>
                <w:sz w:val="24"/>
                <w:szCs w:val="24"/>
                <w:highlight w:val="none"/>
                <w:lang w:bidi="ar"/>
              </w:rPr>
            </w:pPr>
            <w:r>
              <w:rPr>
                <w:rFonts w:hint="eastAsia" w:ascii="仿宋" w:hAnsi="仿宋" w:eastAsia="仿宋" w:cs="仿宋"/>
                <w:b/>
                <w:bCs/>
                <w:kern w:val="0"/>
                <w:sz w:val="24"/>
                <w:szCs w:val="24"/>
                <w:highlight w:val="none"/>
                <w:lang w:bidi="ar"/>
              </w:rPr>
              <w:t>14</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259E6119">
            <w:pPr>
              <w:widowControl/>
              <w:jc w:val="center"/>
              <w:textAlignment w:val="center"/>
              <w:rPr>
                <w:rFonts w:hint="eastAsia" w:ascii="仿宋" w:hAnsi="仿宋" w:eastAsia="仿宋" w:cs="仿宋"/>
                <w:b/>
                <w:bCs/>
                <w:kern w:val="0"/>
                <w:sz w:val="24"/>
                <w:szCs w:val="24"/>
                <w:highlight w:val="none"/>
                <w:lang w:bidi="ar"/>
              </w:rPr>
            </w:pPr>
            <w:r>
              <w:rPr>
                <w:rFonts w:hint="eastAsia" w:ascii="仿宋" w:hAnsi="仿宋" w:eastAsia="仿宋" w:cs="仿宋"/>
                <w:b/>
                <w:bCs/>
                <w:kern w:val="0"/>
                <w:sz w:val="24"/>
                <w:szCs w:val="24"/>
                <w:highlight w:val="none"/>
                <w:lang w:bidi="ar"/>
              </w:rPr>
              <w:t>合</w:t>
            </w:r>
            <w:r>
              <w:rPr>
                <w:rFonts w:ascii="仿宋" w:hAnsi="仿宋" w:eastAsia="仿宋" w:cs="仿宋"/>
                <w:b/>
                <w:bCs/>
                <w:kern w:val="0"/>
                <w:sz w:val="24"/>
                <w:szCs w:val="24"/>
                <w:highlight w:val="none"/>
                <w:lang w:bidi="ar"/>
              </w:rPr>
              <w:t xml:space="preserve"> </w:t>
            </w:r>
            <w:r>
              <w:rPr>
                <w:rFonts w:hint="eastAsia" w:ascii="仿宋" w:hAnsi="仿宋" w:eastAsia="仿宋" w:cs="仿宋"/>
                <w:b/>
                <w:bCs/>
                <w:kern w:val="0"/>
                <w:sz w:val="24"/>
                <w:szCs w:val="24"/>
                <w:highlight w:val="none"/>
                <w:lang w:bidi="ar"/>
              </w:rPr>
              <w:t>计</w:t>
            </w:r>
          </w:p>
        </w:tc>
        <w:tc>
          <w:tcPr>
            <w:tcW w:w="3666" w:type="dxa"/>
            <w:tcBorders>
              <w:top w:val="single" w:color="auto" w:sz="4" w:space="0"/>
              <w:left w:val="single" w:color="auto" w:sz="4" w:space="0"/>
              <w:bottom w:val="single" w:color="auto" w:sz="4" w:space="0"/>
              <w:right w:val="single" w:color="auto" w:sz="4" w:space="0"/>
            </w:tcBorders>
            <w:noWrap/>
            <w:vAlign w:val="center"/>
          </w:tcPr>
          <w:p w14:paraId="1E07B580">
            <w:pPr>
              <w:widowControl/>
              <w:jc w:val="center"/>
              <w:textAlignment w:val="center"/>
              <w:rPr>
                <w:rFonts w:hint="eastAsia" w:ascii="仿宋" w:hAnsi="仿宋" w:eastAsia="仿宋"/>
                <w:b/>
                <w:bCs/>
                <w:sz w:val="24"/>
                <w:szCs w:val="24"/>
                <w:highlight w:val="none"/>
                <w:lang w:eastAsia="zh-CN"/>
              </w:rPr>
            </w:pPr>
            <w:r>
              <w:rPr>
                <w:rFonts w:hint="eastAsia" w:ascii="仿宋" w:hAnsi="仿宋" w:eastAsia="仿宋"/>
                <w:b/>
                <w:bCs/>
                <w:sz w:val="24"/>
                <w:szCs w:val="24"/>
                <w:highlight w:val="none"/>
                <w:lang w:eastAsia="zh-CN"/>
              </w:rPr>
              <w:t>4940001.87</w:t>
            </w:r>
          </w:p>
        </w:tc>
      </w:tr>
    </w:tbl>
    <w:p w14:paraId="5855BB4E">
      <w:pPr>
        <w:pStyle w:val="20"/>
        <w:spacing w:line="360" w:lineRule="auto"/>
        <w:ind w:firstLine="480" w:firstLineChars="200"/>
        <w:rPr>
          <w:rFonts w:hint="eastAsia" w:ascii="仿宋" w:hAnsi="仿宋" w:cs="仿宋"/>
          <w:szCs w:val="28"/>
          <w:highlight w:val="none"/>
        </w:rPr>
      </w:pPr>
      <w:r>
        <w:rPr>
          <w:rFonts w:hint="eastAsia" w:ascii="仿宋" w:hAnsi="仿宋" w:cs="仿宋"/>
          <w:szCs w:val="28"/>
          <w:highlight w:val="none"/>
        </w:rPr>
        <w:t>注：</w:t>
      </w:r>
    </w:p>
    <w:p w14:paraId="61A6CDFD">
      <w:pPr>
        <w:pStyle w:val="20"/>
        <w:spacing w:line="360" w:lineRule="auto"/>
        <w:ind w:firstLine="0" w:firstLineChars="0"/>
        <w:rPr>
          <w:rFonts w:hint="eastAsia" w:ascii="仿宋" w:hAnsi="仿宋" w:cs="仿宋"/>
          <w:szCs w:val="28"/>
          <w:highlight w:val="none"/>
        </w:rPr>
      </w:pPr>
      <w:r>
        <w:rPr>
          <w:rFonts w:hint="eastAsia" w:ascii="仿宋" w:hAnsi="仿宋" w:cs="仿宋"/>
          <w:szCs w:val="28"/>
          <w:highlight w:val="none"/>
        </w:rPr>
        <w:t>（</w:t>
      </w:r>
      <w:r>
        <w:rPr>
          <w:rFonts w:ascii="仿宋" w:hAnsi="仿宋" w:cs="仿宋"/>
          <w:szCs w:val="28"/>
          <w:highlight w:val="none"/>
        </w:rPr>
        <w:t>1）道路路面面积测量（包括镇墟内主要交通干道需保洁的区域）；</w:t>
      </w:r>
    </w:p>
    <w:p w14:paraId="64E65FEB">
      <w:pPr>
        <w:pStyle w:val="20"/>
        <w:spacing w:line="360" w:lineRule="auto"/>
        <w:ind w:firstLine="0" w:firstLineChars="0"/>
        <w:rPr>
          <w:rFonts w:hint="eastAsia" w:ascii="仿宋" w:hAnsi="仿宋" w:cs="仿宋"/>
          <w:szCs w:val="28"/>
          <w:highlight w:val="none"/>
        </w:rPr>
      </w:pPr>
      <w:r>
        <w:rPr>
          <w:rFonts w:hint="eastAsia" w:ascii="仿宋" w:hAnsi="仿宋" w:cs="仿宋"/>
          <w:szCs w:val="28"/>
          <w:highlight w:val="none"/>
        </w:rPr>
        <w:t>（</w:t>
      </w:r>
      <w:r>
        <w:rPr>
          <w:rFonts w:ascii="仿宋" w:hAnsi="仿宋" w:cs="仿宋"/>
          <w:szCs w:val="28"/>
          <w:highlight w:val="none"/>
        </w:rPr>
        <w:t>2）墙到墙面积测量（以道路边界线向道路两侧第一排建筑物区域，包括广场、停车场、人行道及人行道到建筑物滴水线的范围；建筑物至建筑物的公共区域；道路与道路之间的无建筑物、无其他设施设备的公共区域）；</w:t>
      </w:r>
    </w:p>
    <w:p w14:paraId="225F4961">
      <w:pPr>
        <w:pStyle w:val="20"/>
        <w:spacing w:line="360" w:lineRule="auto"/>
        <w:ind w:firstLine="0" w:firstLineChars="0"/>
        <w:rPr>
          <w:rFonts w:hint="eastAsia" w:ascii="仿宋" w:hAnsi="仿宋" w:cs="仿宋"/>
          <w:szCs w:val="28"/>
          <w:highlight w:val="none"/>
        </w:rPr>
      </w:pPr>
      <w:r>
        <w:rPr>
          <w:rFonts w:hint="eastAsia" w:ascii="仿宋" w:hAnsi="仿宋" w:cs="仿宋"/>
          <w:szCs w:val="28"/>
          <w:highlight w:val="none"/>
        </w:rPr>
        <w:t>（</w:t>
      </w:r>
      <w:r>
        <w:rPr>
          <w:rFonts w:ascii="仿宋" w:hAnsi="仿宋" w:cs="仿宋"/>
          <w:szCs w:val="28"/>
          <w:highlight w:val="none"/>
        </w:rPr>
        <w:t>3）绿化面积测量；</w:t>
      </w:r>
    </w:p>
    <w:p w14:paraId="4816340E">
      <w:pPr>
        <w:pStyle w:val="20"/>
        <w:spacing w:line="360" w:lineRule="auto"/>
        <w:ind w:firstLine="0" w:firstLineChars="0"/>
        <w:rPr>
          <w:rFonts w:hint="eastAsia" w:asciiTheme="minorEastAsia" w:hAnsiTheme="minorEastAsia" w:eastAsiaTheme="minorEastAsia" w:cstheme="minorEastAsia"/>
          <w:color w:val="auto"/>
          <w:spacing w:val="-2"/>
          <w:sz w:val="24"/>
          <w:szCs w:val="24"/>
          <w:lang w:eastAsia="zh-CN"/>
        </w:rPr>
      </w:pPr>
      <w:r>
        <w:rPr>
          <w:rFonts w:hint="eastAsia" w:ascii="仿宋" w:hAnsi="仿宋" w:cs="仿宋"/>
          <w:b w:val="0"/>
          <w:bCs w:val="0"/>
          <w:color w:val="auto"/>
          <w:sz w:val="24"/>
          <w:szCs w:val="28"/>
          <w:highlight w:val="none"/>
          <w:lang w:val="en-US" w:eastAsia="zh-CN"/>
        </w:rPr>
        <w:t>（4）删除原测绘报告中桂经路环卫保洁作业面积56894.4㎡，原归属</w:t>
      </w:r>
      <w:r>
        <w:rPr>
          <w:rFonts w:hint="eastAsia" w:ascii="仿宋" w:hAnsi="仿宋" w:cs="仿宋"/>
          <w:color w:val="auto"/>
          <w:szCs w:val="28"/>
          <w:highlight w:val="none"/>
        </w:rPr>
        <w:t>新增镇墟道路</w:t>
      </w:r>
      <w:r>
        <w:rPr>
          <w:rFonts w:hint="eastAsia" w:ascii="仿宋" w:hAnsi="仿宋" w:cs="仿宋"/>
          <w:b w:val="0"/>
          <w:bCs w:val="0"/>
          <w:color w:val="auto"/>
          <w:sz w:val="24"/>
          <w:szCs w:val="28"/>
          <w:highlight w:val="none"/>
          <w:lang w:val="en-US" w:eastAsia="zh-CN"/>
        </w:rPr>
        <w:t>作业面积，原</w:t>
      </w:r>
      <w:r>
        <w:rPr>
          <w:rFonts w:hint="eastAsia" w:ascii="仿宋" w:hAnsi="仿宋" w:cs="仿宋"/>
          <w:color w:val="auto"/>
          <w:szCs w:val="28"/>
          <w:highlight w:val="none"/>
        </w:rPr>
        <w:t>新增镇墟道路</w:t>
      </w:r>
      <w:r>
        <w:rPr>
          <w:rFonts w:hint="eastAsia" w:ascii="仿宋" w:hAnsi="仿宋" w:cs="仿宋"/>
          <w:b w:val="0"/>
          <w:bCs w:val="0"/>
          <w:color w:val="auto"/>
          <w:sz w:val="24"/>
          <w:szCs w:val="28"/>
          <w:highlight w:val="none"/>
          <w:lang w:val="en-US" w:eastAsia="zh-CN"/>
        </w:rPr>
        <w:t>面积为</w:t>
      </w:r>
      <w:r>
        <w:rPr>
          <w:rFonts w:hint="eastAsia" w:ascii="仿宋" w:hAnsi="仿宋" w:cs="仿宋"/>
          <w:color w:val="auto"/>
          <w:szCs w:val="28"/>
          <w:highlight w:val="none"/>
        </w:rPr>
        <w:t>247494.80</w:t>
      </w:r>
      <w:r>
        <w:rPr>
          <w:rFonts w:hint="eastAsia" w:ascii="仿宋" w:hAnsi="仿宋" w:cs="仿宋"/>
          <w:b w:val="0"/>
          <w:bCs w:val="0"/>
          <w:color w:val="auto"/>
          <w:sz w:val="24"/>
          <w:szCs w:val="28"/>
          <w:highlight w:val="none"/>
          <w:lang w:val="en-US" w:eastAsia="zh-CN"/>
        </w:rPr>
        <w:t>㎡，核减后</w:t>
      </w:r>
      <w:r>
        <w:rPr>
          <w:rFonts w:hint="eastAsia" w:ascii="仿宋" w:hAnsi="仿宋" w:cs="仿宋"/>
          <w:color w:val="auto"/>
          <w:szCs w:val="28"/>
          <w:highlight w:val="none"/>
        </w:rPr>
        <w:t>新增镇墟道路</w:t>
      </w:r>
      <w:r>
        <w:rPr>
          <w:rFonts w:hint="eastAsia" w:ascii="仿宋" w:hAnsi="仿宋" w:cs="仿宋"/>
          <w:b w:val="0"/>
          <w:bCs w:val="0"/>
          <w:color w:val="auto"/>
          <w:sz w:val="24"/>
          <w:szCs w:val="28"/>
          <w:highlight w:val="none"/>
          <w:lang w:val="en-US" w:eastAsia="zh-CN"/>
        </w:rPr>
        <w:t>面积为</w:t>
      </w:r>
      <w:r>
        <w:rPr>
          <w:rFonts w:hint="eastAsia" w:ascii="仿宋" w:hAnsi="仿宋" w:cs="仿宋"/>
          <w:color w:val="auto"/>
          <w:szCs w:val="28"/>
          <w:highlight w:val="none"/>
        </w:rPr>
        <w:t>190600.40</w:t>
      </w:r>
      <w:r>
        <w:rPr>
          <w:rFonts w:hint="eastAsia" w:ascii="仿宋" w:hAnsi="仿宋" w:cs="仿宋"/>
          <w:b w:val="0"/>
          <w:bCs w:val="0"/>
          <w:color w:val="auto"/>
          <w:sz w:val="24"/>
          <w:szCs w:val="28"/>
          <w:highlight w:val="none"/>
          <w:lang w:val="en-US" w:eastAsia="zh-CN"/>
        </w:rPr>
        <w:t>㎡。</w:t>
      </w:r>
    </w:p>
    <w:p w14:paraId="0264D38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3</w:t>
      </w:r>
      <w:r>
        <w:rPr>
          <w:rFonts w:hint="eastAsia" w:asciiTheme="minorEastAsia" w:hAnsiTheme="minorEastAsia" w:eastAsiaTheme="minorEastAsia" w:cstheme="minorEastAsia"/>
          <w:color w:val="auto"/>
          <w:spacing w:val="-2"/>
          <w:sz w:val="24"/>
          <w:szCs w:val="24"/>
          <w:lang w:eastAsia="zh-CN"/>
        </w:rPr>
        <w:t>、作业内容</w:t>
      </w:r>
    </w:p>
    <w:p w14:paraId="40D01358">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（1）实施范围内主次街道道路路中心至两侧建筑物墙根（包括车行道、人行道、绿化带等）、背街小巷、公共场所的清扫、清洗、保洁、洒水降尘；</w:t>
      </w:r>
    </w:p>
    <w:p w14:paraId="404FB42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（2）道路“墙到墙”之间所有建（构）筑物2米以下范围内乱张贴和乱涂写的清理和保洁；</w:t>
      </w:r>
    </w:p>
    <w:p w14:paraId="0DB21A1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（3）道路两侧建（构）筑物范围内垃圾桶、果皮箱等垃圾收集容器的清掏、保洁、维护及日常管理；</w:t>
      </w:r>
    </w:p>
    <w:p w14:paraId="096E6A3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（4）路名牌、指路牌、交通护栏等以及路灯杆、交通指示牌杆等2米以下部分的清洗保洁及雨水篦子的清掏；</w:t>
      </w:r>
    </w:p>
    <w:p w14:paraId="354D405F">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（5）环卫机械化作业所需清扫、洗扫、保洁、洒水、冲洗车辆的配置、更新、维护及日常管理；</w:t>
      </w:r>
    </w:p>
    <w:p w14:paraId="417CBFF7">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（6）村村通道路保洁包含道路路沿两侧可视范围的路面整洁。</w:t>
      </w:r>
    </w:p>
    <w:p w14:paraId="30DA5DB6">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4、作业要求</w:t>
      </w:r>
    </w:p>
    <w:p w14:paraId="6690AF3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①道路清扫保洁作业要求</w:t>
      </w:r>
    </w:p>
    <w:p w14:paraId="73DB125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（1）作业方式：“普扫+保洁+冲洗”相结合并以机械化为主、人工为辅的方式进行道路清扫保洁，其中冲洗作业根据旱季和雨季灵活调配冲洗频次。</w:t>
      </w:r>
    </w:p>
    <w:p w14:paraId="3CACBAD1">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（2）普扫时间及频次</w:t>
      </w:r>
    </w:p>
    <w:p w14:paraId="1AA6EAA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镇墟道路为机械清扫，镇墟范围内的绿化带、墙到墙、水沟为人工清扫。</w:t>
      </w:r>
    </w:p>
    <w:p w14:paraId="1D261A7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1）人工清扫</w:t>
      </w:r>
    </w:p>
    <w:p w14:paraId="369E8FC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道路内绿化带、墙到墙、水沟：5:00至8:00、15：00至18: 00，每天普扫一轮；</w:t>
      </w:r>
    </w:p>
    <w:p w14:paraId="4F7E36F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2）机械化清扫</w:t>
      </w:r>
    </w:p>
    <w:p w14:paraId="6691C42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镇墟部分（镇墟道路），每天不低于一次；</w:t>
      </w:r>
    </w:p>
    <w:p w14:paraId="2966FAF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村村通道路，每周一次：</w:t>
      </w:r>
    </w:p>
    <w:p w14:paraId="1D65F79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上午：夏季3:00-6:00，冬季4:00-7:00，下午14:30-17:30；</w:t>
      </w:r>
    </w:p>
    <w:p w14:paraId="64D11B9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（3）保洁时间</w:t>
      </w:r>
    </w:p>
    <w:p w14:paraId="619A842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镇墟部分（镇墟道路）：7:00-12:00；14：00-19:00，保洁时间不低于10小时，在此时间段内合理调整安排工作；</w:t>
      </w:r>
    </w:p>
    <w:p w14:paraId="546B0277">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（4）冲洗时间及频次</w:t>
      </w:r>
    </w:p>
    <w:p w14:paraId="439C3CE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冲洗时间：夏季3:00-6:00，冬季4:00-7:00，下午14:30-17:30；</w:t>
      </w:r>
    </w:p>
    <w:p w14:paraId="731B6D4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镇墟部分（镇墟道路）：每天冲洗不低于一次。</w:t>
      </w:r>
    </w:p>
    <w:p w14:paraId="565CF6C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（5）洒水时间及频次</w:t>
      </w:r>
    </w:p>
    <w:p w14:paraId="7C33C95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镇墟部分（镇墟道路）：每天洒水不低于一遍；洒水时间：3:00-6:00。</w:t>
      </w:r>
    </w:p>
    <w:p w14:paraId="634FC056">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（6）保洁作业人员和车辆要求</w:t>
      </w:r>
    </w:p>
    <w:p w14:paraId="4183752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1）保洁作业人员</w:t>
      </w:r>
    </w:p>
    <w:p w14:paraId="6D8EA717">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①保洁作业人员应安全作业，配备安全防护用品；</w:t>
      </w:r>
    </w:p>
    <w:p w14:paraId="721E62D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②保洁作业人员应统一工作服装，服装要色调明快、醒目，穿戴应整齐、干净；</w:t>
      </w:r>
    </w:p>
    <w:p w14:paraId="7636B73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③清扫作业时严格按规定使用清扫保洁工具和设备，清扫工具、设备存放在隐蔽位置，不得影响市容。</w:t>
      </w:r>
    </w:p>
    <w:p w14:paraId="755364AF">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2）保洁作业车辆</w:t>
      </w:r>
    </w:p>
    <w:p w14:paraId="5CFAD35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①保洁作业车辆应配挂安全标志牌；</w:t>
      </w:r>
    </w:p>
    <w:p w14:paraId="11687EF7">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②保洁作业车辆作业完毕，车箱内达到无残留垃圾杂物，干净整洁；</w:t>
      </w:r>
    </w:p>
    <w:p w14:paraId="0ACFECC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③保洁作业车辆应定期油饰和维修，保持完好无损。</w:t>
      </w:r>
    </w:p>
    <w:p w14:paraId="2566320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②道路清扫保洁质量要求</w:t>
      </w:r>
    </w:p>
    <w:p w14:paraId="75D7C2CB">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（1）总体要求</w:t>
      </w:r>
    </w:p>
    <w:p w14:paraId="7569BF0B">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主次街道、人行道、路面、边沟、树池、绿化带等整洁，路面见本色；道路两侧墙到墙之间应无积存垃圾、人畜粪便、砖头、石头、树叶、树枝和废弃物等；道路两侧墙到墙之间所有构筑物和构件2米以下范围内应无乱张贴和乱涂写等；路段上的砖头瓦块、垃圾堆、无主建筑垃圾、无主大件垃圾、滴洒漏污物等应及时组织清理。路沿石边及人行道、树池杂草应及时清理；垃圾要倒入指定收集地点，不准随意倾倒，禁止露天焚烧垃圾。辖区清扫保洁范围内与居委会、小区物业、单位等有交叉争议的地方（包括但不限于垃圾收集点、无主生活垃圾），由服务单位负责清扫保洁。</w:t>
      </w:r>
    </w:p>
    <w:p w14:paraId="5EDE503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②道路清扫保洁质量要求</w:t>
      </w:r>
    </w:p>
    <w:p w14:paraId="5B2A1601">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1）路面基本无漏收垃圾，不得往道路两侧倾倒或直扫，也不得扫入河道或下水道；</w:t>
      </w:r>
    </w:p>
    <w:p w14:paraId="1C1FEE37">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2）道路两旁至墙边或滴水处内（含道路两旁可视范围内）做到无生活垃圾、无主建筑垃圾、废弃物等，确保道路环境整洁。</w:t>
      </w:r>
    </w:p>
    <w:p w14:paraId="5834DFF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lang w:val="en-US" w:eastAsia="zh-CN"/>
        </w:rPr>
        <w:t>二</w:t>
      </w:r>
      <w:r>
        <w:rPr>
          <w:rFonts w:hint="eastAsia" w:asciiTheme="minorEastAsia" w:hAnsiTheme="minorEastAsia" w:eastAsiaTheme="minorEastAsia" w:cstheme="minorEastAsia"/>
          <w:color w:val="auto"/>
          <w:spacing w:val="-2"/>
          <w:sz w:val="24"/>
          <w:szCs w:val="24"/>
          <w:lang w:eastAsia="zh-CN"/>
        </w:rPr>
        <w:t>）、生活垃圾收集清运</w:t>
      </w:r>
    </w:p>
    <w:p w14:paraId="1144083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1、</w:t>
      </w:r>
      <w:r>
        <w:rPr>
          <w:rFonts w:hint="eastAsia" w:asciiTheme="minorEastAsia" w:hAnsiTheme="minorEastAsia" w:eastAsiaTheme="minorEastAsia" w:cstheme="minorEastAsia"/>
          <w:color w:val="auto"/>
          <w:spacing w:val="-2"/>
          <w:sz w:val="24"/>
          <w:szCs w:val="24"/>
          <w:lang w:eastAsia="zh-CN"/>
        </w:rPr>
        <w:t>作业范围</w:t>
      </w:r>
    </w:p>
    <w:p w14:paraId="4B39F44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将各镇辖区内（含镇墟及农村）的生活垃圾收集并全密闭运输。作业范围内生活垃圾清运量约240吨/日（以每日实际计量结果为准），运输至指定地点，最终以区环卫局指定结果为准。</w:t>
      </w:r>
    </w:p>
    <w:p w14:paraId="2B5373B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2、</w:t>
      </w:r>
      <w:r>
        <w:rPr>
          <w:rFonts w:hint="eastAsia" w:asciiTheme="minorEastAsia" w:hAnsiTheme="minorEastAsia" w:eastAsiaTheme="minorEastAsia" w:cstheme="minorEastAsia"/>
          <w:color w:val="auto"/>
          <w:spacing w:val="-2"/>
          <w:sz w:val="24"/>
          <w:szCs w:val="24"/>
          <w:lang w:eastAsia="zh-CN"/>
        </w:rPr>
        <w:t>作业内容</w:t>
      </w:r>
    </w:p>
    <w:p w14:paraId="48D3EB3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1、道路清扫作业和沿街垃圾收集容器清掏所产生生活垃圾的收集、清运；</w:t>
      </w:r>
    </w:p>
    <w:p w14:paraId="731831E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2、实施范围内产生生活垃圾的收集、清运；</w:t>
      </w:r>
    </w:p>
    <w:p w14:paraId="0FCAD0C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3、实施范围内无主生活垃圾的收集、清运；</w:t>
      </w:r>
    </w:p>
    <w:p w14:paraId="68B89B73">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4、实施范围配置生活垃圾桶配置、更新、维护及日常管理；</w:t>
      </w:r>
    </w:p>
    <w:p w14:paraId="22AB4E1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5、实施范围垃圾收运车辆的配置、更新、维护及日常管理。</w:t>
      </w:r>
    </w:p>
    <w:p w14:paraId="5761EFBF">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3、</w:t>
      </w:r>
      <w:r>
        <w:rPr>
          <w:rFonts w:hint="eastAsia" w:asciiTheme="minorEastAsia" w:hAnsiTheme="minorEastAsia" w:eastAsiaTheme="minorEastAsia" w:cstheme="minorEastAsia"/>
          <w:color w:val="auto"/>
          <w:spacing w:val="-2"/>
          <w:sz w:val="24"/>
          <w:szCs w:val="24"/>
          <w:lang w:eastAsia="zh-CN"/>
        </w:rPr>
        <w:t>作业要求</w:t>
      </w:r>
    </w:p>
    <w:p w14:paraId="73A657C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1、收集作业</w:t>
      </w:r>
    </w:p>
    <w:p w14:paraId="74F0D9E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（1）垃圾的收集工作，应做到定时定点、日产日清，不得堆积、滞留污染城市环境；</w:t>
      </w:r>
    </w:p>
    <w:p w14:paraId="2BDE73D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（2）垃圾收集车辆应定点定时，摆放整齐，方便居民投放。收集点及周围5m内应整洁，无散落、存留垃圾和污水；</w:t>
      </w:r>
    </w:p>
    <w:p w14:paraId="3CDAF74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（3）垃圾收集采取密闭方式，垃圾收集容器应无残缺、破损，封闭性好，外体干净，构筑物内外墙面不得有明显积尘、污迹；</w:t>
      </w:r>
    </w:p>
    <w:p w14:paraId="4A04128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（4）垃圾收集站（点）应定期喷洒消毒、灭蚊蝇药物等，在可视范围内，苍蝇应少于3只/次，并无活鼠等；</w:t>
      </w:r>
    </w:p>
    <w:p w14:paraId="5D3A52FF">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（5）垃圾收集容器应设置在单位红线内不影响观瞻的隐蔽位置；</w:t>
      </w:r>
    </w:p>
    <w:p w14:paraId="48FA05AF">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（6）居民的生活垃圾应每日清除，无堆积；单位的生活垃圾应按时清除，无积压，不腐烂发臭；废旧家具、家用电器等大件垃圾应按指定地点存放，定期清除。生活垃圾日清运率应达到100%；</w:t>
      </w:r>
    </w:p>
    <w:p w14:paraId="35068DA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（7）收集运输过程应无遗漏、无撒漏、无渗滤液滴漏，垃圾收集车向垃圾转运站运或终端处理场所送垃圾的过程应覆盖密闭，实行“垃圾不落地”作业，避免造成二次污染；</w:t>
      </w:r>
    </w:p>
    <w:p w14:paraId="1D6CDE1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（8）地面清扫的垃圾应及时分类收集和运输，不遗漏，不得堆放在路边；</w:t>
      </w:r>
    </w:p>
    <w:p w14:paraId="0749790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（9）辖区内无主生活垃圾应及时收集和运输。</w:t>
      </w:r>
    </w:p>
    <w:p w14:paraId="2EB81A4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2、运输作业</w:t>
      </w:r>
    </w:p>
    <w:p w14:paraId="4BFF3B0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（1）生活垃圾应采取密闭、专车方式进行运输，禁止敞开式运输垃圾；</w:t>
      </w:r>
    </w:p>
    <w:p w14:paraId="02CC9D0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（2）在垃圾运输过程中无垃圾扬、撒、拖挂和污水滴漏；</w:t>
      </w:r>
    </w:p>
    <w:p w14:paraId="6A4B7487">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1）垃圾压缩车应加装污水收集装置，在垃圾转运站装运垃圾时，应将污水箱的排污口打开，将污水排放干净，出站前再将排污水口关上，防止沿途洒漏。</w:t>
      </w:r>
    </w:p>
    <w:p w14:paraId="591B17AB">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2）在垃圾焚烧厂卸完垃圾后，应将污水箱的污水排放干净，并对车辆进行清洗。</w:t>
      </w:r>
    </w:p>
    <w:p w14:paraId="1459CFD8">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3）经常检查车辆密封构件，集装箱式垃圾车应定期更换密封条，确保完好，不洒漏污水。</w:t>
      </w:r>
    </w:p>
    <w:p w14:paraId="09DBB106">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（3）运输垃圾应尽量避开上下班高峰期，装卸垃圾符合作业要求，不得乱倒、乱卸、乱抛垃圾，在居民住宅附近的垃圾站装运垃圾时，应尽量避免扰民；</w:t>
      </w:r>
    </w:p>
    <w:p w14:paraId="4BBFB09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（4）垃圾运输车辆应车容整洁，车体外部无污物、灰垢。车况良好，车牌号码完整，车门喷印清晰的单位名称，车顶无乱焊铁架等现象；</w:t>
      </w:r>
    </w:p>
    <w:p w14:paraId="0B99DD4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（5）垃圾装运量应以车辆的额定荷载和有效容积为限，不得超重、超高运输；</w:t>
      </w:r>
    </w:p>
    <w:p w14:paraId="6409E46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（6）车辆安全管理达到“四有一无”，即：有安全管理组织，有健全的安全管理制度；有完善的安全检查制度；有定期的安全培训制度；无安全事故发生。</w:t>
      </w:r>
    </w:p>
    <w:p w14:paraId="3CD9487F">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（三）、公共厕所运维管理</w:t>
      </w:r>
    </w:p>
    <w:p w14:paraId="201BF0C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1、</w:t>
      </w:r>
      <w:r>
        <w:rPr>
          <w:rFonts w:hint="eastAsia" w:asciiTheme="minorEastAsia" w:hAnsiTheme="minorEastAsia" w:eastAsiaTheme="minorEastAsia" w:cstheme="minorEastAsia"/>
          <w:color w:val="auto"/>
          <w:spacing w:val="-2"/>
          <w:sz w:val="24"/>
          <w:szCs w:val="24"/>
          <w:lang w:eastAsia="zh-CN"/>
        </w:rPr>
        <w:t>作业范围</w:t>
      </w:r>
    </w:p>
    <w:p w14:paraId="5BBEA6C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公共厕所运维管理：镇墟14座，详见下表。</w:t>
      </w:r>
    </w:p>
    <w:p w14:paraId="60C8EBE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附表1-2公共厕所运营管理数量汇总表</w:t>
      </w:r>
    </w:p>
    <w:p w14:paraId="74E99A2D">
      <w:pPr>
        <w:pStyle w:val="20"/>
        <w:spacing w:line="360" w:lineRule="auto"/>
        <w:ind w:firstLine="0" w:firstLineChars="0"/>
        <w:jc w:val="center"/>
        <w:rPr>
          <w:rFonts w:hint="eastAsia" w:ascii="仿宋" w:hAnsi="仿宋" w:cs="仿宋"/>
          <w:b/>
          <w:bCs/>
          <w:sz w:val="28"/>
          <w:szCs w:val="28"/>
          <w:highlight w:val="none"/>
        </w:rPr>
      </w:pPr>
      <w:r>
        <w:rPr>
          <w:rFonts w:hint="eastAsia" w:ascii="仿宋" w:hAnsi="仿宋" w:cs="仿宋"/>
          <w:b/>
          <w:bCs/>
          <w:sz w:val="28"/>
          <w:szCs w:val="28"/>
          <w:highlight w:val="none"/>
        </w:rPr>
        <w:t>附表1</w:t>
      </w:r>
      <w:r>
        <w:rPr>
          <w:rFonts w:ascii="仿宋" w:hAnsi="仿宋" w:cs="仿宋"/>
          <w:b/>
          <w:bCs/>
          <w:sz w:val="28"/>
          <w:szCs w:val="28"/>
          <w:highlight w:val="none"/>
        </w:rPr>
        <w:t>-2</w:t>
      </w:r>
      <w:r>
        <w:rPr>
          <w:rFonts w:hint="eastAsia" w:ascii="仿宋" w:hAnsi="仿宋" w:cs="仿宋"/>
          <w:b/>
          <w:bCs/>
          <w:sz w:val="28"/>
          <w:szCs w:val="28"/>
          <w:highlight w:val="none"/>
        </w:rPr>
        <w:t>公共厕所运营管理数量汇总表</w:t>
      </w:r>
    </w:p>
    <w:p w14:paraId="74198870">
      <w:pPr>
        <w:pStyle w:val="20"/>
        <w:spacing w:line="360" w:lineRule="auto"/>
        <w:ind w:firstLine="0" w:firstLineChars="0"/>
        <w:jc w:val="right"/>
        <w:rPr>
          <w:rFonts w:hint="eastAsia" w:ascii="仿宋" w:hAnsi="仿宋" w:cs="仿宋"/>
          <w:b/>
          <w:bCs/>
          <w:szCs w:val="24"/>
          <w:highlight w:val="none"/>
        </w:rPr>
      </w:pPr>
      <w:r>
        <w:rPr>
          <w:rFonts w:hint="eastAsia" w:ascii="仿宋" w:hAnsi="仿宋" w:cs="仿宋"/>
          <w:b/>
          <w:bCs/>
          <w:szCs w:val="24"/>
          <w:highlight w:val="none"/>
        </w:rPr>
        <w:t>单位：座</w:t>
      </w:r>
    </w:p>
    <w:tbl>
      <w:tblPr>
        <w:tblStyle w:val="10"/>
        <w:tblW w:w="8528" w:type="dxa"/>
        <w:tblInd w:w="0" w:type="dxa"/>
        <w:tblLayout w:type="fixed"/>
        <w:tblCellMar>
          <w:top w:w="0" w:type="dxa"/>
          <w:left w:w="108" w:type="dxa"/>
          <w:bottom w:w="0" w:type="dxa"/>
          <w:right w:w="108" w:type="dxa"/>
        </w:tblCellMar>
      </w:tblPr>
      <w:tblGrid>
        <w:gridCol w:w="659"/>
        <w:gridCol w:w="1207"/>
        <w:gridCol w:w="2058"/>
        <w:gridCol w:w="1896"/>
        <w:gridCol w:w="2708"/>
      </w:tblGrid>
      <w:tr w14:paraId="066182B1">
        <w:tblPrEx>
          <w:tblCellMar>
            <w:top w:w="0" w:type="dxa"/>
            <w:left w:w="108" w:type="dxa"/>
            <w:bottom w:w="0" w:type="dxa"/>
            <w:right w:w="108" w:type="dxa"/>
          </w:tblCellMar>
        </w:tblPrEx>
        <w:trPr>
          <w:trHeight w:val="567" w:hRule="atLeast"/>
          <w:tblHeader/>
        </w:trPr>
        <w:tc>
          <w:tcPr>
            <w:tcW w:w="659" w:type="dxa"/>
            <w:tcBorders>
              <w:top w:val="single" w:color="auto" w:sz="4" w:space="0"/>
              <w:left w:val="single" w:color="auto" w:sz="4" w:space="0"/>
              <w:bottom w:val="single" w:color="auto" w:sz="4" w:space="0"/>
              <w:right w:val="single" w:color="auto" w:sz="4" w:space="0"/>
            </w:tcBorders>
            <w:shd w:val="clear" w:color="auto" w:fill="auto"/>
            <w:vAlign w:val="center"/>
          </w:tcPr>
          <w:p w14:paraId="487F52EC">
            <w:pPr>
              <w:widowControl/>
              <w:jc w:val="center"/>
              <w:rPr>
                <w:rFonts w:hint="eastAsia" w:ascii="仿宋" w:hAnsi="仿宋" w:eastAsia="仿宋" w:cs="宋体"/>
                <w:b/>
                <w:bCs/>
                <w:kern w:val="0"/>
                <w:sz w:val="24"/>
                <w:szCs w:val="24"/>
                <w:highlight w:val="none"/>
              </w:rPr>
            </w:pPr>
            <w:r>
              <w:rPr>
                <w:rFonts w:hint="eastAsia" w:ascii="仿宋" w:hAnsi="仿宋" w:eastAsia="仿宋" w:cs="宋体"/>
                <w:b/>
                <w:bCs/>
                <w:kern w:val="0"/>
                <w:sz w:val="24"/>
                <w:szCs w:val="24"/>
                <w:highlight w:val="none"/>
              </w:rPr>
              <w:t>序号</w:t>
            </w:r>
          </w:p>
        </w:tc>
        <w:tc>
          <w:tcPr>
            <w:tcW w:w="1207" w:type="dxa"/>
            <w:tcBorders>
              <w:top w:val="single" w:color="auto" w:sz="4" w:space="0"/>
              <w:left w:val="nil"/>
              <w:bottom w:val="single" w:color="auto" w:sz="4" w:space="0"/>
              <w:right w:val="single" w:color="auto" w:sz="4" w:space="0"/>
            </w:tcBorders>
            <w:shd w:val="clear" w:color="auto" w:fill="auto"/>
            <w:vAlign w:val="center"/>
          </w:tcPr>
          <w:p w14:paraId="2CB63799">
            <w:pPr>
              <w:widowControl/>
              <w:jc w:val="center"/>
              <w:rPr>
                <w:rFonts w:hint="eastAsia" w:ascii="仿宋" w:hAnsi="仿宋" w:eastAsia="仿宋" w:cs="宋体"/>
                <w:b/>
                <w:bCs/>
                <w:kern w:val="0"/>
                <w:sz w:val="24"/>
                <w:szCs w:val="24"/>
                <w:highlight w:val="none"/>
              </w:rPr>
            </w:pPr>
            <w:r>
              <w:rPr>
                <w:rFonts w:hint="eastAsia" w:ascii="仿宋" w:hAnsi="仿宋" w:eastAsia="仿宋" w:cs="宋体"/>
                <w:b/>
                <w:bCs/>
                <w:kern w:val="0"/>
                <w:sz w:val="24"/>
                <w:szCs w:val="24"/>
                <w:highlight w:val="none"/>
              </w:rPr>
              <w:t>镇</w:t>
            </w:r>
          </w:p>
        </w:tc>
        <w:tc>
          <w:tcPr>
            <w:tcW w:w="2058" w:type="dxa"/>
            <w:tcBorders>
              <w:top w:val="single" w:color="auto" w:sz="4" w:space="0"/>
              <w:left w:val="nil"/>
              <w:bottom w:val="single" w:color="auto" w:sz="4" w:space="0"/>
              <w:right w:val="single" w:color="auto" w:sz="4" w:space="0"/>
            </w:tcBorders>
            <w:shd w:val="clear" w:color="auto" w:fill="auto"/>
            <w:vAlign w:val="center"/>
          </w:tcPr>
          <w:p w14:paraId="4A028D86">
            <w:pPr>
              <w:widowControl/>
              <w:jc w:val="center"/>
              <w:rPr>
                <w:rFonts w:hint="eastAsia" w:ascii="仿宋" w:hAnsi="仿宋" w:eastAsia="仿宋" w:cs="宋体"/>
                <w:b/>
                <w:bCs/>
                <w:kern w:val="0"/>
                <w:sz w:val="24"/>
                <w:szCs w:val="24"/>
                <w:highlight w:val="none"/>
              </w:rPr>
            </w:pPr>
            <w:r>
              <w:rPr>
                <w:rFonts w:hint="eastAsia" w:ascii="仿宋" w:hAnsi="仿宋" w:eastAsia="仿宋" w:cs="宋体"/>
                <w:b/>
                <w:bCs/>
                <w:kern w:val="0"/>
                <w:sz w:val="24"/>
                <w:szCs w:val="24"/>
                <w:highlight w:val="none"/>
              </w:rPr>
              <w:t>公厕名称</w:t>
            </w:r>
          </w:p>
        </w:tc>
        <w:tc>
          <w:tcPr>
            <w:tcW w:w="1896" w:type="dxa"/>
            <w:tcBorders>
              <w:top w:val="single" w:color="auto" w:sz="4" w:space="0"/>
              <w:left w:val="nil"/>
              <w:bottom w:val="single" w:color="auto" w:sz="4" w:space="0"/>
              <w:right w:val="single" w:color="auto" w:sz="4" w:space="0"/>
            </w:tcBorders>
            <w:shd w:val="clear" w:color="auto" w:fill="auto"/>
            <w:vAlign w:val="center"/>
          </w:tcPr>
          <w:p w14:paraId="4CD0FBB4">
            <w:pPr>
              <w:widowControl/>
              <w:jc w:val="center"/>
              <w:rPr>
                <w:rFonts w:hint="eastAsia" w:ascii="仿宋" w:hAnsi="仿宋" w:eastAsia="仿宋" w:cs="宋体"/>
                <w:b/>
                <w:bCs/>
                <w:kern w:val="0"/>
                <w:sz w:val="24"/>
                <w:szCs w:val="24"/>
                <w:highlight w:val="none"/>
              </w:rPr>
            </w:pPr>
            <w:r>
              <w:rPr>
                <w:rFonts w:hint="eastAsia" w:ascii="仿宋" w:hAnsi="仿宋" w:eastAsia="仿宋" w:cs="宋体"/>
                <w:b/>
                <w:bCs/>
                <w:kern w:val="0"/>
                <w:sz w:val="24"/>
                <w:szCs w:val="24"/>
                <w:highlight w:val="none"/>
              </w:rPr>
              <w:t>行政村</w:t>
            </w:r>
          </w:p>
        </w:tc>
        <w:tc>
          <w:tcPr>
            <w:tcW w:w="2708" w:type="dxa"/>
            <w:tcBorders>
              <w:top w:val="single" w:color="auto" w:sz="4" w:space="0"/>
              <w:left w:val="nil"/>
              <w:bottom w:val="single" w:color="auto" w:sz="4" w:space="0"/>
              <w:right w:val="single" w:color="auto" w:sz="4" w:space="0"/>
            </w:tcBorders>
            <w:shd w:val="clear" w:color="auto" w:fill="auto"/>
            <w:vAlign w:val="center"/>
          </w:tcPr>
          <w:p w14:paraId="79193430">
            <w:pPr>
              <w:widowControl/>
              <w:jc w:val="center"/>
              <w:rPr>
                <w:rFonts w:hint="eastAsia" w:ascii="仿宋" w:hAnsi="仿宋" w:eastAsia="仿宋" w:cs="宋体"/>
                <w:b/>
                <w:bCs/>
                <w:kern w:val="0"/>
                <w:sz w:val="24"/>
                <w:szCs w:val="24"/>
                <w:highlight w:val="none"/>
              </w:rPr>
            </w:pPr>
            <w:r>
              <w:rPr>
                <w:rFonts w:hint="eastAsia" w:ascii="仿宋" w:hAnsi="仿宋" w:eastAsia="仿宋" w:cs="宋体"/>
                <w:b/>
                <w:bCs/>
                <w:kern w:val="0"/>
                <w:sz w:val="24"/>
                <w:szCs w:val="24"/>
                <w:highlight w:val="none"/>
              </w:rPr>
              <w:t>建设地点</w:t>
            </w:r>
          </w:p>
        </w:tc>
      </w:tr>
      <w:tr w14:paraId="542DBC04">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65C74643">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1</w:t>
            </w:r>
          </w:p>
        </w:tc>
        <w:tc>
          <w:tcPr>
            <w:tcW w:w="1207" w:type="dxa"/>
            <w:vMerge w:val="restart"/>
            <w:tcBorders>
              <w:top w:val="nil"/>
              <w:left w:val="single" w:color="auto" w:sz="4" w:space="0"/>
              <w:bottom w:val="single" w:color="auto" w:sz="4" w:space="0"/>
              <w:right w:val="single" w:color="auto" w:sz="4" w:space="0"/>
            </w:tcBorders>
            <w:shd w:val="clear" w:color="auto" w:fill="auto"/>
            <w:noWrap/>
            <w:vAlign w:val="center"/>
          </w:tcPr>
          <w:p w14:paraId="0CCC622C">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灵山镇</w:t>
            </w:r>
          </w:p>
        </w:tc>
        <w:tc>
          <w:tcPr>
            <w:tcW w:w="2058" w:type="dxa"/>
            <w:tcBorders>
              <w:top w:val="nil"/>
              <w:left w:val="nil"/>
              <w:bottom w:val="single" w:color="auto" w:sz="4" w:space="0"/>
              <w:right w:val="single" w:color="auto" w:sz="4" w:space="0"/>
            </w:tcBorders>
            <w:shd w:val="clear" w:color="auto" w:fill="auto"/>
            <w:noWrap/>
            <w:vAlign w:val="center"/>
          </w:tcPr>
          <w:p w14:paraId="115C775D">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爱群公厕</w:t>
            </w:r>
          </w:p>
        </w:tc>
        <w:tc>
          <w:tcPr>
            <w:tcW w:w="1896" w:type="dxa"/>
            <w:tcBorders>
              <w:top w:val="nil"/>
              <w:left w:val="nil"/>
              <w:bottom w:val="single" w:color="auto" w:sz="4" w:space="0"/>
              <w:right w:val="single" w:color="auto" w:sz="4" w:space="0"/>
            </w:tcBorders>
            <w:shd w:val="clear" w:color="auto" w:fill="auto"/>
            <w:noWrap/>
            <w:vAlign w:val="center"/>
          </w:tcPr>
          <w:p w14:paraId="2C036708">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爱群村委会</w:t>
            </w:r>
          </w:p>
        </w:tc>
        <w:tc>
          <w:tcPr>
            <w:tcW w:w="2708" w:type="dxa"/>
            <w:tcBorders>
              <w:top w:val="nil"/>
              <w:left w:val="nil"/>
              <w:bottom w:val="single" w:color="auto" w:sz="4" w:space="0"/>
              <w:right w:val="single" w:color="auto" w:sz="4" w:space="0"/>
            </w:tcBorders>
            <w:shd w:val="clear" w:color="auto" w:fill="auto"/>
            <w:vAlign w:val="center"/>
          </w:tcPr>
          <w:p w14:paraId="71E9DA23">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长发村</w:t>
            </w:r>
          </w:p>
        </w:tc>
      </w:tr>
      <w:tr w14:paraId="0CEF6339">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41042E7C">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2</w:t>
            </w:r>
          </w:p>
        </w:tc>
        <w:tc>
          <w:tcPr>
            <w:tcW w:w="1207" w:type="dxa"/>
            <w:vMerge w:val="continue"/>
            <w:tcBorders>
              <w:top w:val="nil"/>
              <w:left w:val="single" w:color="auto" w:sz="4" w:space="0"/>
              <w:bottom w:val="single" w:color="auto" w:sz="4" w:space="0"/>
              <w:right w:val="single" w:color="auto" w:sz="4" w:space="0"/>
            </w:tcBorders>
            <w:vAlign w:val="center"/>
          </w:tcPr>
          <w:p w14:paraId="70FC2FB6">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noWrap/>
            <w:vAlign w:val="center"/>
          </w:tcPr>
          <w:p w14:paraId="7EF399AF">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东村公厕</w:t>
            </w:r>
          </w:p>
        </w:tc>
        <w:tc>
          <w:tcPr>
            <w:tcW w:w="1896" w:type="dxa"/>
            <w:tcBorders>
              <w:top w:val="nil"/>
              <w:left w:val="nil"/>
              <w:bottom w:val="single" w:color="auto" w:sz="4" w:space="0"/>
              <w:right w:val="single" w:color="auto" w:sz="4" w:space="0"/>
            </w:tcBorders>
            <w:shd w:val="clear" w:color="auto" w:fill="auto"/>
            <w:noWrap/>
            <w:vAlign w:val="center"/>
          </w:tcPr>
          <w:p w14:paraId="3791A2BB">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东和村委会</w:t>
            </w:r>
          </w:p>
        </w:tc>
        <w:tc>
          <w:tcPr>
            <w:tcW w:w="2708" w:type="dxa"/>
            <w:tcBorders>
              <w:top w:val="nil"/>
              <w:left w:val="nil"/>
              <w:bottom w:val="single" w:color="auto" w:sz="4" w:space="0"/>
              <w:right w:val="single" w:color="auto" w:sz="4" w:space="0"/>
            </w:tcBorders>
            <w:shd w:val="clear" w:color="auto" w:fill="auto"/>
            <w:vAlign w:val="center"/>
          </w:tcPr>
          <w:p w14:paraId="18FFAFB6">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东村东和市场旁</w:t>
            </w:r>
          </w:p>
        </w:tc>
      </w:tr>
      <w:tr w14:paraId="41C4DBCA">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379917E2">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3</w:t>
            </w:r>
          </w:p>
        </w:tc>
        <w:tc>
          <w:tcPr>
            <w:tcW w:w="1207" w:type="dxa"/>
            <w:tcBorders>
              <w:top w:val="nil"/>
              <w:left w:val="nil"/>
              <w:bottom w:val="single" w:color="auto" w:sz="4" w:space="0"/>
              <w:right w:val="single" w:color="auto" w:sz="4" w:space="0"/>
            </w:tcBorders>
            <w:shd w:val="clear" w:color="auto" w:fill="auto"/>
            <w:noWrap/>
            <w:vAlign w:val="center"/>
          </w:tcPr>
          <w:p w14:paraId="40B65355">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演丰镇</w:t>
            </w:r>
          </w:p>
        </w:tc>
        <w:tc>
          <w:tcPr>
            <w:tcW w:w="2058" w:type="dxa"/>
            <w:tcBorders>
              <w:top w:val="nil"/>
              <w:left w:val="nil"/>
              <w:bottom w:val="single" w:color="auto" w:sz="4" w:space="0"/>
              <w:right w:val="single" w:color="auto" w:sz="4" w:space="0"/>
            </w:tcBorders>
            <w:shd w:val="clear" w:color="auto" w:fill="auto"/>
            <w:noWrap/>
            <w:vAlign w:val="center"/>
          </w:tcPr>
          <w:p w14:paraId="7AD039BA">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演丰墟公厕</w:t>
            </w:r>
          </w:p>
        </w:tc>
        <w:tc>
          <w:tcPr>
            <w:tcW w:w="1896" w:type="dxa"/>
            <w:tcBorders>
              <w:top w:val="nil"/>
              <w:left w:val="nil"/>
              <w:bottom w:val="single" w:color="auto" w:sz="4" w:space="0"/>
              <w:right w:val="single" w:color="auto" w:sz="4" w:space="0"/>
            </w:tcBorders>
            <w:shd w:val="clear" w:color="auto" w:fill="auto"/>
            <w:noWrap/>
            <w:vAlign w:val="center"/>
          </w:tcPr>
          <w:p w14:paraId="0209A5A4">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镇墟</w:t>
            </w:r>
          </w:p>
        </w:tc>
        <w:tc>
          <w:tcPr>
            <w:tcW w:w="2708" w:type="dxa"/>
            <w:tcBorders>
              <w:top w:val="nil"/>
              <w:left w:val="nil"/>
              <w:bottom w:val="single" w:color="auto" w:sz="4" w:space="0"/>
              <w:right w:val="single" w:color="auto" w:sz="4" w:space="0"/>
            </w:tcBorders>
            <w:shd w:val="clear" w:color="auto" w:fill="auto"/>
            <w:vAlign w:val="center"/>
          </w:tcPr>
          <w:p w14:paraId="45E6045C">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演丰镇政府广场</w:t>
            </w:r>
          </w:p>
        </w:tc>
      </w:tr>
      <w:tr w14:paraId="3850F48A">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469CCAAA">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4</w:t>
            </w:r>
          </w:p>
        </w:tc>
        <w:tc>
          <w:tcPr>
            <w:tcW w:w="1207" w:type="dxa"/>
            <w:tcBorders>
              <w:top w:val="nil"/>
              <w:left w:val="nil"/>
              <w:bottom w:val="single" w:color="auto" w:sz="4" w:space="0"/>
              <w:right w:val="single" w:color="auto" w:sz="4" w:space="0"/>
            </w:tcBorders>
            <w:shd w:val="clear" w:color="auto" w:fill="auto"/>
            <w:noWrap/>
            <w:vAlign w:val="center"/>
          </w:tcPr>
          <w:p w14:paraId="5638CC9E">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三江镇</w:t>
            </w:r>
          </w:p>
        </w:tc>
        <w:tc>
          <w:tcPr>
            <w:tcW w:w="2058" w:type="dxa"/>
            <w:tcBorders>
              <w:top w:val="nil"/>
              <w:left w:val="nil"/>
              <w:bottom w:val="single" w:color="auto" w:sz="4" w:space="0"/>
              <w:right w:val="single" w:color="auto" w:sz="4" w:space="0"/>
            </w:tcBorders>
            <w:shd w:val="clear" w:color="auto" w:fill="auto"/>
            <w:noWrap/>
            <w:vAlign w:val="center"/>
          </w:tcPr>
          <w:p w14:paraId="3C20EAF0">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旅游公厕</w:t>
            </w:r>
          </w:p>
        </w:tc>
        <w:tc>
          <w:tcPr>
            <w:tcW w:w="1896" w:type="dxa"/>
            <w:tcBorders>
              <w:top w:val="nil"/>
              <w:left w:val="nil"/>
              <w:bottom w:val="single" w:color="auto" w:sz="4" w:space="0"/>
              <w:right w:val="single" w:color="auto" w:sz="4" w:space="0"/>
            </w:tcBorders>
            <w:shd w:val="clear" w:color="auto" w:fill="auto"/>
            <w:noWrap/>
            <w:vAlign w:val="center"/>
          </w:tcPr>
          <w:p w14:paraId="7D96EFDA">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三江镇墟</w:t>
            </w:r>
          </w:p>
        </w:tc>
        <w:tc>
          <w:tcPr>
            <w:tcW w:w="2708" w:type="dxa"/>
            <w:tcBorders>
              <w:top w:val="nil"/>
              <w:left w:val="nil"/>
              <w:bottom w:val="single" w:color="auto" w:sz="4" w:space="0"/>
              <w:right w:val="single" w:color="auto" w:sz="4" w:space="0"/>
            </w:tcBorders>
            <w:shd w:val="clear" w:color="auto" w:fill="auto"/>
            <w:vAlign w:val="center"/>
          </w:tcPr>
          <w:p w14:paraId="1F53374B">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三江镇琼文街三巷</w:t>
            </w:r>
          </w:p>
        </w:tc>
      </w:tr>
      <w:tr w14:paraId="68A57E3E">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0862389A">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5</w:t>
            </w:r>
          </w:p>
        </w:tc>
        <w:tc>
          <w:tcPr>
            <w:tcW w:w="1207" w:type="dxa"/>
            <w:vMerge w:val="restart"/>
            <w:tcBorders>
              <w:top w:val="nil"/>
              <w:left w:val="single" w:color="auto" w:sz="4" w:space="0"/>
              <w:bottom w:val="single" w:color="auto" w:sz="4" w:space="0"/>
              <w:right w:val="single" w:color="auto" w:sz="4" w:space="0"/>
            </w:tcBorders>
            <w:shd w:val="clear" w:color="auto" w:fill="auto"/>
            <w:noWrap/>
            <w:vAlign w:val="center"/>
          </w:tcPr>
          <w:p w14:paraId="3E1F33AA">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大致坡镇</w:t>
            </w:r>
          </w:p>
        </w:tc>
        <w:tc>
          <w:tcPr>
            <w:tcW w:w="2058" w:type="dxa"/>
            <w:tcBorders>
              <w:top w:val="nil"/>
              <w:left w:val="nil"/>
              <w:bottom w:val="single" w:color="auto" w:sz="4" w:space="0"/>
              <w:right w:val="single" w:color="auto" w:sz="4" w:space="0"/>
            </w:tcBorders>
            <w:shd w:val="clear" w:color="auto" w:fill="auto"/>
            <w:vAlign w:val="center"/>
          </w:tcPr>
          <w:p w14:paraId="3BDE25D5">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琼剧广场公厕</w:t>
            </w:r>
          </w:p>
        </w:tc>
        <w:tc>
          <w:tcPr>
            <w:tcW w:w="1896" w:type="dxa"/>
            <w:tcBorders>
              <w:top w:val="nil"/>
              <w:left w:val="nil"/>
              <w:bottom w:val="single" w:color="auto" w:sz="4" w:space="0"/>
              <w:right w:val="single" w:color="auto" w:sz="4" w:space="0"/>
            </w:tcBorders>
            <w:shd w:val="clear" w:color="auto" w:fill="auto"/>
            <w:noWrap/>
            <w:vAlign w:val="center"/>
          </w:tcPr>
          <w:p w14:paraId="214D52DD">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大致坡镇墟</w:t>
            </w:r>
          </w:p>
        </w:tc>
        <w:tc>
          <w:tcPr>
            <w:tcW w:w="2708" w:type="dxa"/>
            <w:tcBorders>
              <w:top w:val="nil"/>
              <w:left w:val="nil"/>
              <w:bottom w:val="single" w:color="auto" w:sz="4" w:space="0"/>
              <w:right w:val="single" w:color="auto" w:sz="4" w:space="0"/>
            </w:tcBorders>
            <w:shd w:val="clear" w:color="auto" w:fill="auto"/>
            <w:vAlign w:val="center"/>
          </w:tcPr>
          <w:p w14:paraId="63D41FD7">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大致坡镇琼剧广场内</w:t>
            </w:r>
          </w:p>
        </w:tc>
      </w:tr>
      <w:tr w14:paraId="0B4C8E74">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0FC5D71E">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6</w:t>
            </w:r>
          </w:p>
        </w:tc>
        <w:tc>
          <w:tcPr>
            <w:tcW w:w="1207" w:type="dxa"/>
            <w:vMerge w:val="continue"/>
            <w:tcBorders>
              <w:top w:val="nil"/>
              <w:left w:val="single" w:color="auto" w:sz="4" w:space="0"/>
              <w:bottom w:val="single" w:color="auto" w:sz="4" w:space="0"/>
              <w:right w:val="single" w:color="auto" w:sz="4" w:space="0"/>
            </w:tcBorders>
            <w:vAlign w:val="center"/>
          </w:tcPr>
          <w:p w14:paraId="685A653F">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6ED0E8A0">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美篆村公厕</w:t>
            </w:r>
          </w:p>
        </w:tc>
        <w:tc>
          <w:tcPr>
            <w:tcW w:w="1896" w:type="dxa"/>
            <w:tcBorders>
              <w:top w:val="nil"/>
              <w:left w:val="nil"/>
              <w:bottom w:val="single" w:color="auto" w:sz="4" w:space="0"/>
              <w:right w:val="single" w:color="auto" w:sz="4" w:space="0"/>
            </w:tcBorders>
            <w:shd w:val="clear" w:color="auto" w:fill="auto"/>
            <w:vAlign w:val="center"/>
          </w:tcPr>
          <w:p w14:paraId="0211F63D">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昌福村委会</w:t>
            </w:r>
          </w:p>
        </w:tc>
        <w:tc>
          <w:tcPr>
            <w:tcW w:w="2708" w:type="dxa"/>
            <w:tcBorders>
              <w:top w:val="nil"/>
              <w:left w:val="nil"/>
              <w:bottom w:val="single" w:color="auto" w:sz="4" w:space="0"/>
              <w:right w:val="single" w:color="auto" w:sz="4" w:space="0"/>
            </w:tcBorders>
            <w:shd w:val="clear" w:color="auto" w:fill="auto"/>
            <w:vAlign w:val="center"/>
          </w:tcPr>
          <w:p w14:paraId="20DCC609">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昌福村委会美篆村</w:t>
            </w:r>
          </w:p>
        </w:tc>
      </w:tr>
      <w:tr w14:paraId="140AC7C3">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672D9E16">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7</w:t>
            </w:r>
          </w:p>
        </w:tc>
        <w:tc>
          <w:tcPr>
            <w:tcW w:w="1207" w:type="dxa"/>
            <w:vMerge w:val="continue"/>
            <w:tcBorders>
              <w:top w:val="nil"/>
              <w:left w:val="single" w:color="auto" w:sz="4" w:space="0"/>
              <w:bottom w:val="single" w:color="auto" w:sz="4" w:space="0"/>
              <w:right w:val="single" w:color="auto" w:sz="4" w:space="0"/>
            </w:tcBorders>
            <w:vAlign w:val="center"/>
          </w:tcPr>
          <w:p w14:paraId="64F8DE3A">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313CF74C">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咸来墟公厕</w:t>
            </w:r>
          </w:p>
        </w:tc>
        <w:tc>
          <w:tcPr>
            <w:tcW w:w="1896" w:type="dxa"/>
            <w:tcBorders>
              <w:top w:val="nil"/>
              <w:left w:val="nil"/>
              <w:bottom w:val="single" w:color="auto" w:sz="4" w:space="0"/>
              <w:right w:val="single" w:color="auto" w:sz="4" w:space="0"/>
            </w:tcBorders>
            <w:shd w:val="clear" w:color="auto" w:fill="auto"/>
            <w:noWrap/>
            <w:vAlign w:val="center"/>
          </w:tcPr>
          <w:p w14:paraId="1B4BAB62">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大致坡镇咸来墟</w:t>
            </w:r>
          </w:p>
        </w:tc>
        <w:tc>
          <w:tcPr>
            <w:tcW w:w="2708" w:type="dxa"/>
            <w:tcBorders>
              <w:top w:val="nil"/>
              <w:left w:val="nil"/>
              <w:bottom w:val="single" w:color="auto" w:sz="4" w:space="0"/>
              <w:right w:val="single" w:color="auto" w:sz="4" w:space="0"/>
            </w:tcBorders>
            <w:shd w:val="clear" w:color="auto" w:fill="auto"/>
            <w:vAlign w:val="center"/>
          </w:tcPr>
          <w:p w14:paraId="5B4204F2">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咸来墟原咸来工商所旁</w:t>
            </w:r>
          </w:p>
        </w:tc>
      </w:tr>
      <w:tr w14:paraId="7BF62A85">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10F59456">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8</w:t>
            </w:r>
          </w:p>
        </w:tc>
        <w:tc>
          <w:tcPr>
            <w:tcW w:w="1207" w:type="dxa"/>
            <w:vMerge w:val="continue"/>
            <w:tcBorders>
              <w:top w:val="nil"/>
              <w:left w:val="single" w:color="auto" w:sz="4" w:space="0"/>
              <w:bottom w:val="single" w:color="auto" w:sz="4" w:space="0"/>
              <w:right w:val="single" w:color="auto" w:sz="4" w:space="0"/>
            </w:tcBorders>
            <w:vAlign w:val="center"/>
          </w:tcPr>
          <w:p w14:paraId="18272E11">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14D81D8F">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昌福公厕</w:t>
            </w:r>
          </w:p>
        </w:tc>
        <w:tc>
          <w:tcPr>
            <w:tcW w:w="1896" w:type="dxa"/>
            <w:tcBorders>
              <w:top w:val="nil"/>
              <w:left w:val="nil"/>
              <w:bottom w:val="single" w:color="auto" w:sz="4" w:space="0"/>
              <w:right w:val="single" w:color="auto" w:sz="4" w:space="0"/>
            </w:tcBorders>
            <w:shd w:val="clear" w:color="auto" w:fill="auto"/>
            <w:vAlign w:val="center"/>
          </w:tcPr>
          <w:p w14:paraId="38F618F6">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昌福村委会</w:t>
            </w:r>
          </w:p>
        </w:tc>
        <w:tc>
          <w:tcPr>
            <w:tcW w:w="2708" w:type="dxa"/>
            <w:tcBorders>
              <w:top w:val="nil"/>
              <w:left w:val="nil"/>
              <w:bottom w:val="single" w:color="auto" w:sz="4" w:space="0"/>
              <w:right w:val="single" w:color="auto" w:sz="4" w:space="0"/>
            </w:tcBorders>
            <w:shd w:val="clear" w:color="auto" w:fill="auto"/>
            <w:vAlign w:val="center"/>
          </w:tcPr>
          <w:p w14:paraId="38320F53">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昌福村委会小学路口旁</w:t>
            </w:r>
          </w:p>
        </w:tc>
      </w:tr>
      <w:tr w14:paraId="79C211FD">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153B0CFA">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9</w:t>
            </w:r>
          </w:p>
        </w:tc>
        <w:tc>
          <w:tcPr>
            <w:tcW w:w="1207" w:type="dxa"/>
            <w:vMerge w:val="continue"/>
            <w:tcBorders>
              <w:top w:val="nil"/>
              <w:left w:val="single" w:color="auto" w:sz="4" w:space="0"/>
              <w:bottom w:val="single" w:color="auto" w:sz="4" w:space="0"/>
              <w:right w:val="single" w:color="auto" w:sz="4" w:space="0"/>
            </w:tcBorders>
            <w:vAlign w:val="center"/>
          </w:tcPr>
          <w:p w14:paraId="408FAA8D">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186BB9BF">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金堆公厕</w:t>
            </w:r>
          </w:p>
        </w:tc>
        <w:tc>
          <w:tcPr>
            <w:tcW w:w="1896" w:type="dxa"/>
            <w:tcBorders>
              <w:top w:val="nil"/>
              <w:left w:val="nil"/>
              <w:bottom w:val="single" w:color="auto" w:sz="4" w:space="0"/>
              <w:right w:val="single" w:color="auto" w:sz="4" w:space="0"/>
            </w:tcBorders>
            <w:shd w:val="clear" w:color="auto" w:fill="auto"/>
            <w:vAlign w:val="center"/>
          </w:tcPr>
          <w:p w14:paraId="475C5EF7">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金堆村委会</w:t>
            </w:r>
          </w:p>
        </w:tc>
        <w:tc>
          <w:tcPr>
            <w:tcW w:w="2708" w:type="dxa"/>
            <w:tcBorders>
              <w:top w:val="nil"/>
              <w:left w:val="nil"/>
              <w:bottom w:val="single" w:color="auto" w:sz="4" w:space="0"/>
              <w:right w:val="single" w:color="auto" w:sz="4" w:space="0"/>
            </w:tcBorders>
            <w:shd w:val="clear" w:color="auto" w:fill="auto"/>
            <w:vAlign w:val="center"/>
          </w:tcPr>
          <w:p w14:paraId="3E8597CF">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金堆村委会医疗室旁</w:t>
            </w:r>
          </w:p>
        </w:tc>
      </w:tr>
      <w:tr w14:paraId="3DF16051">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7F594A00">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10</w:t>
            </w:r>
          </w:p>
        </w:tc>
        <w:tc>
          <w:tcPr>
            <w:tcW w:w="1207" w:type="dxa"/>
            <w:vMerge w:val="continue"/>
            <w:tcBorders>
              <w:top w:val="nil"/>
              <w:left w:val="single" w:color="auto" w:sz="4" w:space="0"/>
              <w:bottom w:val="single" w:color="auto" w:sz="4" w:space="0"/>
              <w:right w:val="single" w:color="auto" w:sz="4" w:space="0"/>
            </w:tcBorders>
            <w:vAlign w:val="center"/>
          </w:tcPr>
          <w:p w14:paraId="1714154F">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61192CC3">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福㟍村公厕</w:t>
            </w:r>
          </w:p>
        </w:tc>
        <w:tc>
          <w:tcPr>
            <w:tcW w:w="1896" w:type="dxa"/>
            <w:tcBorders>
              <w:top w:val="nil"/>
              <w:left w:val="nil"/>
              <w:bottom w:val="single" w:color="auto" w:sz="4" w:space="0"/>
              <w:right w:val="single" w:color="auto" w:sz="4" w:space="0"/>
            </w:tcBorders>
            <w:shd w:val="clear" w:color="auto" w:fill="auto"/>
            <w:vAlign w:val="center"/>
          </w:tcPr>
          <w:p w14:paraId="573C8E26">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大东村委会</w:t>
            </w:r>
          </w:p>
        </w:tc>
        <w:tc>
          <w:tcPr>
            <w:tcW w:w="2708" w:type="dxa"/>
            <w:tcBorders>
              <w:top w:val="nil"/>
              <w:left w:val="nil"/>
              <w:bottom w:val="single" w:color="auto" w:sz="4" w:space="0"/>
              <w:right w:val="single" w:color="auto" w:sz="4" w:space="0"/>
            </w:tcBorders>
            <w:shd w:val="clear" w:color="auto" w:fill="auto"/>
            <w:vAlign w:val="center"/>
          </w:tcPr>
          <w:p w14:paraId="6CB2A061">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大东村委会福㟍村</w:t>
            </w:r>
          </w:p>
        </w:tc>
      </w:tr>
      <w:tr w14:paraId="6FACC120">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781E0FCB">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11</w:t>
            </w:r>
          </w:p>
        </w:tc>
        <w:tc>
          <w:tcPr>
            <w:tcW w:w="1207" w:type="dxa"/>
            <w:vMerge w:val="continue"/>
            <w:tcBorders>
              <w:top w:val="nil"/>
              <w:left w:val="single" w:color="auto" w:sz="4" w:space="0"/>
              <w:bottom w:val="single" w:color="auto" w:sz="4" w:space="0"/>
              <w:right w:val="single" w:color="auto" w:sz="4" w:space="0"/>
            </w:tcBorders>
            <w:vAlign w:val="center"/>
          </w:tcPr>
          <w:p w14:paraId="7C74AAA5">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21EF41D4">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椰林公厕</w:t>
            </w:r>
          </w:p>
        </w:tc>
        <w:tc>
          <w:tcPr>
            <w:tcW w:w="1896" w:type="dxa"/>
            <w:tcBorders>
              <w:top w:val="nil"/>
              <w:left w:val="nil"/>
              <w:bottom w:val="single" w:color="auto" w:sz="4" w:space="0"/>
              <w:right w:val="single" w:color="auto" w:sz="4" w:space="0"/>
            </w:tcBorders>
            <w:shd w:val="clear" w:color="auto" w:fill="auto"/>
            <w:noWrap/>
            <w:vAlign w:val="center"/>
          </w:tcPr>
          <w:p w14:paraId="5D9940EF">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大致坡镇墟</w:t>
            </w:r>
          </w:p>
        </w:tc>
        <w:tc>
          <w:tcPr>
            <w:tcW w:w="2708" w:type="dxa"/>
            <w:tcBorders>
              <w:top w:val="nil"/>
              <w:left w:val="nil"/>
              <w:bottom w:val="single" w:color="auto" w:sz="4" w:space="0"/>
              <w:right w:val="single" w:color="auto" w:sz="4" w:space="0"/>
            </w:tcBorders>
            <w:shd w:val="clear" w:color="auto" w:fill="auto"/>
            <w:vAlign w:val="center"/>
          </w:tcPr>
          <w:p w14:paraId="0A2B9360">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大致坡镇中心一横街椰林居委会隔壁</w:t>
            </w:r>
          </w:p>
        </w:tc>
      </w:tr>
      <w:tr w14:paraId="70DD527B">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227D71E9">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12</w:t>
            </w:r>
          </w:p>
        </w:tc>
        <w:tc>
          <w:tcPr>
            <w:tcW w:w="1207" w:type="dxa"/>
            <w:vMerge w:val="continue"/>
            <w:tcBorders>
              <w:top w:val="nil"/>
              <w:left w:val="single" w:color="auto" w:sz="4" w:space="0"/>
              <w:bottom w:val="single" w:color="auto" w:sz="4" w:space="0"/>
              <w:right w:val="single" w:color="auto" w:sz="4" w:space="0"/>
            </w:tcBorders>
            <w:vAlign w:val="center"/>
          </w:tcPr>
          <w:p w14:paraId="7B7C1248">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0BA309E3">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美贴旅游公厕</w:t>
            </w:r>
          </w:p>
        </w:tc>
        <w:tc>
          <w:tcPr>
            <w:tcW w:w="1896" w:type="dxa"/>
            <w:tcBorders>
              <w:top w:val="nil"/>
              <w:left w:val="nil"/>
              <w:bottom w:val="single" w:color="auto" w:sz="4" w:space="0"/>
              <w:right w:val="single" w:color="auto" w:sz="4" w:space="0"/>
            </w:tcBorders>
            <w:shd w:val="clear" w:color="auto" w:fill="auto"/>
            <w:vAlign w:val="center"/>
          </w:tcPr>
          <w:p w14:paraId="4E47EE9A">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金堆村委会</w:t>
            </w:r>
          </w:p>
        </w:tc>
        <w:tc>
          <w:tcPr>
            <w:tcW w:w="2708" w:type="dxa"/>
            <w:tcBorders>
              <w:top w:val="nil"/>
              <w:left w:val="nil"/>
              <w:bottom w:val="single" w:color="auto" w:sz="4" w:space="0"/>
              <w:right w:val="single" w:color="auto" w:sz="4" w:space="0"/>
            </w:tcBorders>
            <w:shd w:val="clear" w:color="auto" w:fill="auto"/>
            <w:vAlign w:val="center"/>
          </w:tcPr>
          <w:p w14:paraId="023D1A2E">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美贴村</w:t>
            </w:r>
          </w:p>
        </w:tc>
      </w:tr>
      <w:tr w14:paraId="4F0568CF">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0690DD19">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13</w:t>
            </w:r>
          </w:p>
        </w:tc>
        <w:tc>
          <w:tcPr>
            <w:tcW w:w="1207" w:type="dxa"/>
            <w:vMerge w:val="continue"/>
            <w:tcBorders>
              <w:top w:val="nil"/>
              <w:left w:val="single" w:color="auto" w:sz="4" w:space="0"/>
              <w:bottom w:val="single" w:color="auto" w:sz="4" w:space="0"/>
              <w:right w:val="single" w:color="auto" w:sz="4" w:space="0"/>
            </w:tcBorders>
            <w:vAlign w:val="center"/>
          </w:tcPr>
          <w:p w14:paraId="2F642A00">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133018A8">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大道湖旅游公厕</w:t>
            </w:r>
          </w:p>
        </w:tc>
        <w:tc>
          <w:tcPr>
            <w:tcW w:w="1896" w:type="dxa"/>
            <w:tcBorders>
              <w:top w:val="nil"/>
              <w:left w:val="nil"/>
              <w:bottom w:val="single" w:color="auto" w:sz="4" w:space="0"/>
              <w:right w:val="single" w:color="auto" w:sz="4" w:space="0"/>
            </w:tcBorders>
            <w:shd w:val="clear" w:color="auto" w:fill="auto"/>
            <w:vAlign w:val="center"/>
          </w:tcPr>
          <w:p w14:paraId="0104A738">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昌福村委会</w:t>
            </w:r>
          </w:p>
        </w:tc>
        <w:tc>
          <w:tcPr>
            <w:tcW w:w="2708" w:type="dxa"/>
            <w:tcBorders>
              <w:top w:val="nil"/>
              <w:left w:val="nil"/>
              <w:bottom w:val="single" w:color="auto" w:sz="4" w:space="0"/>
              <w:right w:val="single" w:color="auto" w:sz="4" w:space="0"/>
            </w:tcBorders>
            <w:shd w:val="clear" w:color="auto" w:fill="auto"/>
            <w:vAlign w:val="center"/>
          </w:tcPr>
          <w:p w14:paraId="4303BDE4">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大道湖村</w:t>
            </w:r>
          </w:p>
        </w:tc>
      </w:tr>
      <w:tr w14:paraId="00F2F628">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5E03D29E">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14</w:t>
            </w:r>
          </w:p>
        </w:tc>
        <w:tc>
          <w:tcPr>
            <w:tcW w:w="1207" w:type="dxa"/>
            <w:vMerge w:val="continue"/>
            <w:tcBorders>
              <w:top w:val="nil"/>
              <w:left w:val="single" w:color="auto" w:sz="4" w:space="0"/>
              <w:bottom w:val="single" w:color="auto" w:sz="4" w:space="0"/>
              <w:right w:val="single" w:color="auto" w:sz="4" w:space="0"/>
            </w:tcBorders>
            <w:vAlign w:val="center"/>
          </w:tcPr>
          <w:p w14:paraId="3BD27481">
            <w:pPr>
              <w:widowControl/>
              <w:jc w:val="left"/>
              <w:rPr>
                <w:rFonts w:hint="eastAsia" w:ascii="仿宋" w:hAnsi="仿宋" w:eastAsia="仿宋" w:cs="宋体"/>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72736C59">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美桐旅游公厕</w:t>
            </w:r>
          </w:p>
        </w:tc>
        <w:tc>
          <w:tcPr>
            <w:tcW w:w="1896" w:type="dxa"/>
            <w:tcBorders>
              <w:top w:val="nil"/>
              <w:left w:val="nil"/>
              <w:bottom w:val="single" w:color="auto" w:sz="4" w:space="0"/>
              <w:right w:val="single" w:color="auto" w:sz="4" w:space="0"/>
            </w:tcBorders>
            <w:shd w:val="clear" w:color="auto" w:fill="auto"/>
            <w:vAlign w:val="center"/>
          </w:tcPr>
          <w:p w14:paraId="6E6ED266">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美桐村委会</w:t>
            </w:r>
          </w:p>
        </w:tc>
        <w:tc>
          <w:tcPr>
            <w:tcW w:w="2708" w:type="dxa"/>
            <w:tcBorders>
              <w:top w:val="nil"/>
              <w:left w:val="nil"/>
              <w:bottom w:val="single" w:color="auto" w:sz="4" w:space="0"/>
              <w:right w:val="single" w:color="auto" w:sz="4" w:space="0"/>
            </w:tcBorders>
            <w:shd w:val="clear" w:color="auto" w:fill="auto"/>
            <w:vAlign w:val="center"/>
          </w:tcPr>
          <w:p w14:paraId="54C78847">
            <w:pPr>
              <w:widowControl/>
              <w:jc w:val="center"/>
              <w:rPr>
                <w:rFonts w:hint="eastAsia" w:ascii="仿宋" w:hAnsi="仿宋" w:eastAsia="仿宋" w:cs="宋体"/>
                <w:kern w:val="0"/>
                <w:sz w:val="24"/>
                <w:szCs w:val="24"/>
                <w:highlight w:val="none"/>
              </w:rPr>
            </w:pPr>
            <w:r>
              <w:rPr>
                <w:rFonts w:hint="eastAsia" w:ascii="仿宋" w:hAnsi="仿宋" w:eastAsia="仿宋" w:cs="宋体"/>
                <w:kern w:val="0"/>
                <w:sz w:val="24"/>
                <w:szCs w:val="24"/>
                <w:highlight w:val="none"/>
              </w:rPr>
              <w:t>美桐村委会内</w:t>
            </w:r>
          </w:p>
        </w:tc>
      </w:tr>
    </w:tbl>
    <w:p w14:paraId="463BD206">
      <w:pPr>
        <w:pStyle w:val="5"/>
        <w:spacing w:before="211" w:line="385" w:lineRule="auto"/>
        <w:ind w:right="80" w:firstLine="472" w:firstLineChars="200"/>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2、</w:t>
      </w:r>
      <w:r>
        <w:rPr>
          <w:rFonts w:hint="eastAsia" w:asciiTheme="minorEastAsia" w:hAnsiTheme="minorEastAsia" w:eastAsiaTheme="minorEastAsia" w:cstheme="minorEastAsia"/>
          <w:color w:val="auto"/>
          <w:spacing w:val="-2"/>
          <w:sz w:val="24"/>
          <w:szCs w:val="24"/>
          <w:lang w:eastAsia="zh-CN"/>
        </w:rPr>
        <w:t>作业内容</w:t>
      </w:r>
    </w:p>
    <w:p w14:paraId="1D473DAB">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1、公共厕所有专人管理，向公众免费开放使用；</w:t>
      </w:r>
    </w:p>
    <w:p w14:paraId="704CE4A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2、公共厕所配套设备、设施的维护（不含设施的更新及升级改造）；</w:t>
      </w:r>
    </w:p>
    <w:p w14:paraId="36BB0C0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3、公共厕所化粪池的清掏，以及将粪渣收运至区环卫局指定地点。</w:t>
      </w:r>
    </w:p>
    <w:p w14:paraId="66CCF2C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3、</w:t>
      </w:r>
      <w:r>
        <w:rPr>
          <w:rFonts w:hint="eastAsia" w:asciiTheme="minorEastAsia" w:hAnsiTheme="minorEastAsia" w:eastAsiaTheme="minorEastAsia" w:cstheme="minorEastAsia"/>
          <w:color w:val="auto"/>
          <w:spacing w:val="-2"/>
          <w:sz w:val="24"/>
          <w:szCs w:val="24"/>
          <w:lang w:eastAsia="zh-CN"/>
        </w:rPr>
        <w:t>作业要求</w:t>
      </w:r>
    </w:p>
    <w:p w14:paraId="0A2B6B6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1、公共厕所作业标准</w:t>
      </w:r>
    </w:p>
    <w:p w14:paraId="7F9EFF5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（1）公共厕所有专人管理、有保洁制度，公共厕所开放时间不少于16个小时；</w:t>
      </w:r>
    </w:p>
    <w:p w14:paraId="147D9B0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（2）公共厕所内采光、照明和通风良好，无明显臭味；</w:t>
      </w:r>
    </w:p>
    <w:p w14:paraId="4042F8E6">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（3）公共厕所内墙面、天花板、门窗和隔离板无积灰、污迹、蛛网，无乱涂、乱画，墙面光洁；公共厕所外墙面整洁；</w:t>
      </w:r>
    </w:p>
    <w:p w14:paraId="0E522F06">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（4）公共厕所内地面光洁，无积水；</w:t>
      </w:r>
    </w:p>
    <w:p w14:paraId="666659F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（5）坐便器、蹲位整洁，大便槽两侧应无粪便污物，槽内无积粪，洁净见底；</w:t>
      </w:r>
    </w:p>
    <w:p w14:paraId="451C818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（6）小便槽（斗）无水锈、尿垢、垃圾，基本无臭；沟眼、管道保持畅通；</w:t>
      </w:r>
    </w:p>
    <w:p w14:paraId="51F73B1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（7）公共厕所内照明灯具、洗手器具、镜子、挂衣钩、烘手器、冲水设备无积灰、污物；</w:t>
      </w:r>
    </w:p>
    <w:p w14:paraId="3F5C77F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（8）公共厕所外环境整洁，无乱堆杂物。公厕四周5m范围内，应无垃圾、粪便、污水等污物；</w:t>
      </w:r>
    </w:p>
    <w:p w14:paraId="40D9FEA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（9）公共厕所应有防蝇、防蚊和除臭设施或措施。定期喷洒灭蚊蝇药物，有效控制蝇蛆滋生，公共厕所内基本无蚊蝇等昆虫；</w:t>
      </w:r>
    </w:p>
    <w:p w14:paraId="19A2A8D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（10）吸粪车清吸作业后，及时盖好井盖。化粪井周围整洁无粪迹。行车不遗洒，按区环卫局指定地点倾卸、作业后搞好车辆卫生、保持车辆清洁。</w:t>
      </w:r>
    </w:p>
    <w:p w14:paraId="055A29D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2、公共厕所设施的维护标准</w:t>
      </w:r>
    </w:p>
    <w:p w14:paraId="536C7B4B">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（1）公共厕所通风、冲水、洗手、照明、除臭等设施及门板、便器完好，正常提供使用；</w:t>
      </w:r>
    </w:p>
    <w:p w14:paraId="6E39027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（2）公共厕所的内外墙、天花板保持完好，无剥落，地面无破损；</w:t>
      </w:r>
    </w:p>
    <w:p w14:paraId="6E44A0D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（3）公共厕所管理间不得改变使用功能；</w:t>
      </w:r>
    </w:p>
    <w:p w14:paraId="73A343F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（4）公共厕所标识牌整洁、规范，设置明显。</w:t>
      </w:r>
    </w:p>
    <w:p w14:paraId="66E8525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3、公厕文明服务要求</w:t>
      </w:r>
    </w:p>
    <w:p w14:paraId="404C8EB8">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（1）按《海南省公共洗手间导识系统设计方案》设置导向标志牌，管理守则、卫生质量标准和投诉电话悬挂于墙上醒目位置，便于市民监督；</w:t>
      </w:r>
    </w:p>
    <w:p w14:paraId="4950BCF7">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（2）公共厕所要有专人管理，管理人员应保持衣冠整齐，有明显所属单位标志；文明作业、礼貌服务；</w:t>
      </w:r>
    </w:p>
    <w:p w14:paraId="7D64AE05">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（3）保洁工具使用完毕应整齐存放在不显眼的位置或存放在工具房（箱）内；不得将保洁工具放在便器、洗手盆或楼梯；</w:t>
      </w:r>
    </w:p>
    <w:p w14:paraId="76C5690B">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（4）供洗手用的水龙头不得用于保洁作业；</w:t>
      </w:r>
    </w:p>
    <w:p w14:paraId="14756731">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（5）管理人员工作室、工作台保持整洁美观；</w:t>
      </w:r>
    </w:p>
    <w:p w14:paraId="4951880A">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（6）不得占用或妨碍残疾人公共厕所的正常使用；</w:t>
      </w:r>
    </w:p>
    <w:p w14:paraId="7B18F46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（7）公共厕所每天应全面冲洗两次以上并随时保洁。</w:t>
      </w:r>
    </w:p>
    <w:p w14:paraId="760121A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4、公厕粪便清除作业质量要求</w:t>
      </w:r>
    </w:p>
    <w:p w14:paraId="41D7F42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公共厕所的粪便严禁直接排入雨水管、河道或水沟内，有污水管道且下游建有污水处理厂的地区应排入污水管道，没有污水管道的地区应建化粪池等处理设施。</w:t>
      </w:r>
    </w:p>
    <w:p w14:paraId="201744F3">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（1）应定期清除公共厕所贮（化）粪池内的粪便或粪渣，粪水不外溢；</w:t>
      </w:r>
    </w:p>
    <w:p w14:paraId="5157AC26">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（2）收集和运输容器应密闭性好，无滴漏；</w:t>
      </w:r>
    </w:p>
    <w:p w14:paraId="070A0FD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（3）应保持作业场地清洁卫生，无遗撒粪便。清掏作业结束后，应盖严粪口，并及时清理场地和清掏工具。</w:t>
      </w:r>
    </w:p>
    <w:p w14:paraId="3151972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(五）</w:t>
      </w:r>
      <w:r>
        <w:rPr>
          <w:rFonts w:hint="eastAsia" w:asciiTheme="minorEastAsia" w:hAnsiTheme="minorEastAsia" w:eastAsiaTheme="minorEastAsia" w:cstheme="minorEastAsia"/>
          <w:color w:val="auto"/>
          <w:spacing w:val="-2"/>
          <w:sz w:val="24"/>
          <w:szCs w:val="24"/>
          <w:lang w:eastAsia="zh-CN"/>
        </w:rPr>
        <w:t>、安全生产</w:t>
      </w:r>
    </w:p>
    <w:p w14:paraId="5356DFC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1、穿着与防护：环卫工人应按照规定穿戴工作服，并佩戴防护用品，如安全帽、防护眼镜、口罩、手套等，以保护自己的安全。</w:t>
      </w:r>
    </w:p>
    <w:p w14:paraId="6F5F3A21">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2、工作设备的安全使用：环卫工人应按照规定正确使用和维护工作设备，如扫帚、垃圾桶、清洁剂等。在车辆操作中，应慎重驾驶，遵守运输车辆操作规程，并注意车辆的维护保养。</w:t>
      </w:r>
    </w:p>
    <w:p w14:paraId="0701DEAF">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3、安全生产责任制：环卫企业应建立、健全安全生产责任制，制定完备的安全生产规章制度和操作规程。确保所有员工都了解并遵守这些规定。</w:t>
      </w:r>
    </w:p>
    <w:p w14:paraId="74E7D46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4、安全投入：安全投入应符合安全生产要求，包括提供必要的安全防护设备、培训、检查等。</w:t>
      </w:r>
    </w:p>
    <w:p w14:paraId="4A00A84B">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5、特种作业人员资格：特种作业人员，如驾驶环卫车辆的司机，应经有关业务主管部门考核合格，取得特种作业操作资格证书。</w:t>
      </w:r>
    </w:p>
    <w:p w14:paraId="43F37481">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6、机械作业安全：驾驶人员应严格遵守交通规则，禁止疲劳驾驶、超速、超载行驶。定期对车辆进行安全检查，确保所有环卫车辆不带病上路。</w:t>
      </w:r>
    </w:p>
    <w:p w14:paraId="6F86B803">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7、人工作业安全：环卫工人上岗期间必须着环卫专用服装，中转站作业人员要严格按照安全生产规章制度进行作业，不得私自违规操作。</w:t>
      </w:r>
    </w:p>
    <w:p w14:paraId="6063013C">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8、内部监督培训：完善环卫作业安全管理制度，加强环卫工人以及驾驶员的安全培训。环卫服务企业应定期对环卫设施设备、车辆行驶状态、驾驶规范、作业场所用水用电规范等进行全面排查，并建立检查台账，做到逐项检查、逐项整改。</w:t>
      </w:r>
    </w:p>
    <w:p w14:paraId="4F59C7F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lang w:val="en-US" w:eastAsia="zh-CN"/>
        </w:rPr>
        <w:t>六</w:t>
      </w:r>
      <w:r>
        <w:rPr>
          <w:rFonts w:hint="eastAsia" w:asciiTheme="minorEastAsia" w:hAnsiTheme="minorEastAsia" w:eastAsiaTheme="minorEastAsia" w:cstheme="minorEastAsia"/>
          <w:color w:val="auto"/>
          <w:spacing w:val="-2"/>
          <w:sz w:val="24"/>
          <w:szCs w:val="24"/>
          <w:lang w:eastAsia="zh-CN"/>
        </w:rPr>
        <w:t>）特殊情况下的环卫保障</w:t>
      </w:r>
    </w:p>
    <w:p w14:paraId="540A423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1、突发应急事件或大型检查、重大活动保障等环卫应急保障；</w:t>
      </w:r>
    </w:p>
    <w:p w14:paraId="292A5AF3">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2、中心风力13级（不含13级）以下强台风期间、单日（24小时）内降水量低于100毫米（不含100毫米）暴雨期间环卫保障等。</w:t>
      </w:r>
    </w:p>
    <w:p w14:paraId="66826F42">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3、如发生超强台风(十三(13)级或以上)等重大自然灾害性天气时，乙方先行进行抢险救灾及市容恢复等工作，由此带来的运营成本增加或资本性支出增加，乙方向甲方提交详细费用清单，经双方核对后由甲方委托第三方公司审计，以审计结果进行补偿。</w:t>
      </w:r>
    </w:p>
    <w:p w14:paraId="0C1CE6D7">
      <w:pPr>
        <w:pStyle w:val="5"/>
        <w:spacing w:before="198" w:line="219" w:lineRule="auto"/>
        <w:ind w:left="2857" w:right="0" w:firstLine="0"/>
        <w:jc w:val="left"/>
        <w:rPr>
          <w:rFonts w:hint="eastAsia" w:asciiTheme="minorEastAsia" w:hAnsiTheme="minorEastAsia" w:eastAsiaTheme="minorEastAsia" w:cstheme="minorEastAsia"/>
          <w:b/>
          <w:bCs/>
          <w:color w:val="auto"/>
          <w:spacing w:val="-3"/>
          <w:sz w:val="24"/>
          <w:szCs w:val="24"/>
          <w:lang w:eastAsia="zh-CN"/>
        </w:rPr>
      </w:pPr>
      <w:r>
        <w:rPr>
          <w:rFonts w:hint="eastAsia" w:asciiTheme="minorEastAsia" w:hAnsiTheme="minorEastAsia" w:eastAsiaTheme="minorEastAsia" w:cstheme="minorEastAsia"/>
          <w:b/>
          <w:bCs/>
          <w:color w:val="auto"/>
          <w:spacing w:val="-3"/>
          <w:sz w:val="24"/>
          <w:szCs w:val="24"/>
          <w:lang w:eastAsia="zh-CN"/>
        </w:rPr>
        <w:t>第三部分  其他要求</w:t>
      </w:r>
    </w:p>
    <w:p w14:paraId="3242E409">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第四条  人员设备和环卫设备配置标准和要求</w:t>
      </w:r>
    </w:p>
    <w:p w14:paraId="7DE2217D">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（一）人员配备</w:t>
      </w:r>
    </w:p>
    <w:p w14:paraId="2F5981B4">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服务单位应根据项目实际情况和采取的环卫作业模式，在保证作业服务质量 的前提下，配置足够数量的环卫作业人员，经征得区环境卫生管理局批准同意后 执行。本项目所配置的环卫作业人员必须是专职于本项目，严禁工作期间在其他 项目中兼职。为规避服务单位擅自减少应配置的环卫作业人员数量的风险，服务 单位应每季度向区环境卫生管理局报送环卫作业人员的配置佐证材料。</w:t>
      </w:r>
    </w:p>
    <w:p w14:paraId="4C51218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（二）环卫设备配置</w:t>
      </w:r>
    </w:p>
    <w:p w14:paraId="5EAEE83B">
      <w:pPr>
        <w:spacing w:before="211" w:line="360" w:lineRule="auto"/>
        <w:ind w:left="12" w:right="80" w:firstLine="472" w:firstLineChars="200"/>
        <w:jc w:val="left"/>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原则上环卫设施设备配置按招标文件的数量和规格实施,服务单位可根据项 目实际情况和采取的环卫作业模式，在保证作业服务质量不降低的前提下，经征 得区环境卫生管理局批准同意后进行合理配置。本项目所配置的环卫作业设施设 备必须仅用于本项目，严禁用于其他项目开展生产经营活动。</w:t>
      </w:r>
    </w:p>
    <w:p w14:paraId="64657EC0">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第五条 管理标准和要求</w:t>
      </w:r>
    </w:p>
    <w:p w14:paraId="5CBD0218">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1.乙方须列明管理机构的模式，具备适合的设备、人员等，并提供有关人员 职责名单及证件复印件。</w:t>
      </w:r>
    </w:p>
    <w:p w14:paraId="22B8AE3E">
      <w:pPr>
        <w:pStyle w:val="5"/>
        <w:spacing w:before="211" w:line="385" w:lineRule="auto"/>
        <w:ind w:left="12" w:right="80" w:firstLine="479"/>
        <w:jc w:val="both"/>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2.乙方所采用的作业设备必须满足国家有关技术操作规程的要求，同时必须 要满足正常作业需要。</w:t>
      </w:r>
    </w:p>
    <w:p w14:paraId="07A8A03C">
      <w:pPr>
        <w:pStyle w:val="5"/>
        <w:spacing w:before="196" w:line="219" w:lineRule="auto"/>
        <w:ind w:lef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第四部分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承包期限</w:t>
      </w:r>
    </w:p>
    <w:p w14:paraId="678FF7C5">
      <w:pPr>
        <w:pStyle w:val="5"/>
        <w:spacing w:before="213"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四</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承包期限、承包方式</w:t>
      </w:r>
    </w:p>
    <w:p w14:paraId="32042FEE">
      <w:pPr>
        <w:pStyle w:val="5"/>
        <w:spacing w:before="164" w:line="280" w:lineRule="auto"/>
        <w:ind w:left="9" w:right="80" w:firstLine="49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1.本项目采购年限为</w:t>
      </w:r>
      <w:r>
        <w:rPr>
          <w:rFonts w:hint="eastAsia" w:asciiTheme="minorEastAsia" w:hAnsiTheme="minorEastAsia" w:eastAsiaTheme="minorEastAsia" w:cstheme="minorEastAsia"/>
          <w:color w:val="auto"/>
          <w:spacing w:val="-36"/>
          <w:sz w:val="24"/>
          <w:szCs w:val="24"/>
        </w:rPr>
        <w:t xml:space="preserve"> </w:t>
      </w:r>
      <w:r>
        <w:rPr>
          <w:rFonts w:hint="eastAsia" w:asciiTheme="minorEastAsia" w:hAnsiTheme="minorEastAsia" w:eastAsiaTheme="minorEastAsia" w:cstheme="minorEastAsia"/>
          <w:color w:val="auto"/>
          <w:spacing w:val="-2"/>
          <w:sz w:val="24"/>
          <w:szCs w:val="24"/>
        </w:rPr>
        <w:t>3</w:t>
      </w:r>
      <w:r>
        <w:rPr>
          <w:rFonts w:hint="eastAsia" w:asciiTheme="minorEastAsia" w:hAnsiTheme="minorEastAsia" w:eastAsiaTheme="minorEastAsia" w:cstheme="minorEastAsia"/>
          <w:color w:val="auto"/>
          <w:spacing w:val="-50"/>
          <w:sz w:val="24"/>
          <w:szCs w:val="24"/>
        </w:rPr>
        <w:t xml:space="preserve"> </w:t>
      </w:r>
      <w:r>
        <w:rPr>
          <w:rFonts w:hint="eastAsia" w:asciiTheme="minorEastAsia" w:hAnsiTheme="minorEastAsia" w:eastAsiaTheme="minorEastAsia" w:cstheme="minorEastAsia"/>
          <w:color w:val="auto"/>
          <w:spacing w:val="-2"/>
          <w:sz w:val="24"/>
          <w:szCs w:val="24"/>
        </w:rPr>
        <w:t>年。合同签订时间自</w:t>
      </w:r>
      <w:r>
        <w:rPr>
          <w:rFonts w:hint="eastAsia" w:asciiTheme="minorEastAsia" w:hAnsiTheme="minorEastAsia" w:eastAsiaTheme="minorEastAsia" w:cstheme="minorEastAsia"/>
          <w:color w:val="auto"/>
          <w:spacing w:val="-118"/>
          <w:sz w:val="24"/>
          <w:szCs w:val="24"/>
        </w:rPr>
        <w:t xml:space="preserve"> </w:t>
      </w:r>
      <w:r>
        <w:rPr>
          <w:rFonts w:hint="eastAsia" w:asciiTheme="minorEastAsia" w:hAnsiTheme="minorEastAsia" w:eastAsiaTheme="minorEastAsia" w:cstheme="minorEastAsia"/>
          <w:color w:val="auto"/>
          <w:spacing w:val="1"/>
          <w:sz w:val="24"/>
          <w:szCs w:val="24"/>
          <w:u w:val="single" w:color="auto"/>
        </w:rPr>
        <w:t xml:space="preserve">        </w:t>
      </w:r>
      <w:r>
        <w:rPr>
          <w:rFonts w:hint="eastAsia" w:asciiTheme="minorEastAsia" w:hAnsiTheme="minorEastAsia" w:eastAsiaTheme="minorEastAsia" w:cstheme="minorEastAsia"/>
          <w:color w:val="auto"/>
          <w:spacing w:val="-105"/>
          <w:sz w:val="24"/>
          <w:szCs w:val="24"/>
        </w:rPr>
        <w:t xml:space="preserve"> </w:t>
      </w:r>
      <w:r>
        <w:rPr>
          <w:rFonts w:hint="eastAsia" w:asciiTheme="minorEastAsia" w:hAnsiTheme="minorEastAsia" w:eastAsiaTheme="minorEastAsia" w:cstheme="minorEastAsia"/>
          <w:color w:val="auto"/>
          <w:spacing w:val="-2"/>
          <w:sz w:val="24"/>
          <w:szCs w:val="24"/>
        </w:rPr>
        <w:t>年</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104"/>
          <w:sz w:val="24"/>
          <w:szCs w:val="24"/>
        </w:rPr>
        <w:t xml:space="preserve"> </w:t>
      </w:r>
      <w:r>
        <w:rPr>
          <w:rFonts w:hint="eastAsia" w:asciiTheme="minorEastAsia" w:hAnsiTheme="minorEastAsia" w:eastAsiaTheme="minorEastAsia" w:cstheme="minorEastAsia"/>
          <w:color w:val="auto"/>
          <w:spacing w:val="-2"/>
          <w:sz w:val="24"/>
          <w:szCs w:val="24"/>
        </w:rPr>
        <w:t>月</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70"/>
          <w:sz w:val="24"/>
          <w:szCs w:val="24"/>
        </w:rPr>
        <w:t xml:space="preserve"> </w:t>
      </w:r>
      <w:r>
        <w:rPr>
          <w:rFonts w:hint="eastAsia" w:asciiTheme="minorEastAsia" w:hAnsiTheme="minorEastAsia" w:eastAsiaTheme="minorEastAsia" w:cstheme="minorEastAsia"/>
          <w:color w:val="auto"/>
          <w:spacing w:val="-2"/>
          <w:sz w:val="24"/>
          <w:szCs w:val="24"/>
        </w:rPr>
        <w:t>日至</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20"/>
          <w:sz w:val="24"/>
          <w:szCs w:val="24"/>
        </w:rPr>
        <w:t>年</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102"/>
          <w:sz w:val="24"/>
          <w:szCs w:val="24"/>
        </w:rPr>
        <w:t xml:space="preserve"> </w:t>
      </w:r>
      <w:r>
        <w:rPr>
          <w:rFonts w:hint="eastAsia" w:asciiTheme="minorEastAsia" w:hAnsiTheme="minorEastAsia" w:eastAsiaTheme="minorEastAsia" w:cstheme="minorEastAsia"/>
          <w:color w:val="auto"/>
          <w:spacing w:val="-20"/>
          <w:sz w:val="24"/>
          <w:szCs w:val="24"/>
        </w:rPr>
        <w:t>月</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70"/>
          <w:sz w:val="24"/>
          <w:szCs w:val="24"/>
        </w:rPr>
        <w:t xml:space="preserve"> </w:t>
      </w:r>
      <w:r>
        <w:rPr>
          <w:rFonts w:hint="eastAsia" w:asciiTheme="minorEastAsia" w:hAnsiTheme="minorEastAsia" w:eastAsiaTheme="minorEastAsia" w:cstheme="minorEastAsia"/>
          <w:color w:val="auto"/>
          <w:spacing w:val="-20"/>
          <w:sz w:val="24"/>
          <w:szCs w:val="24"/>
        </w:rPr>
        <w:t>日。</w:t>
      </w:r>
    </w:p>
    <w:p w14:paraId="0EAF91E2">
      <w:pPr>
        <w:pStyle w:val="5"/>
        <w:spacing w:before="154" w:line="299" w:lineRule="auto"/>
        <w:ind w:left="7" w:right="80" w:firstLine="4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2.本项目采取全包干的方式，即任务包干、经费包干、人员设备包干、作业安全包干的方式实行全承包。乙方按照甲方的服务要求和标准组织服务工作，并接受甲方的监</w:t>
      </w:r>
      <w:r>
        <w:rPr>
          <w:rFonts w:hint="eastAsia" w:asciiTheme="minorEastAsia" w:hAnsiTheme="minorEastAsia" w:eastAsiaTheme="minorEastAsia" w:cstheme="minorEastAsia"/>
          <w:color w:val="auto"/>
          <w:spacing w:val="18"/>
          <w:sz w:val="24"/>
          <w:szCs w:val="24"/>
        </w:rPr>
        <w:t xml:space="preserve"> </w:t>
      </w:r>
      <w:r>
        <w:rPr>
          <w:rFonts w:hint="eastAsia" w:asciiTheme="minorEastAsia" w:hAnsiTheme="minorEastAsia" w:eastAsiaTheme="minorEastAsia" w:cstheme="minorEastAsia"/>
          <w:color w:val="auto"/>
          <w:spacing w:val="-2"/>
          <w:sz w:val="24"/>
          <w:szCs w:val="24"/>
        </w:rPr>
        <w:t>督、检查、指导。</w:t>
      </w:r>
    </w:p>
    <w:p w14:paraId="31C670EB">
      <w:pPr>
        <w:pStyle w:val="5"/>
        <w:spacing w:before="117" w:line="370" w:lineRule="auto"/>
        <w:ind w:left="7" w:right="72" w:firstLine="481"/>
        <w:jc w:val="both"/>
        <w:rPr>
          <w:rFonts w:hint="eastAsia" w:asciiTheme="minorEastAsia" w:hAnsiTheme="minorEastAsia" w:eastAsiaTheme="minorEastAsia" w:cstheme="minorEastAsia"/>
          <w:color w:val="auto"/>
          <w:spacing w:val="-3"/>
          <w:sz w:val="24"/>
          <w:szCs w:val="24"/>
          <w:lang w:val="en-US" w:eastAsia="zh-CN"/>
        </w:rPr>
      </w:pPr>
      <w:r>
        <w:rPr>
          <w:rFonts w:hint="eastAsia" w:asciiTheme="minorEastAsia" w:hAnsiTheme="minorEastAsia" w:eastAsiaTheme="minorEastAsia" w:cstheme="minorEastAsia"/>
          <w:color w:val="auto"/>
          <w:spacing w:val="-2"/>
          <w:sz w:val="24"/>
          <w:szCs w:val="24"/>
        </w:rPr>
        <w:t>3.</w:t>
      </w:r>
      <w:r>
        <w:rPr>
          <w:rFonts w:hint="eastAsia" w:asciiTheme="minorEastAsia" w:hAnsiTheme="minorEastAsia" w:eastAsiaTheme="minorEastAsia" w:cstheme="minorEastAsia"/>
          <w:color w:val="auto"/>
          <w:spacing w:val="-3"/>
          <w:sz w:val="24"/>
          <w:szCs w:val="24"/>
          <w:lang w:val="en-US" w:eastAsia="zh-CN"/>
        </w:rPr>
        <w:t>3年服务年限期满后，若因非原中标服务单位原因，原中标服务单位未能成为后续环卫服务单位时，则采购单位在选择后续环卫服务单位过程中，须要求后续服务单位以资产评估价购买原中标服务单位为本项目购置的必要的环卫设备和无条件全员聘用原中标服务单位的环卫作业人员，按照《中华人民共和国劳动合同法》重新与原有环卫作业人员签订不少于三年的劳动合同。</w:t>
      </w:r>
    </w:p>
    <w:p w14:paraId="13765375">
      <w:pPr>
        <w:pStyle w:val="5"/>
        <w:spacing w:before="117" w:line="370" w:lineRule="auto"/>
        <w:ind w:left="7" w:right="72" w:firstLine="481"/>
        <w:jc w:val="both"/>
        <w:rPr>
          <w:rFonts w:hint="eastAsia" w:asciiTheme="minorEastAsia" w:hAnsiTheme="minorEastAsia" w:eastAsiaTheme="minorEastAsia" w:cstheme="minorEastAsia"/>
          <w:color w:val="auto"/>
          <w:spacing w:val="-3"/>
          <w:sz w:val="24"/>
          <w:szCs w:val="24"/>
          <w:lang w:val="en-US" w:eastAsia="zh-CN"/>
        </w:rPr>
      </w:pPr>
      <w:r>
        <w:rPr>
          <w:rFonts w:hint="eastAsia" w:asciiTheme="minorEastAsia" w:hAnsiTheme="minorEastAsia" w:eastAsiaTheme="minorEastAsia" w:cstheme="minorEastAsia"/>
          <w:color w:val="auto"/>
          <w:spacing w:val="-3"/>
          <w:sz w:val="24"/>
          <w:szCs w:val="24"/>
          <w:lang w:val="en-US" w:eastAsia="zh-CN"/>
        </w:rPr>
        <w:t>若后续中标服务单位与原中标服务单位就必要的环卫设备的范围、评估价格、款项支付、原有环卫作业人员聘用等发生纠纷的，由双方依法律途径解决，区政府和区环境卫生管理局对此款项的支付和原有环卫作业人员聘用不承担任何连带责任。</w:t>
      </w:r>
    </w:p>
    <w:p w14:paraId="1AF71F7C">
      <w:pPr>
        <w:rPr>
          <w:rFonts w:hint="eastAsia" w:asciiTheme="minorEastAsia" w:hAnsiTheme="minorEastAsia" w:eastAsiaTheme="minorEastAsia" w:cstheme="minorEastAsia"/>
          <w:b/>
          <w:bCs/>
          <w:color w:val="auto"/>
          <w:spacing w:val="-3"/>
          <w:sz w:val="24"/>
          <w:szCs w:val="24"/>
        </w:rPr>
      </w:pPr>
      <w:r>
        <w:rPr>
          <w:rFonts w:hint="eastAsia" w:asciiTheme="minorEastAsia" w:hAnsiTheme="minorEastAsia" w:eastAsiaTheme="minorEastAsia" w:cstheme="minorEastAsia"/>
          <w:b/>
          <w:bCs/>
          <w:color w:val="auto"/>
          <w:spacing w:val="-3"/>
          <w:sz w:val="24"/>
          <w:szCs w:val="24"/>
        </w:rPr>
        <w:br w:type="page"/>
      </w:r>
    </w:p>
    <w:p w14:paraId="1CDAFD6E">
      <w:pPr>
        <w:pStyle w:val="5"/>
        <w:spacing w:line="219" w:lineRule="auto"/>
        <w:ind w:left="0" w:firstLine="1880" w:firstLineChars="80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pacing w:val="-3"/>
          <w:sz w:val="24"/>
          <w:szCs w:val="24"/>
        </w:rPr>
        <w:t>第五部分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承包经费</w:t>
      </w:r>
      <w:r>
        <w:rPr>
          <w:rFonts w:hint="eastAsia" w:asciiTheme="minorEastAsia" w:hAnsiTheme="minorEastAsia" w:eastAsiaTheme="minorEastAsia" w:cstheme="minorEastAsia"/>
          <w:b/>
          <w:bCs/>
          <w:color w:val="auto"/>
          <w:spacing w:val="-3"/>
          <w:sz w:val="24"/>
          <w:szCs w:val="24"/>
          <w:lang w:val="en-US" w:eastAsia="zh-CN"/>
        </w:rPr>
        <w:t>及项目实施范围</w:t>
      </w:r>
    </w:p>
    <w:p w14:paraId="0DD894F5">
      <w:pPr>
        <w:pStyle w:val="5"/>
        <w:spacing w:before="212" w:line="380" w:lineRule="auto"/>
        <w:ind w:left="10" w:right="80" w:firstLine="478"/>
        <w:jc w:val="both"/>
        <w:rPr>
          <w:rFonts w:hint="eastAsia" w:asciiTheme="minorEastAsia" w:hAnsiTheme="minorEastAsia" w:eastAsiaTheme="minorEastAsia" w:cstheme="minorEastAsia"/>
          <w:color w:val="auto"/>
          <w:spacing w:val="-5"/>
          <w:sz w:val="24"/>
          <w:szCs w:val="24"/>
        </w:rPr>
      </w:pPr>
      <w:r>
        <w:rPr>
          <w:rFonts w:hint="eastAsia" w:asciiTheme="minorEastAsia" w:hAnsiTheme="minorEastAsia" w:eastAsiaTheme="minorEastAsia" w:cstheme="minorEastAsia"/>
          <w:b/>
          <w:bCs/>
          <w:color w:val="auto"/>
          <w:spacing w:val="-1"/>
          <w:sz w:val="24"/>
          <w:szCs w:val="24"/>
        </w:rPr>
        <w:t>第</w:t>
      </w:r>
      <w:r>
        <w:rPr>
          <w:rFonts w:hint="eastAsia" w:asciiTheme="minorEastAsia" w:hAnsiTheme="minorEastAsia" w:eastAsiaTheme="minorEastAsia" w:cstheme="minorEastAsia"/>
          <w:b/>
          <w:bCs/>
          <w:color w:val="auto"/>
          <w:spacing w:val="-1"/>
          <w:sz w:val="24"/>
          <w:szCs w:val="24"/>
          <w:lang w:val="en-US" w:eastAsia="zh-CN"/>
        </w:rPr>
        <w:t>五</w:t>
      </w:r>
      <w:r>
        <w:rPr>
          <w:rFonts w:hint="eastAsia" w:asciiTheme="minorEastAsia" w:hAnsiTheme="minorEastAsia" w:eastAsiaTheme="minorEastAsia" w:cstheme="minorEastAsia"/>
          <w:b/>
          <w:bCs/>
          <w:color w:val="auto"/>
          <w:spacing w:val="-1"/>
          <w:sz w:val="24"/>
          <w:szCs w:val="24"/>
        </w:rPr>
        <w:t>条</w:t>
      </w:r>
      <w:r>
        <w:rPr>
          <w:rFonts w:hint="eastAsia" w:asciiTheme="minorEastAsia" w:hAnsiTheme="minorEastAsia" w:eastAsiaTheme="minorEastAsia" w:cstheme="minorEastAsia"/>
          <w:color w:val="auto"/>
          <w:spacing w:val="-1"/>
          <w:sz w:val="24"/>
          <w:szCs w:val="24"/>
        </w:rPr>
        <w:t xml:space="preserve">  本合同承包总金额为</w:t>
      </w:r>
      <w:r>
        <w:rPr>
          <w:rFonts w:hint="eastAsia" w:asciiTheme="minorEastAsia" w:hAnsiTheme="minorEastAsia" w:eastAsiaTheme="minorEastAsia" w:cstheme="minorEastAsia"/>
          <w:color w:val="auto"/>
          <w:spacing w:val="-1"/>
          <w:sz w:val="24"/>
          <w:szCs w:val="24"/>
          <w:u w:val="single" w:color="auto"/>
        </w:rPr>
        <w:t>人民币       元（小写：</w:t>
      </w:r>
      <w:r>
        <w:rPr>
          <w:rFonts w:hint="eastAsia" w:asciiTheme="minorEastAsia" w:hAnsiTheme="minorEastAsia" w:eastAsiaTheme="minorEastAsia" w:cstheme="minorEastAsia"/>
          <w:color w:val="auto"/>
          <w:spacing w:val="-94"/>
          <w:sz w:val="24"/>
          <w:szCs w:val="24"/>
          <w:u w:val="single" w:color="auto"/>
        </w:rPr>
        <w:t xml:space="preserve"> </w:t>
      </w:r>
      <w:r>
        <w:rPr>
          <w:rFonts w:hint="eastAsia" w:asciiTheme="minorEastAsia" w:hAnsiTheme="minorEastAsia" w:eastAsiaTheme="minorEastAsia" w:cstheme="minorEastAsia"/>
          <w:color w:val="auto"/>
          <w:spacing w:val="-1"/>
          <w:sz w:val="24"/>
          <w:szCs w:val="24"/>
          <w:u w:val="single" w:color="auto"/>
        </w:rPr>
        <w:t>￥</w:t>
      </w:r>
      <w:r>
        <w:rPr>
          <w:rFonts w:hint="eastAsia" w:asciiTheme="minorEastAsia" w:hAnsiTheme="minorEastAsia" w:eastAsiaTheme="minorEastAsia" w:cstheme="minorEastAsia"/>
          <w:color w:val="auto"/>
          <w:spacing w:val="9"/>
          <w:sz w:val="24"/>
          <w:szCs w:val="24"/>
          <w:u w:val="single" w:color="auto"/>
        </w:rPr>
        <w:t xml:space="preserve">     </w:t>
      </w:r>
      <w:r>
        <w:rPr>
          <w:rFonts w:hint="eastAsia" w:asciiTheme="minorEastAsia" w:hAnsiTheme="minorEastAsia" w:eastAsiaTheme="minorEastAsia" w:cstheme="minorEastAsia"/>
          <w:color w:val="auto"/>
          <w:spacing w:val="-1"/>
          <w:sz w:val="24"/>
          <w:szCs w:val="24"/>
          <w:u w:val="single" w:color="auto"/>
        </w:rPr>
        <w:t>元/</w:t>
      </w:r>
      <w:r>
        <w:rPr>
          <w:rFonts w:hint="eastAsia" w:asciiTheme="minorEastAsia" w:hAnsiTheme="minorEastAsia" w:eastAsiaTheme="minorEastAsia" w:cstheme="minorEastAsia"/>
          <w:color w:val="auto"/>
          <w:spacing w:val="-1"/>
          <w:sz w:val="24"/>
          <w:szCs w:val="24"/>
          <w:u w:val="single" w:color="auto"/>
          <w:lang w:val="en-US" w:eastAsia="zh-CN"/>
        </w:rPr>
        <w:t>三</w:t>
      </w:r>
      <w:r>
        <w:rPr>
          <w:rFonts w:hint="eastAsia" w:asciiTheme="minorEastAsia" w:hAnsiTheme="minorEastAsia" w:eastAsiaTheme="minorEastAsia" w:cstheme="minorEastAsia"/>
          <w:color w:val="auto"/>
          <w:spacing w:val="-1"/>
          <w:sz w:val="24"/>
          <w:szCs w:val="24"/>
          <w:u w:val="single" w:color="auto"/>
        </w:rPr>
        <w:t>年</w:t>
      </w:r>
      <w:r>
        <w:rPr>
          <w:rFonts w:hint="eastAsia" w:asciiTheme="minorEastAsia" w:hAnsiTheme="minorEastAsia" w:eastAsiaTheme="minorEastAsia" w:cstheme="minorEastAsia"/>
          <w:color w:val="auto"/>
          <w:spacing w:val="9"/>
          <w:sz w:val="24"/>
          <w:szCs w:val="24"/>
          <w:u w:val="single" w:color="auto"/>
        </w:rPr>
        <w:t>）</w:t>
      </w:r>
      <w:r>
        <w:rPr>
          <w:rFonts w:hint="eastAsia" w:asciiTheme="minorEastAsia" w:hAnsiTheme="minorEastAsia" w:eastAsiaTheme="minorEastAsia" w:cstheme="minorEastAsia"/>
          <w:color w:val="auto"/>
          <w:spacing w:val="9"/>
          <w:sz w:val="24"/>
          <w:szCs w:val="24"/>
        </w:rPr>
        <w:t>，</w:t>
      </w:r>
      <w:r>
        <w:rPr>
          <w:rFonts w:hint="eastAsia" w:asciiTheme="minorEastAsia" w:hAnsiTheme="minorEastAsia" w:eastAsiaTheme="minorEastAsia" w:cstheme="minorEastAsia"/>
          <w:color w:val="auto"/>
          <w:spacing w:val="-1"/>
          <w:sz w:val="24"/>
          <w:szCs w:val="24"/>
        </w:rPr>
        <w:t>按承包期平均，每年承包金额</w:t>
      </w:r>
      <w:r>
        <w:rPr>
          <w:rFonts w:hint="eastAsia" w:asciiTheme="minorEastAsia" w:hAnsiTheme="minorEastAsia" w:eastAsiaTheme="minorEastAsia" w:cstheme="minorEastAsia"/>
          <w:color w:val="auto"/>
          <w:spacing w:val="-1"/>
          <w:sz w:val="24"/>
          <w:szCs w:val="24"/>
          <w:u w:val="single" w:color="auto"/>
        </w:rPr>
        <w:t>人民币       元（小写￥：    元/</w:t>
      </w:r>
      <w:r>
        <w:rPr>
          <w:rFonts w:hint="eastAsia" w:asciiTheme="minorEastAsia" w:hAnsiTheme="minorEastAsia" w:eastAsiaTheme="minorEastAsia" w:cstheme="minorEastAsia"/>
          <w:color w:val="auto"/>
          <w:spacing w:val="-1"/>
          <w:sz w:val="24"/>
          <w:szCs w:val="24"/>
          <w:u w:val="single" w:color="auto"/>
          <w:lang w:val="en-US" w:eastAsia="zh-CN"/>
        </w:rPr>
        <w:t>年</w:t>
      </w:r>
      <w:r>
        <w:rPr>
          <w:rFonts w:hint="eastAsia" w:asciiTheme="minorEastAsia" w:hAnsiTheme="minorEastAsia" w:eastAsiaTheme="minorEastAsia" w:cstheme="minorEastAsia"/>
          <w:color w:val="auto"/>
          <w:spacing w:val="-5"/>
          <w:sz w:val="24"/>
          <w:szCs w:val="24"/>
          <w:u w:val="single" w:color="auto"/>
        </w:rPr>
        <w:t>），</w:t>
      </w:r>
      <w:r>
        <w:rPr>
          <w:rFonts w:hint="eastAsia" w:asciiTheme="minorEastAsia" w:hAnsiTheme="minorEastAsia" w:eastAsiaTheme="minorEastAsia" w:cstheme="minorEastAsia"/>
          <w:color w:val="auto"/>
          <w:spacing w:val="-2"/>
          <w:sz w:val="24"/>
          <w:szCs w:val="24"/>
        </w:rPr>
        <w:t>每月承包金额</w:t>
      </w:r>
      <w:r>
        <w:rPr>
          <w:rFonts w:hint="eastAsia" w:asciiTheme="minorEastAsia" w:hAnsiTheme="minorEastAsia" w:eastAsiaTheme="minorEastAsia" w:cstheme="minorEastAsia"/>
          <w:color w:val="auto"/>
          <w:spacing w:val="-2"/>
          <w:sz w:val="24"/>
          <w:szCs w:val="24"/>
          <w:u w:val="single" w:color="auto"/>
        </w:rPr>
        <w:t>人民币</w:t>
      </w:r>
      <w:r>
        <w:rPr>
          <w:rFonts w:hint="eastAsia" w:asciiTheme="minorEastAsia" w:hAnsiTheme="minorEastAsia" w:eastAsiaTheme="minorEastAsia" w:cstheme="minorEastAsia"/>
          <w:color w:val="auto"/>
          <w:spacing w:val="-5"/>
          <w:sz w:val="24"/>
          <w:szCs w:val="24"/>
          <w:u w:val="single" w:color="auto"/>
        </w:rPr>
        <w:t>元（小写￥：</w:t>
      </w:r>
      <w:r>
        <w:rPr>
          <w:rFonts w:hint="eastAsia" w:asciiTheme="minorEastAsia" w:hAnsiTheme="minorEastAsia" w:eastAsiaTheme="minorEastAsia" w:cstheme="minorEastAsia"/>
          <w:color w:val="auto"/>
          <w:spacing w:val="10"/>
          <w:sz w:val="24"/>
          <w:szCs w:val="24"/>
          <w:u w:val="single" w:color="auto"/>
        </w:rPr>
        <w:t xml:space="preserve">    </w:t>
      </w:r>
      <w:r>
        <w:rPr>
          <w:rFonts w:hint="eastAsia" w:asciiTheme="minorEastAsia" w:hAnsiTheme="minorEastAsia" w:eastAsiaTheme="minorEastAsia" w:cstheme="minorEastAsia"/>
          <w:color w:val="auto"/>
          <w:spacing w:val="-5"/>
          <w:sz w:val="24"/>
          <w:szCs w:val="24"/>
          <w:u w:val="single" w:color="auto"/>
        </w:rPr>
        <w:t>元/月）</w:t>
      </w:r>
      <w:r>
        <w:rPr>
          <w:rFonts w:hint="eastAsia" w:asciiTheme="minorEastAsia" w:hAnsiTheme="minorEastAsia" w:eastAsiaTheme="minorEastAsia" w:cstheme="minorEastAsia"/>
          <w:color w:val="auto"/>
          <w:spacing w:val="-5"/>
          <w:sz w:val="24"/>
          <w:szCs w:val="24"/>
        </w:rPr>
        <w:t>。</w:t>
      </w:r>
    </w:p>
    <w:p w14:paraId="603F9544">
      <w:pPr>
        <w:pStyle w:val="5"/>
        <w:spacing w:before="212" w:line="380" w:lineRule="auto"/>
        <w:ind w:left="10" w:right="80" w:firstLine="478"/>
        <w:jc w:val="both"/>
        <w:rPr>
          <w:rFonts w:hint="eastAsia" w:asciiTheme="minorEastAsia" w:hAnsiTheme="minorEastAsia" w:eastAsiaTheme="minorEastAsia" w:cstheme="minorEastAsia"/>
          <w:b/>
          <w:bCs/>
          <w:color w:val="auto"/>
          <w:spacing w:val="-1"/>
          <w:sz w:val="24"/>
          <w:szCs w:val="24"/>
          <w:lang w:val="en-US" w:eastAsia="zh-CN"/>
        </w:rPr>
      </w:pPr>
      <w:r>
        <w:rPr>
          <w:rFonts w:hint="eastAsia" w:asciiTheme="minorEastAsia" w:hAnsiTheme="minorEastAsia" w:eastAsiaTheme="minorEastAsia" w:cstheme="minorEastAsia"/>
          <w:b/>
          <w:bCs/>
          <w:color w:val="auto"/>
          <w:spacing w:val="-1"/>
          <w:sz w:val="24"/>
          <w:szCs w:val="24"/>
        </w:rPr>
        <w:t>第</w:t>
      </w:r>
      <w:r>
        <w:rPr>
          <w:rFonts w:hint="eastAsia" w:asciiTheme="minorEastAsia" w:hAnsiTheme="minorEastAsia" w:eastAsiaTheme="minorEastAsia" w:cstheme="minorEastAsia"/>
          <w:b/>
          <w:bCs/>
          <w:color w:val="auto"/>
          <w:spacing w:val="-1"/>
          <w:sz w:val="24"/>
          <w:szCs w:val="24"/>
          <w:lang w:val="en-US" w:eastAsia="zh-CN"/>
        </w:rPr>
        <w:t>六</w:t>
      </w:r>
      <w:r>
        <w:rPr>
          <w:rFonts w:hint="eastAsia" w:asciiTheme="minorEastAsia" w:hAnsiTheme="minorEastAsia" w:eastAsiaTheme="minorEastAsia" w:cstheme="minorEastAsia"/>
          <w:b/>
          <w:bCs/>
          <w:color w:val="auto"/>
          <w:spacing w:val="-1"/>
          <w:sz w:val="24"/>
          <w:szCs w:val="24"/>
        </w:rPr>
        <w:t>条</w:t>
      </w:r>
      <w:r>
        <w:rPr>
          <w:rFonts w:hint="eastAsia" w:asciiTheme="minorEastAsia" w:hAnsiTheme="minorEastAsia" w:eastAsiaTheme="minorEastAsia" w:cstheme="minorEastAsia"/>
          <w:b/>
          <w:bCs/>
          <w:color w:val="auto"/>
          <w:spacing w:val="-1"/>
          <w:sz w:val="24"/>
          <w:szCs w:val="24"/>
          <w:lang w:val="en-US" w:eastAsia="zh-CN"/>
        </w:rPr>
        <w:t xml:space="preserve">  项目实施范围：</w:t>
      </w:r>
    </w:p>
    <w:p w14:paraId="04A1E019">
      <w:pPr>
        <w:pStyle w:val="5"/>
        <w:spacing w:before="213" w:line="302" w:lineRule="auto"/>
        <w:ind w:left="7" w:right="80" w:firstLine="498"/>
        <w:rPr>
          <w:rFonts w:hint="eastAsia" w:asciiTheme="minorEastAsia" w:hAnsiTheme="minorEastAsia" w:eastAsiaTheme="minorEastAsia" w:cstheme="minorEastAsia"/>
          <w:color w:val="auto"/>
          <w:spacing w:val="-2"/>
          <w:sz w:val="24"/>
          <w:szCs w:val="24"/>
          <w:lang w:val="en-US" w:eastAsia="zh-CN"/>
        </w:rPr>
      </w:pPr>
      <w:r>
        <w:rPr>
          <w:rFonts w:hint="eastAsia" w:asciiTheme="minorEastAsia" w:hAnsiTheme="minorEastAsia" w:eastAsiaTheme="minorEastAsia" w:cstheme="minorEastAsia"/>
          <w:color w:val="auto"/>
          <w:spacing w:val="-2"/>
          <w:sz w:val="24"/>
          <w:szCs w:val="24"/>
          <w:lang w:val="en-US" w:eastAsia="zh-CN"/>
        </w:rPr>
        <w:t>（1）各镇镇墟范围内的主要交通干道、“墙到墙”、绿化以及所辖村村通道路的清扫保洁；</w:t>
      </w:r>
    </w:p>
    <w:p w14:paraId="6B550F7E">
      <w:pPr>
        <w:pStyle w:val="5"/>
        <w:spacing w:before="213" w:line="302" w:lineRule="auto"/>
        <w:ind w:left="7" w:right="80" w:firstLine="498"/>
        <w:rPr>
          <w:rFonts w:hint="eastAsia" w:asciiTheme="minorEastAsia" w:hAnsiTheme="minorEastAsia" w:eastAsiaTheme="minorEastAsia" w:cstheme="minorEastAsia"/>
          <w:color w:val="auto"/>
          <w:spacing w:val="-2"/>
          <w:sz w:val="24"/>
          <w:szCs w:val="24"/>
          <w:lang w:val="en-US" w:eastAsia="zh-CN"/>
        </w:rPr>
      </w:pPr>
      <w:r>
        <w:rPr>
          <w:rFonts w:hint="eastAsia" w:asciiTheme="minorEastAsia" w:hAnsiTheme="minorEastAsia" w:eastAsiaTheme="minorEastAsia" w:cstheme="minorEastAsia"/>
          <w:color w:val="auto"/>
          <w:spacing w:val="-2"/>
          <w:sz w:val="24"/>
          <w:szCs w:val="24"/>
          <w:lang w:val="en-US" w:eastAsia="zh-CN"/>
        </w:rPr>
        <w:t>（2）各镇辖区内（含镇墟及农村）的生活垃圾收集清运；</w:t>
      </w:r>
    </w:p>
    <w:p w14:paraId="39BF55B6">
      <w:pPr>
        <w:pStyle w:val="5"/>
        <w:spacing w:before="213" w:line="302" w:lineRule="auto"/>
        <w:ind w:left="7" w:right="80" w:firstLine="498"/>
        <w:rPr>
          <w:rFonts w:hint="eastAsia" w:asciiTheme="minorEastAsia" w:hAnsiTheme="minorEastAsia" w:eastAsiaTheme="minorEastAsia" w:cstheme="minorEastAsia"/>
          <w:color w:val="auto"/>
          <w:spacing w:val="-2"/>
          <w:sz w:val="24"/>
          <w:szCs w:val="24"/>
          <w:lang w:val="en-US" w:eastAsia="zh-CN"/>
        </w:rPr>
      </w:pPr>
      <w:r>
        <w:rPr>
          <w:rFonts w:hint="eastAsia" w:asciiTheme="minorEastAsia" w:hAnsiTheme="minorEastAsia" w:eastAsiaTheme="minorEastAsia" w:cstheme="minorEastAsia"/>
          <w:color w:val="auto"/>
          <w:spacing w:val="-2"/>
          <w:sz w:val="24"/>
          <w:szCs w:val="24"/>
          <w:lang w:val="en-US" w:eastAsia="zh-CN"/>
        </w:rPr>
        <w:t>（3）各镇镇墟范围内公共厕所运维管理；</w:t>
      </w:r>
    </w:p>
    <w:p w14:paraId="09FC1A19">
      <w:pPr>
        <w:pStyle w:val="5"/>
        <w:spacing w:before="213" w:line="302" w:lineRule="auto"/>
        <w:ind w:left="7" w:right="80" w:firstLine="498"/>
        <w:rPr>
          <w:rFonts w:hint="eastAsia" w:asciiTheme="minorEastAsia" w:hAnsiTheme="minorEastAsia" w:eastAsiaTheme="minorEastAsia" w:cstheme="minorEastAsia"/>
          <w:color w:val="auto"/>
          <w:spacing w:val="-5"/>
          <w:sz w:val="24"/>
          <w:szCs w:val="24"/>
        </w:rPr>
      </w:pPr>
      <w:r>
        <w:rPr>
          <w:rFonts w:hint="eastAsia" w:asciiTheme="minorEastAsia" w:hAnsiTheme="minorEastAsia" w:eastAsiaTheme="minorEastAsia" w:cstheme="minorEastAsia"/>
          <w:color w:val="auto"/>
          <w:spacing w:val="-2"/>
          <w:sz w:val="24"/>
          <w:szCs w:val="24"/>
          <w:lang w:val="en-US" w:eastAsia="zh-CN"/>
        </w:rPr>
        <w:t>（4）特殊情况下的环卫保障。</w:t>
      </w:r>
    </w:p>
    <w:p w14:paraId="02796315">
      <w:pPr>
        <w:pStyle w:val="5"/>
        <w:spacing w:line="219" w:lineRule="auto"/>
        <w:ind w:left="0" w:firstLine="1645" w:firstLineChars="7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第六部分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权利义务</w:t>
      </w:r>
    </w:p>
    <w:p w14:paraId="4AD83A33">
      <w:pPr>
        <w:pStyle w:val="5"/>
        <w:spacing w:before="212"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7"/>
          <w:sz w:val="24"/>
          <w:szCs w:val="24"/>
        </w:rPr>
        <w:t>第</w:t>
      </w:r>
      <w:r>
        <w:rPr>
          <w:rFonts w:hint="eastAsia" w:asciiTheme="minorEastAsia" w:hAnsiTheme="minorEastAsia" w:eastAsiaTheme="minorEastAsia" w:cstheme="minorEastAsia"/>
          <w:b/>
          <w:bCs/>
          <w:color w:val="auto"/>
          <w:spacing w:val="-7"/>
          <w:sz w:val="24"/>
          <w:szCs w:val="24"/>
          <w:lang w:val="en-US" w:eastAsia="zh-CN"/>
        </w:rPr>
        <w:t>七</w:t>
      </w:r>
      <w:r>
        <w:rPr>
          <w:rFonts w:hint="eastAsia" w:asciiTheme="minorEastAsia" w:hAnsiTheme="minorEastAsia" w:eastAsiaTheme="minorEastAsia" w:cstheme="minorEastAsia"/>
          <w:b/>
          <w:bCs/>
          <w:color w:val="auto"/>
          <w:spacing w:val="-7"/>
          <w:sz w:val="24"/>
          <w:szCs w:val="24"/>
        </w:rPr>
        <w:t>条</w:t>
      </w:r>
      <w:r>
        <w:rPr>
          <w:rFonts w:hint="eastAsia" w:asciiTheme="minorEastAsia" w:hAnsiTheme="minorEastAsia" w:eastAsiaTheme="minorEastAsia" w:cstheme="minorEastAsia"/>
          <w:color w:val="auto"/>
          <w:spacing w:val="23"/>
          <w:sz w:val="24"/>
          <w:szCs w:val="24"/>
        </w:rPr>
        <w:t xml:space="preserve">  </w:t>
      </w:r>
      <w:r>
        <w:rPr>
          <w:rFonts w:hint="eastAsia" w:asciiTheme="minorEastAsia" w:hAnsiTheme="minorEastAsia" w:eastAsiaTheme="minorEastAsia" w:cstheme="minorEastAsia"/>
          <w:color w:val="auto"/>
          <w:spacing w:val="-7"/>
          <w:sz w:val="24"/>
          <w:szCs w:val="24"/>
        </w:rPr>
        <w:t>甲方权利义务</w:t>
      </w:r>
    </w:p>
    <w:p w14:paraId="64FF2628">
      <w:pPr>
        <w:pStyle w:val="5"/>
        <w:spacing w:before="213" w:line="302" w:lineRule="auto"/>
        <w:ind w:left="7" w:right="80" w:firstLine="49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1.</w:t>
      </w:r>
      <w:r>
        <w:rPr>
          <w:rFonts w:hint="eastAsia" w:asciiTheme="minorEastAsia" w:hAnsiTheme="minorEastAsia" w:eastAsiaTheme="minorEastAsia" w:cstheme="minorEastAsia"/>
          <w:color w:val="auto"/>
          <w:spacing w:val="-2"/>
          <w:sz w:val="24"/>
          <w:szCs w:val="24"/>
          <w:lang w:eastAsia="zh-CN"/>
        </w:rPr>
        <w:t>本项目服务费根据采购结果确定，费用按季度支付。项目服务费由区环境卫生管理局根据当季度综合绩效考核结果向服务单位进行支付。</w:t>
      </w:r>
    </w:p>
    <w:p w14:paraId="41A4DEDB">
      <w:pPr>
        <w:pStyle w:val="5"/>
        <w:spacing w:before="220" w:line="351" w:lineRule="auto"/>
        <w:ind w:left="9" w:right="72" w:firstLine="48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2.甲方及其上级环卫行政主管部门和环卫专</w:t>
      </w:r>
      <w:r>
        <w:rPr>
          <w:rFonts w:hint="eastAsia" w:asciiTheme="minorEastAsia" w:hAnsiTheme="minorEastAsia" w:eastAsiaTheme="minorEastAsia" w:cstheme="minorEastAsia"/>
          <w:color w:val="auto"/>
          <w:spacing w:val="-2"/>
          <w:sz w:val="24"/>
          <w:szCs w:val="24"/>
        </w:rPr>
        <w:t>业管理部门有权组织对乙方作业质量、</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2"/>
          <w:sz w:val="24"/>
          <w:szCs w:val="24"/>
        </w:rPr>
        <w:t>文明、安全作业情况进行的定期检查考评，有权查阅、复制承包项目的有关文件和资料以及进入现场开展检查，但不得干扰乙方的正常作业。</w:t>
      </w:r>
      <w:r>
        <w:rPr>
          <w:rFonts w:hint="eastAsia" w:asciiTheme="minorEastAsia" w:hAnsiTheme="minorEastAsia" w:eastAsiaTheme="minorEastAsia" w:cstheme="minorEastAsia"/>
          <w:color w:val="auto"/>
          <w:spacing w:val="-2"/>
          <w:sz w:val="24"/>
          <w:szCs w:val="24"/>
          <w:lang w:eastAsia="zh-CN"/>
        </w:rPr>
        <w:t>采取市、区城市管理部门两级考核的方式，负责组织实施本项目环境卫生保洁作业质量检查考评工作</w:t>
      </w:r>
      <w:r>
        <w:rPr>
          <w:rFonts w:hint="eastAsia" w:asciiTheme="minorEastAsia" w:hAnsiTheme="minorEastAsia" w:eastAsiaTheme="minorEastAsia" w:cstheme="minorEastAsia"/>
          <w:color w:val="auto"/>
          <w:spacing w:val="-2"/>
          <w:sz w:val="24"/>
          <w:szCs w:val="24"/>
        </w:rPr>
        <w:t>，并由甲方根据考核结果核算服务费用。</w:t>
      </w:r>
    </w:p>
    <w:p w14:paraId="55BE8798">
      <w:pPr>
        <w:pStyle w:val="5"/>
        <w:spacing w:before="220" w:line="351" w:lineRule="auto"/>
        <w:ind w:left="9" w:right="72" w:firstLine="48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3.因乙方经营管理不善,发生重大质量或安全生产事故,乙方擅自停业歇业,不承担承包作业超过1天的或乙方作业过</w:t>
      </w:r>
      <w:r>
        <w:rPr>
          <w:rFonts w:hint="eastAsia" w:asciiTheme="minorEastAsia" w:hAnsiTheme="minorEastAsia" w:eastAsiaTheme="minorEastAsia" w:cstheme="minorEastAsia"/>
          <w:color w:val="auto"/>
          <w:spacing w:val="-1"/>
          <w:sz w:val="24"/>
          <w:szCs w:val="24"/>
          <w:lang w:eastAsia="zh-CN"/>
        </w:rPr>
        <w:t>程中</w:t>
      </w:r>
      <w:r>
        <w:rPr>
          <w:rFonts w:hint="eastAsia" w:asciiTheme="minorEastAsia" w:hAnsiTheme="minorEastAsia" w:eastAsiaTheme="minorEastAsia" w:cstheme="minorEastAsia"/>
          <w:color w:val="auto"/>
          <w:spacing w:val="-1"/>
          <w:sz w:val="24"/>
          <w:szCs w:val="24"/>
        </w:rPr>
        <w:t>造成重大环境污染或其他重大、紧急可能危及</w:t>
      </w:r>
      <w:r>
        <w:rPr>
          <w:rFonts w:hint="eastAsia" w:asciiTheme="minorEastAsia" w:hAnsiTheme="minorEastAsia" w:eastAsiaTheme="minorEastAsia" w:cstheme="minorEastAsia"/>
          <w:color w:val="auto"/>
          <w:spacing w:val="-1"/>
          <w:sz w:val="24"/>
          <w:szCs w:val="24"/>
          <w:lang w:val="en-US" w:eastAsia="zh-CN"/>
        </w:rPr>
        <w:t>公共</w:t>
      </w:r>
      <w:r>
        <w:rPr>
          <w:rFonts w:hint="eastAsia" w:asciiTheme="minorEastAsia" w:hAnsiTheme="minorEastAsia" w:eastAsiaTheme="minorEastAsia" w:cstheme="minorEastAsia"/>
          <w:color w:val="auto"/>
          <w:spacing w:val="-1"/>
          <w:sz w:val="24"/>
          <w:szCs w:val="24"/>
        </w:rPr>
        <w:t>安全行为的,甲方可以指派他人临时接管乙方的承包项目。 乙方必须赔偿因自己的责任所造成的经济损失。事故处理后是否恢复履行协议或解除协议由甲方决定。</w:t>
      </w:r>
    </w:p>
    <w:p w14:paraId="5D527B75">
      <w:pPr>
        <w:pStyle w:val="5"/>
        <w:spacing w:before="217" w:line="329" w:lineRule="auto"/>
        <w:ind w:left="9" w:right="80" w:firstLine="47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4.甲方有权协同劳动监察部门对乙方用工情况进行检查，有权要求乙方按招标要求</w:t>
      </w:r>
      <w:r>
        <w:rPr>
          <w:rFonts w:hint="eastAsia" w:asciiTheme="minorEastAsia" w:hAnsiTheme="minorEastAsia" w:eastAsiaTheme="minorEastAsia" w:cstheme="minorEastAsia"/>
          <w:color w:val="auto"/>
          <w:spacing w:val="16"/>
          <w:sz w:val="24"/>
          <w:szCs w:val="24"/>
        </w:rPr>
        <w:t xml:space="preserve"> </w:t>
      </w:r>
      <w:r>
        <w:rPr>
          <w:rFonts w:hint="eastAsia" w:asciiTheme="minorEastAsia" w:hAnsiTheme="minorEastAsia" w:eastAsiaTheme="minorEastAsia" w:cstheme="minorEastAsia"/>
          <w:color w:val="auto"/>
          <w:spacing w:val="-2"/>
          <w:sz w:val="24"/>
          <w:szCs w:val="24"/>
        </w:rPr>
        <w:t>保障作业人员的福利待遇。甲方不承担任何由于乙方未办理员工劳动关系由此而产生的纠纷等责任。</w:t>
      </w:r>
    </w:p>
    <w:p w14:paraId="146BD093">
      <w:pPr>
        <w:pStyle w:val="5"/>
        <w:spacing w:before="217" w:line="219" w:lineRule="auto"/>
        <w:ind w:left="4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5.遇重大活动或检查突击任务需要时，要求乙方做出应急响应的权利甲方</w:t>
      </w:r>
      <w:r>
        <w:rPr>
          <w:rFonts w:hint="eastAsia" w:asciiTheme="minorEastAsia" w:hAnsiTheme="minorEastAsia" w:eastAsiaTheme="minorEastAsia" w:cstheme="minorEastAsia"/>
          <w:color w:val="auto"/>
          <w:spacing w:val="-1"/>
          <w:sz w:val="24"/>
          <w:szCs w:val="24"/>
        </w:rPr>
        <w:t>应及时通知乙方做好重点保障工作。</w:t>
      </w:r>
    </w:p>
    <w:p w14:paraId="1BAFE189">
      <w:pPr>
        <w:pStyle w:val="5"/>
        <w:spacing w:before="215" w:line="219" w:lineRule="auto"/>
        <w:ind w:left="49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6.有权依据客观真实的社会经济环境和市域发展规划，对于项目服务内容及范围有进行变更的权利。</w:t>
      </w:r>
    </w:p>
    <w:p w14:paraId="7050A08D">
      <w:pPr>
        <w:pStyle w:val="5"/>
        <w:spacing w:before="215" w:line="219" w:lineRule="auto"/>
        <w:ind w:left="49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7.有权要求本项目依法接受审计机关的审计监督。</w:t>
      </w:r>
    </w:p>
    <w:p w14:paraId="5F593FB0">
      <w:pPr>
        <w:pStyle w:val="5"/>
        <w:spacing w:before="215" w:line="219" w:lineRule="auto"/>
        <w:ind w:left="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val="en-US" w:eastAsia="zh-CN"/>
        </w:rPr>
        <w:t>8.</w:t>
      </w:r>
      <w:r>
        <w:rPr>
          <w:rFonts w:hint="eastAsia" w:asciiTheme="minorEastAsia" w:hAnsiTheme="minorEastAsia" w:eastAsiaTheme="minorEastAsia" w:cstheme="minorEastAsia"/>
          <w:color w:val="auto"/>
          <w:spacing w:val="-1"/>
          <w:sz w:val="24"/>
          <w:szCs w:val="24"/>
        </w:rPr>
        <w:t>甲方应积极协助乙方解决在承包期内出现的相关问题。</w:t>
      </w:r>
    </w:p>
    <w:p w14:paraId="63999196">
      <w:pPr>
        <w:pStyle w:val="5"/>
        <w:spacing w:before="214" w:line="220" w:lineRule="auto"/>
        <w:ind w:left="49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lang w:val="en-US" w:eastAsia="zh-CN"/>
        </w:rPr>
        <w:t>9</w:t>
      </w:r>
      <w:r>
        <w:rPr>
          <w:rFonts w:hint="eastAsia" w:asciiTheme="minorEastAsia" w:hAnsiTheme="minorEastAsia" w:eastAsiaTheme="minorEastAsia" w:cstheme="minorEastAsia"/>
          <w:color w:val="auto"/>
          <w:spacing w:val="-3"/>
          <w:sz w:val="24"/>
          <w:szCs w:val="24"/>
        </w:rPr>
        <w:t>.其他：</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z w:val="24"/>
          <w:szCs w:val="24"/>
          <w:u w:val="single" w:color="auto"/>
          <w:lang w:val="en-US" w:eastAsia="zh-CN"/>
        </w:rPr>
        <w:t>/</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3"/>
          <w:sz w:val="24"/>
          <w:szCs w:val="24"/>
        </w:rPr>
        <w:t>。</w:t>
      </w:r>
    </w:p>
    <w:p w14:paraId="7C58ED26">
      <w:pPr>
        <w:pStyle w:val="5"/>
        <w:spacing w:before="216"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第</w:t>
      </w:r>
      <w:r>
        <w:rPr>
          <w:rFonts w:hint="eastAsia" w:asciiTheme="minorEastAsia" w:hAnsiTheme="minorEastAsia" w:eastAsiaTheme="minorEastAsia" w:cstheme="minorEastAsia"/>
          <w:b/>
          <w:bCs/>
          <w:color w:val="auto"/>
          <w:spacing w:val="-5"/>
          <w:sz w:val="24"/>
          <w:szCs w:val="24"/>
          <w:lang w:val="en-US" w:eastAsia="zh-CN"/>
        </w:rPr>
        <w:t>八</w:t>
      </w:r>
      <w:r>
        <w:rPr>
          <w:rFonts w:hint="eastAsia" w:asciiTheme="minorEastAsia" w:hAnsiTheme="minorEastAsia" w:eastAsiaTheme="minorEastAsia" w:cstheme="minorEastAsia"/>
          <w:b/>
          <w:bCs/>
          <w:color w:val="auto"/>
          <w:spacing w:val="-5"/>
          <w:sz w:val="24"/>
          <w:szCs w:val="24"/>
        </w:rPr>
        <w:t>条</w:t>
      </w:r>
      <w:r>
        <w:rPr>
          <w:rFonts w:hint="eastAsia" w:asciiTheme="minorEastAsia" w:hAnsiTheme="minorEastAsia" w:eastAsiaTheme="minorEastAsia" w:cstheme="minorEastAsia"/>
          <w:color w:val="auto"/>
          <w:spacing w:val="17"/>
          <w:sz w:val="24"/>
          <w:szCs w:val="24"/>
        </w:rPr>
        <w:t xml:space="preserve">  </w:t>
      </w:r>
      <w:r>
        <w:rPr>
          <w:rFonts w:hint="eastAsia" w:asciiTheme="minorEastAsia" w:hAnsiTheme="minorEastAsia" w:eastAsiaTheme="minorEastAsia" w:cstheme="minorEastAsia"/>
          <w:color w:val="auto"/>
          <w:spacing w:val="-5"/>
          <w:sz w:val="24"/>
          <w:szCs w:val="24"/>
        </w:rPr>
        <w:t>乙方权利义务</w:t>
      </w:r>
    </w:p>
    <w:p w14:paraId="2CAC65DC">
      <w:pPr>
        <w:pStyle w:val="5"/>
        <w:spacing w:before="123" w:line="294" w:lineRule="auto"/>
        <w:ind w:right="80" w:firstLine="468" w:firstLineChars="20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3"/>
          <w:sz w:val="24"/>
          <w:szCs w:val="24"/>
        </w:rPr>
        <w:t>1.乙方必须依照本合同规定的作业形式、作业质量标准及行业有关作业规范、作业</w:t>
      </w:r>
      <w:r>
        <w:rPr>
          <w:rFonts w:hint="eastAsia" w:asciiTheme="minorEastAsia" w:hAnsiTheme="minorEastAsia" w:eastAsiaTheme="minorEastAsia" w:cstheme="minorEastAsia"/>
          <w:color w:val="auto"/>
          <w:sz w:val="24"/>
          <w:szCs w:val="24"/>
        </w:rPr>
        <w:t>质量标准，按时、保质、保量完成所承包作业项</w:t>
      </w:r>
      <w:r>
        <w:rPr>
          <w:rFonts w:hint="eastAsia" w:asciiTheme="minorEastAsia" w:hAnsiTheme="minorEastAsia" w:eastAsiaTheme="minorEastAsia" w:cstheme="minorEastAsia"/>
          <w:color w:val="auto"/>
          <w:spacing w:val="-1"/>
          <w:sz w:val="24"/>
          <w:szCs w:val="24"/>
        </w:rPr>
        <w:t>目范围、承包事项的工作。</w:t>
      </w:r>
    </w:p>
    <w:p w14:paraId="495A995C">
      <w:pPr>
        <w:pStyle w:val="5"/>
        <w:spacing w:before="123" w:line="294" w:lineRule="auto"/>
        <w:ind w:right="80" w:firstLine="472"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2.乙方及其雇用的员工应严格遵守国家的法律、法规、村规民约，如果乙方及其所</w:t>
      </w:r>
      <w:r>
        <w:rPr>
          <w:rFonts w:hint="eastAsia" w:asciiTheme="minorEastAsia" w:hAnsiTheme="minorEastAsia" w:eastAsiaTheme="minorEastAsia" w:cstheme="minorEastAsia"/>
          <w:color w:val="auto"/>
          <w:sz w:val="24"/>
          <w:szCs w:val="24"/>
        </w:rPr>
        <w:t>雇用的工人违反法律、法规和相关规定，所造成的后果由</w:t>
      </w:r>
      <w:r>
        <w:rPr>
          <w:rFonts w:hint="eastAsia" w:asciiTheme="minorEastAsia" w:hAnsiTheme="minorEastAsia" w:eastAsiaTheme="minorEastAsia" w:cstheme="minorEastAsia"/>
          <w:color w:val="auto"/>
          <w:spacing w:val="-1"/>
          <w:sz w:val="24"/>
          <w:szCs w:val="24"/>
        </w:rPr>
        <w:t>其自行负责，与甲方无关。</w:t>
      </w:r>
    </w:p>
    <w:p w14:paraId="5615CCEA">
      <w:pPr>
        <w:pStyle w:val="5"/>
        <w:spacing w:before="196" w:line="339" w:lineRule="auto"/>
        <w:ind w:left="11" w:right="72" w:firstLine="48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3.乙方必须根据国家、省、地方和本市环卫行政主管部门、环卫专业管理部门颁布</w:t>
      </w:r>
      <w:r>
        <w:rPr>
          <w:rFonts w:hint="eastAsia" w:asciiTheme="minorEastAsia" w:hAnsiTheme="minorEastAsia" w:eastAsiaTheme="minorEastAsia" w:cstheme="minorEastAsia"/>
          <w:color w:val="auto"/>
          <w:spacing w:val="-1"/>
          <w:sz w:val="24"/>
          <w:szCs w:val="24"/>
        </w:rPr>
        <w:t>的各项环卫作业规范、安全规范、质量标准建立自</w:t>
      </w:r>
      <w:r>
        <w:rPr>
          <w:rFonts w:hint="eastAsia" w:asciiTheme="minorEastAsia" w:hAnsiTheme="minorEastAsia" w:eastAsiaTheme="minorEastAsia" w:cstheme="minorEastAsia"/>
          <w:color w:val="auto"/>
          <w:spacing w:val="-2"/>
          <w:sz w:val="24"/>
          <w:szCs w:val="24"/>
        </w:rPr>
        <w:t>身的运营管理机制和质量检查机制、实行自查自纠；若出现严重的质量问题或安全事故，在采取措施补救的同时，当日应向甲方及其市环卫专业管理部门报告；若出现紧急事故，应在</w:t>
      </w:r>
      <w:r>
        <w:rPr>
          <w:rFonts w:hint="eastAsia" w:asciiTheme="minorEastAsia" w:hAnsiTheme="minorEastAsia" w:eastAsiaTheme="minorEastAsia" w:cstheme="minorEastAsia"/>
          <w:color w:val="auto"/>
          <w:spacing w:val="-46"/>
          <w:sz w:val="24"/>
          <w:szCs w:val="24"/>
        </w:rPr>
        <w:t xml:space="preserve"> </w:t>
      </w:r>
      <w:r>
        <w:rPr>
          <w:rFonts w:hint="eastAsia" w:asciiTheme="minorEastAsia" w:hAnsiTheme="minorEastAsia" w:eastAsiaTheme="minorEastAsia" w:cstheme="minorEastAsia"/>
          <w:color w:val="auto"/>
          <w:spacing w:val="-2"/>
          <w:sz w:val="24"/>
          <w:szCs w:val="24"/>
        </w:rPr>
        <w:t>5</w:t>
      </w:r>
      <w:r>
        <w:rPr>
          <w:rFonts w:hint="eastAsia" w:asciiTheme="minorEastAsia" w:hAnsiTheme="minorEastAsia" w:eastAsiaTheme="minorEastAsia" w:cstheme="minorEastAsia"/>
          <w:color w:val="auto"/>
          <w:spacing w:val="-44"/>
          <w:sz w:val="24"/>
          <w:szCs w:val="24"/>
        </w:rPr>
        <w:t xml:space="preserve"> </w:t>
      </w:r>
      <w:r>
        <w:rPr>
          <w:rFonts w:hint="eastAsia" w:asciiTheme="minorEastAsia" w:hAnsiTheme="minorEastAsia" w:eastAsiaTheme="minorEastAsia" w:cstheme="minorEastAsia"/>
          <w:color w:val="auto"/>
          <w:spacing w:val="-3"/>
          <w:sz w:val="24"/>
          <w:szCs w:val="24"/>
        </w:rPr>
        <w:t>小时内报告环卫行政主管</w:t>
      </w:r>
      <w:r>
        <w:rPr>
          <w:rFonts w:hint="eastAsia" w:asciiTheme="minorEastAsia" w:hAnsiTheme="minorEastAsia" w:eastAsiaTheme="minorEastAsia" w:cstheme="minorEastAsia"/>
          <w:color w:val="auto"/>
          <w:spacing w:val="-5"/>
          <w:sz w:val="24"/>
          <w:szCs w:val="24"/>
        </w:rPr>
        <w:t>部门。</w:t>
      </w:r>
    </w:p>
    <w:p w14:paraId="254624B1">
      <w:pPr>
        <w:pStyle w:val="5"/>
        <w:spacing w:before="193" w:line="332" w:lineRule="auto"/>
        <w:ind w:left="9" w:right="72" w:firstLine="47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4.乙方必须按国家的劳动法律法规规定与企业员工确立合法的劳资关系，签订用工劳务合同，为企业员工办理养老、医疗等基本社会保险，并为作业人员办理有关工伤人</w:t>
      </w:r>
      <w:r>
        <w:rPr>
          <w:rFonts w:hint="eastAsia" w:asciiTheme="minorEastAsia" w:hAnsiTheme="minorEastAsia" w:eastAsiaTheme="minorEastAsia" w:cstheme="minorEastAsia"/>
          <w:color w:val="auto"/>
          <w:spacing w:val="16"/>
          <w:sz w:val="24"/>
          <w:szCs w:val="24"/>
        </w:rPr>
        <w:t xml:space="preserve"> </w:t>
      </w:r>
      <w:r>
        <w:rPr>
          <w:rFonts w:hint="eastAsia" w:asciiTheme="minorEastAsia" w:hAnsiTheme="minorEastAsia" w:eastAsiaTheme="minorEastAsia" w:cstheme="minorEastAsia"/>
          <w:color w:val="auto"/>
          <w:spacing w:val="-1"/>
          <w:sz w:val="24"/>
          <w:szCs w:val="24"/>
        </w:rPr>
        <w:t>身意外保险手续。乙方与工人签订的用工劳务合同及人</w:t>
      </w:r>
      <w:r>
        <w:rPr>
          <w:rFonts w:hint="eastAsia" w:asciiTheme="minorEastAsia" w:hAnsiTheme="minorEastAsia" w:eastAsiaTheme="minorEastAsia" w:cstheme="minorEastAsia"/>
          <w:color w:val="auto"/>
          <w:spacing w:val="-2"/>
          <w:sz w:val="24"/>
          <w:szCs w:val="24"/>
        </w:rPr>
        <w:t>身意外保险手续应送甲方备案。</w:t>
      </w:r>
      <w:r>
        <w:rPr>
          <w:rFonts w:hint="eastAsia" w:asciiTheme="minorEastAsia" w:hAnsiTheme="minorEastAsia" w:eastAsiaTheme="minorEastAsia" w:cstheme="minorEastAsia"/>
          <w:color w:val="auto"/>
          <w:sz w:val="24"/>
          <w:szCs w:val="24"/>
        </w:rPr>
        <w:t>若员工发生事故，必须按有关规定处理，一切经济损</w:t>
      </w:r>
      <w:r>
        <w:rPr>
          <w:rFonts w:hint="eastAsia" w:asciiTheme="minorEastAsia" w:hAnsiTheme="minorEastAsia" w:eastAsiaTheme="minorEastAsia" w:cstheme="minorEastAsia"/>
          <w:color w:val="auto"/>
          <w:spacing w:val="-1"/>
          <w:sz w:val="24"/>
          <w:szCs w:val="24"/>
        </w:rPr>
        <w:t>失和各项费用由乙方自理。</w:t>
      </w:r>
    </w:p>
    <w:p w14:paraId="1B410B09">
      <w:pPr>
        <w:pStyle w:val="5"/>
        <w:spacing w:before="195" w:line="294" w:lineRule="auto"/>
        <w:ind w:left="35" w:right="77" w:firstLine="45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5.乙方须按时支付作业人员工资，不得以压低用工人员工资或加大用工人员工作量</w:t>
      </w:r>
      <w:r>
        <w:rPr>
          <w:rFonts w:hint="eastAsia" w:asciiTheme="minorEastAsia" w:hAnsiTheme="minorEastAsia" w:eastAsiaTheme="minorEastAsia" w:cstheme="minorEastAsia"/>
          <w:color w:val="auto"/>
          <w:spacing w:val="13"/>
          <w:sz w:val="24"/>
          <w:szCs w:val="24"/>
        </w:rPr>
        <w:t xml:space="preserve"> </w:t>
      </w:r>
      <w:r>
        <w:rPr>
          <w:rFonts w:hint="eastAsia" w:asciiTheme="minorEastAsia" w:hAnsiTheme="minorEastAsia" w:eastAsiaTheme="minorEastAsia" w:cstheme="minorEastAsia"/>
          <w:color w:val="auto"/>
          <w:spacing w:val="-5"/>
          <w:sz w:val="24"/>
          <w:szCs w:val="24"/>
        </w:rPr>
        <w:t>以提高企业利润。</w:t>
      </w:r>
    </w:p>
    <w:p w14:paraId="7A56B16D">
      <w:pPr>
        <w:pStyle w:val="5"/>
        <w:spacing w:before="195" w:line="294" w:lineRule="auto"/>
        <w:ind w:left="9" w:right="80"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6.乙方有义务参加甲方通知的相关作业会议，通报作业情况，完善作业措施，提高</w:t>
      </w:r>
      <w:r>
        <w:rPr>
          <w:rFonts w:hint="eastAsia" w:asciiTheme="minorEastAsia" w:hAnsiTheme="minorEastAsia" w:eastAsiaTheme="minorEastAsia" w:cstheme="minorEastAsia"/>
          <w:color w:val="auto"/>
          <w:spacing w:val="-3"/>
          <w:sz w:val="24"/>
          <w:szCs w:val="24"/>
        </w:rPr>
        <w:t>作业水平。</w:t>
      </w:r>
    </w:p>
    <w:p w14:paraId="09AF693A">
      <w:pPr>
        <w:pStyle w:val="5"/>
        <w:spacing w:before="196" w:line="319" w:lineRule="auto"/>
        <w:ind w:left="7" w:right="80" w:firstLine="48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7.乙方必须自觉接受甲方及其各级环卫行政主管部门和环卫专业管理</w:t>
      </w:r>
      <w:r>
        <w:rPr>
          <w:rFonts w:hint="eastAsia" w:asciiTheme="minorEastAsia" w:hAnsiTheme="minorEastAsia" w:eastAsiaTheme="minorEastAsia" w:cstheme="minorEastAsia"/>
          <w:color w:val="auto"/>
          <w:spacing w:val="4"/>
          <w:sz w:val="24"/>
          <w:szCs w:val="24"/>
        </w:rPr>
        <w:t>部门及劳动</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2"/>
          <w:sz w:val="24"/>
          <w:szCs w:val="24"/>
        </w:rPr>
        <w:t>监察部门的管理、监督和检查，根据需要提供相关的检查文件和资料，以及作必要的解</w:t>
      </w:r>
      <w:r>
        <w:rPr>
          <w:rFonts w:hint="eastAsia" w:asciiTheme="minorEastAsia" w:hAnsiTheme="minorEastAsia" w:eastAsiaTheme="minorEastAsia" w:cstheme="minorEastAsia"/>
          <w:color w:val="auto"/>
          <w:spacing w:val="18"/>
          <w:sz w:val="24"/>
          <w:szCs w:val="24"/>
        </w:rPr>
        <w:t xml:space="preserve"> </w:t>
      </w:r>
      <w:r>
        <w:rPr>
          <w:rFonts w:hint="eastAsia" w:asciiTheme="minorEastAsia" w:hAnsiTheme="minorEastAsia" w:eastAsiaTheme="minorEastAsia" w:cstheme="minorEastAsia"/>
          <w:color w:val="auto"/>
          <w:spacing w:val="-1"/>
          <w:sz w:val="24"/>
          <w:szCs w:val="24"/>
        </w:rPr>
        <w:t>释和说明，乙方不得阻扰检查人员的检查工作。</w:t>
      </w:r>
    </w:p>
    <w:p w14:paraId="723C6E93">
      <w:pPr>
        <w:pStyle w:val="5"/>
        <w:spacing w:before="196" w:line="294" w:lineRule="auto"/>
        <w:ind w:left="7" w:right="80" w:firstLine="48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8.乙方必须对企业员工进行道德教育和工作培训。教育职工严格遵守国家法律法规</w:t>
      </w:r>
      <w:r>
        <w:rPr>
          <w:rFonts w:hint="eastAsia" w:asciiTheme="minorEastAsia" w:hAnsiTheme="minorEastAsia" w:eastAsiaTheme="minorEastAsia" w:cstheme="minorEastAsia"/>
          <w:color w:val="auto"/>
          <w:spacing w:val="14"/>
          <w:sz w:val="24"/>
          <w:szCs w:val="24"/>
        </w:rPr>
        <w:t xml:space="preserve"> </w:t>
      </w:r>
      <w:r>
        <w:rPr>
          <w:rFonts w:hint="eastAsia" w:asciiTheme="minorEastAsia" w:hAnsiTheme="minorEastAsia" w:eastAsiaTheme="minorEastAsia" w:cstheme="minorEastAsia"/>
          <w:color w:val="auto"/>
          <w:sz w:val="24"/>
          <w:szCs w:val="24"/>
        </w:rPr>
        <w:t>及环卫作业操作规程。作业人员应经环卫专业</w:t>
      </w:r>
      <w:r>
        <w:rPr>
          <w:rFonts w:hint="eastAsia" w:asciiTheme="minorEastAsia" w:hAnsiTheme="minorEastAsia" w:eastAsiaTheme="minorEastAsia" w:cstheme="minorEastAsia"/>
          <w:color w:val="auto"/>
          <w:spacing w:val="-1"/>
          <w:sz w:val="24"/>
          <w:szCs w:val="24"/>
        </w:rPr>
        <w:t>培训后方可上岗作业。</w:t>
      </w:r>
    </w:p>
    <w:p w14:paraId="153BDB85">
      <w:pPr>
        <w:pStyle w:val="5"/>
        <w:spacing w:before="195" w:line="294" w:lineRule="auto"/>
        <w:ind w:left="8" w:right="80"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9.乙方应不断提高企业管理水平和作业能力，提高企业运营管理实力，保持、提高</w:t>
      </w:r>
      <w:r>
        <w:rPr>
          <w:rFonts w:hint="eastAsia" w:asciiTheme="minorEastAsia" w:hAnsiTheme="minorEastAsia" w:eastAsiaTheme="minorEastAsia" w:cstheme="minorEastAsia"/>
          <w:color w:val="auto"/>
          <w:spacing w:val="14"/>
          <w:sz w:val="24"/>
          <w:szCs w:val="24"/>
        </w:rPr>
        <w:t xml:space="preserve"> </w:t>
      </w:r>
      <w:r>
        <w:rPr>
          <w:rFonts w:hint="eastAsia" w:asciiTheme="minorEastAsia" w:hAnsiTheme="minorEastAsia" w:eastAsiaTheme="minorEastAsia" w:cstheme="minorEastAsia"/>
          <w:color w:val="auto"/>
          <w:sz w:val="24"/>
          <w:szCs w:val="24"/>
        </w:rPr>
        <w:t>环卫作业资信等级，并按时向环卫作业资信</w:t>
      </w:r>
      <w:r>
        <w:rPr>
          <w:rFonts w:hint="eastAsia" w:asciiTheme="minorEastAsia" w:hAnsiTheme="minorEastAsia" w:eastAsiaTheme="minorEastAsia" w:cstheme="minorEastAsia"/>
          <w:color w:val="auto"/>
          <w:spacing w:val="-1"/>
          <w:sz w:val="24"/>
          <w:szCs w:val="24"/>
        </w:rPr>
        <w:t>等级审查机构办理年检。</w:t>
      </w:r>
    </w:p>
    <w:p w14:paraId="4F8C4D61">
      <w:pPr>
        <w:pStyle w:val="5"/>
        <w:spacing w:before="195" w:line="294" w:lineRule="auto"/>
        <w:ind w:left="14" w:right="78" w:firstLine="49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10.乙方有权对甲方人员在检查考评乙方作业质量过程中的违规行为向甲方行政主</w:t>
      </w:r>
      <w:r>
        <w:rPr>
          <w:rFonts w:hint="eastAsia" w:asciiTheme="minorEastAsia" w:hAnsiTheme="minorEastAsia" w:eastAsiaTheme="minorEastAsia" w:cstheme="minorEastAsia"/>
          <w:color w:val="auto"/>
          <w:spacing w:val="8"/>
          <w:sz w:val="24"/>
          <w:szCs w:val="24"/>
        </w:rPr>
        <w:t xml:space="preserve"> </w:t>
      </w:r>
      <w:r>
        <w:rPr>
          <w:rFonts w:hint="eastAsia" w:asciiTheme="minorEastAsia" w:hAnsiTheme="minorEastAsia" w:eastAsiaTheme="minorEastAsia" w:cstheme="minorEastAsia"/>
          <w:color w:val="auto"/>
          <w:spacing w:val="-1"/>
          <w:sz w:val="24"/>
          <w:szCs w:val="24"/>
        </w:rPr>
        <w:t>管部门或市级环卫行政主管部门举报。</w:t>
      </w:r>
    </w:p>
    <w:p w14:paraId="2FFB4B11">
      <w:pPr>
        <w:pStyle w:val="5"/>
        <w:spacing w:before="196" w:line="219" w:lineRule="auto"/>
        <w:jc w:val="righ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11.未经甲方同意，乙方不得擅自将所承包的合同转变给他人，或肢解分包给他</w:t>
      </w:r>
      <w:r>
        <w:rPr>
          <w:rFonts w:hint="eastAsia" w:asciiTheme="minorEastAsia" w:hAnsiTheme="minorEastAsia" w:eastAsiaTheme="minorEastAsia" w:cstheme="minorEastAsia"/>
          <w:color w:val="auto"/>
          <w:spacing w:val="-4"/>
          <w:sz w:val="24"/>
          <w:szCs w:val="24"/>
        </w:rPr>
        <w:t>人。</w:t>
      </w:r>
    </w:p>
    <w:p w14:paraId="4F53E644">
      <w:pPr>
        <w:pStyle w:val="5"/>
        <w:spacing w:before="195" w:line="220" w:lineRule="auto"/>
        <w:ind w:left="506"/>
        <w:rPr>
          <w:rFonts w:hint="eastAsia" w:asciiTheme="minorEastAsia" w:hAnsiTheme="minorEastAsia" w:eastAsiaTheme="minorEastAsia" w:cstheme="minorEastAsia"/>
          <w:b/>
          <w:bCs/>
          <w:color w:val="auto"/>
          <w:spacing w:val="-3"/>
          <w:sz w:val="24"/>
          <w:szCs w:val="24"/>
        </w:rPr>
      </w:pPr>
      <w:r>
        <w:rPr>
          <w:rFonts w:hint="eastAsia" w:asciiTheme="minorEastAsia" w:hAnsiTheme="minorEastAsia" w:eastAsiaTheme="minorEastAsia" w:cstheme="minorEastAsia"/>
          <w:color w:val="auto"/>
          <w:spacing w:val="-2"/>
          <w:sz w:val="24"/>
          <w:szCs w:val="24"/>
        </w:rPr>
        <w:t>12.其他：</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2"/>
          <w:sz w:val="24"/>
          <w:szCs w:val="24"/>
          <w:u w:val="single" w:color="auto"/>
          <w:lang w:val="en-US" w:eastAsia="zh-CN"/>
        </w:rPr>
        <w:t>/</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3"/>
          <w:sz w:val="24"/>
          <w:szCs w:val="24"/>
          <w:u w:val="single" w:color="auto"/>
        </w:rPr>
        <w:t xml:space="preserve">                </w:t>
      </w:r>
      <w:r>
        <w:rPr>
          <w:rFonts w:hint="eastAsia" w:asciiTheme="minorEastAsia" w:hAnsiTheme="minorEastAsia" w:eastAsiaTheme="minorEastAsia" w:cstheme="minorEastAsia"/>
          <w:color w:val="auto"/>
          <w:spacing w:val="-3"/>
          <w:sz w:val="24"/>
          <w:szCs w:val="24"/>
          <w:u w:val="single" w:color="auto"/>
          <w:lang w:eastAsia="zh-CN"/>
        </w:rPr>
        <w:t>。</w:t>
      </w:r>
    </w:p>
    <w:p w14:paraId="543F6016">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7F89F94C">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7CE20E86">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65F9AE5D">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125980C3">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5490856B">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7D22CD2D">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2A7DE84C">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2C0F0EBE">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833BAC3">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2FD62743">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47042DAD">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A299344">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68BA36E0">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27EDF608">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1A42C5F8">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7544CC65">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0B4229FA">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4BE05E2A">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00BF2AC3">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B2EA7FA">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682DCC28">
      <w:pPr>
        <w:pStyle w:val="5"/>
        <w:numPr>
          <w:ilvl w:val="0"/>
          <w:numId w:val="0"/>
        </w:numPr>
        <w:spacing w:before="195" w:line="219" w:lineRule="auto"/>
        <w:jc w:val="center"/>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bCs/>
          <w:color w:val="auto"/>
          <w:spacing w:val="-3"/>
          <w:sz w:val="24"/>
          <w:szCs w:val="24"/>
          <w:lang w:val="en-US" w:eastAsia="zh-CN"/>
        </w:rPr>
        <w:t xml:space="preserve">第七部分 </w:t>
      </w:r>
      <w:r>
        <w:rPr>
          <w:rFonts w:hint="eastAsia" w:asciiTheme="minorEastAsia" w:hAnsiTheme="minorEastAsia" w:eastAsiaTheme="minorEastAsia" w:cstheme="minorEastAsia"/>
          <w:b/>
          <w:bCs/>
          <w:color w:val="auto"/>
          <w:spacing w:val="-3"/>
          <w:sz w:val="24"/>
          <w:szCs w:val="24"/>
        </w:rPr>
        <w:t>付款条件</w:t>
      </w:r>
      <w:r>
        <w:rPr>
          <w:rFonts w:hint="eastAsia" w:asciiTheme="minorEastAsia" w:hAnsiTheme="minorEastAsia" w:eastAsiaTheme="minorEastAsia" w:cstheme="minorEastAsia"/>
          <w:b/>
          <w:bCs/>
          <w:color w:val="auto"/>
          <w:spacing w:val="-3"/>
          <w:sz w:val="24"/>
          <w:szCs w:val="24"/>
          <w:lang w:val="en-US" w:eastAsia="zh-CN"/>
        </w:rPr>
        <w:t>及质量保证金</w:t>
      </w:r>
    </w:p>
    <w:p w14:paraId="22A7F4E5">
      <w:pPr>
        <w:pStyle w:val="5"/>
        <w:spacing w:before="193" w:line="332" w:lineRule="auto"/>
        <w:ind w:left="9" w:right="72" w:firstLine="478"/>
        <w:rPr>
          <w:rFonts w:hint="default" w:asciiTheme="minorEastAsia" w:hAnsiTheme="minorEastAsia" w:eastAsiaTheme="minorEastAsia" w:cstheme="minorEastAsia"/>
          <w:b/>
          <w:bCs/>
          <w:color w:val="auto"/>
          <w:spacing w:val="-2"/>
          <w:sz w:val="24"/>
          <w:szCs w:val="24"/>
          <w:lang w:val="en-US" w:eastAsia="zh-CN"/>
        </w:rPr>
      </w:pPr>
      <w:r>
        <w:rPr>
          <w:rFonts w:hint="eastAsia" w:asciiTheme="minorEastAsia" w:hAnsiTheme="minorEastAsia" w:eastAsiaTheme="minorEastAsia" w:cstheme="minorEastAsia"/>
          <w:b/>
          <w:bCs/>
          <w:color w:val="auto"/>
          <w:spacing w:val="-2"/>
          <w:sz w:val="24"/>
          <w:szCs w:val="24"/>
          <w:lang w:val="en-US" w:eastAsia="zh-CN"/>
        </w:rPr>
        <w:t>第九条 付款要求</w:t>
      </w:r>
    </w:p>
    <w:p w14:paraId="5D63AFA8">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区环卫局作为海口市美兰区农村生活垃圾清扫保洁收运等服务监管考核及运营经费支付主体，费用按季度支付。政府实际支付的当季服务费将根据</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的当季考核结果进行综合调整，各分项作业内容每季度服务费用计算如下：</w:t>
      </w:r>
    </w:p>
    <w:p w14:paraId="5AA2A410">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当季服务费=当季计费道路及公共区域清扫保洁费用+当季垃圾收集清运费用+当季公厕运营管理费用。</w:t>
      </w:r>
    </w:p>
    <w:p w14:paraId="50F21568">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各部分作业内容每季度服务费用如下：</w:t>
      </w:r>
    </w:p>
    <w:p w14:paraId="723E1E8C">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①清扫保洁服务费=调整后单价×实测面积÷4;</w:t>
      </w:r>
    </w:p>
    <w:p w14:paraId="2711F98A">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②垃圾清运服务费=调整后单价×季度垃圾清运吨数;</w:t>
      </w:r>
    </w:p>
    <w:p w14:paraId="19B11081">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③公厕管理服务费=调整后单价×实际管理公厕个数÷4;</w:t>
      </w:r>
    </w:p>
    <w:p w14:paraId="0EF0D00D">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当季全额服务费=清扫保洁服务费+垃圾清运服务费+公厕管理服务费；</w:t>
      </w:r>
    </w:p>
    <w:p w14:paraId="6B28FA4A">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如作业范围有调整，相应的经费核算按照辖区作业范围全覆盖的约定执行。</w:t>
      </w:r>
    </w:p>
    <w:p w14:paraId="6E01E2E6">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4.处罚机制</w:t>
      </w:r>
    </w:p>
    <w:p w14:paraId="50BBF9B2">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区环卫局依据</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季度考核得分情况，按季度支付服务费：</w:t>
      </w:r>
    </w:p>
    <w:p w14:paraId="7CD59074">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（1）</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当季得分在90分或以上的，全额支付</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当季服务费；</w:t>
      </w:r>
    </w:p>
    <w:p w14:paraId="33B9CD6A">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（2）</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当季得分在90分以下的，按照实际得分情况计算核减当季服务费；</w:t>
      </w:r>
    </w:p>
    <w:p w14:paraId="5B166117">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计算公式为当季服务费=当季全额服务费×[1-（90-当季最终得分）/100];</w:t>
      </w:r>
    </w:p>
    <w:p w14:paraId="1879D51E">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（3）在当季季度考核结果未下发前，</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可依据当季全额服务费的90%向区环卫局申请支付当季服务费预拨款，剩余10%当季服务费作为质量考核保证金，待当季季度考核结果出来后，双方根据考核结果和作业服务费调整核算情况进行结算，如</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可获得全部当季服务费，则</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向环境卫生管理局申请支付剩余10%当季服务费，如</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获得的当季服务费需根据考核结果和作业服务费调整核算情况进行扣减，则从剩余10%当季服务费中进行扣减，每季度一次扣减金额超过10%当季服务费的，在下一季度预拨款中进行差额补齐；</w:t>
      </w:r>
    </w:p>
    <w:p w14:paraId="7304E1BA">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（4）经区环卫局核实，若在某季度内，未经区环卫局批准同意如下事项，则按如下执行：</w:t>
      </w:r>
    </w:p>
    <w:p w14:paraId="36ADBD9B">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①若</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各月配置的本项目作业人员数量均低于区环卫局批准的作业人员数量，则区环卫局将根据实际缺少人数，按照2010元/人/月的标准直接扣减当季度应支付的服务费。；</w:t>
      </w:r>
    </w:p>
    <w:p w14:paraId="7B6AFB11">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②若</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配置的本项目环卫设备资产年度折旧额低于方案折旧额，则区环卫局将按照（方案折旧额-实际配置的环卫设备资产年度折旧额）/12×未足额配置月数的标准（实际配置的环卫设备资产年度折旧额以</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报送的环卫设备配置方案中年度折旧额为参考依据，以区环卫局认定的折旧额为准），直接扣减当季度应支付的服务费，其中，未足额配置月数不足一个月的按一个月计算；</w:t>
      </w:r>
    </w:p>
    <w:p w14:paraId="56EBDF59">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③自区环卫局与</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签署《服务合同》之日起，</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在30日内应及时将本项目环卫设备配置方案以及环卫作业人员清单等信息报送区环卫局审核备案，每无故逾期1日，则扣减当季度应付服务费3万元。</w:t>
      </w:r>
    </w:p>
    <w:p w14:paraId="0DA76139">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（5）服务期内，</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提供的作业内容中，单季度考核得分在75分以下的，区环卫局有权要求</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限期整改，如</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未在规定时间内完成整改，区环卫局有权根据考核结果全额扣除当季服务费；合作期内累计3次季度考核得分在75分以下的，区环卫局有权向区政府申请终止本项目服务合同和重新启动招投标确定</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，经区政府批准后，区环卫局启动</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终止退出流程。</w:t>
      </w:r>
    </w:p>
    <w:p w14:paraId="383851FA">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 xml:space="preserve">   4.人员、设备配置要求</w:t>
      </w:r>
    </w:p>
    <w:p w14:paraId="657C7D3B">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（1）人员配置情况</w:t>
      </w:r>
    </w:p>
    <w:p w14:paraId="6CA03406">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环卫作业范围共配备442人，其中，道路及公共区域清扫保洁348人，生活垃圾收集清运74人，公共厕所运维管理20人。</w:t>
      </w:r>
    </w:p>
    <w:p w14:paraId="043364DD">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（1）设备配置情况</w:t>
      </w:r>
    </w:p>
    <w:p w14:paraId="6EF40226">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作业范围共配置59辆设备，其中，道路及公共区域清扫保洁作业设备22辆（道路清扫车6辆，高压洗地车10辆，洒水车6辆），生活垃圾收集清运作业设备37辆。</w:t>
      </w:r>
    </w:p>
    <w:p w14:paraId="11345489">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5.运维绩效考核办法</w:t>
      </w:r>
    </w:p>
    <w:p w14:paraId="17C39339">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1）区环境卫生管理局负责组织实施，按照本方案的考核评分细则，区环境卫生监督检查大队对服务单位的环卫作业质量进行百分制打分，每月2次，月度得分为每月2次考核得分平均分，季度考核总分为各月考核得分的平均分，季度考核总分占当季考核最终得分的 70%（服务单位在重大活动保障中出现重大失误，对美兰区乡镇环卫保洁造成负面影响，在常规考核中加倍扣分）。</w:t>
      </w:r>
    </w:p>
    <w:p w14:paraId="0E1068FC">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各镇政府在镇域辖区范围内组织实施，按照本方案的考核评分细则，对服务单位的环卫作业质量进行百分制打分，每月2次，月度得分为每月2次考核得分平均分，季度考核总分为各月考核平均分，季度考核总分占当季考核最终得分的 30%（服务单位在重大活动保障中出现重大失误，对本镇环卫保洁造成负面影响，在常规考核中加倍扣分）。</w:t>
      </w:r>
    </w:p>
    <w:p w14:paraId="2E2FFED4">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考核评分时要对存在问题的扣分点拍照取证，不能拍照取证的要有被考核单位指定的人员在场签名确认，否则扣分无效；环卫作业服务单位要指定专人具体负责配合检查考核工作，以便与考核单位的沟通协调。</w:t>
      </w:r>
    </w:p>
    <w:p w14:paraId="68BEE9E0">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检查考核中发现存在的问题，要及时通知服务单位整改，环卫服务企业要在第一时间进行整改处置，拖延或不予整改的加倍扣分。台风期间和灾后重建期间工作检查不扣分，但对灾后所采取的应对措施和处置能力视情况给予量分。</w:t>
      </w:r>
    </w:p>
    <w:p w14:paraId="61B8E633">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原则上要求量分考核检查与巡检督导的巡查时间及路线具有随机性，避免固定巡查时间及路线进行检查。</w:t>
      </w:r>
    </w:p>
    <w:p w14:paraId="206F6921">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（2）监督考核组每次量分考核检查后，要及时整理考核记录并存档备查，《考核评分表》要求监督考核组所有人员签名。监督考核组需将当月的考核报告于次月 5 日前报区环境卫生管理局审核。</w:t>
      </w:r>
    </w:p>
    <w:p w14:paraId="2FD2E5D2">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（3）区环境卫生管理局负责汇总区、镇两级监督考核结果，每季度结束后的 10 日内形成季度考核报告报区政府审议印发，区环境卫生管理局根据考核结果拨付资金。</w:t>
      </w:r>
    </w:p>
    <w:p w14:paraId="1B8391D3">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（4）区环境卫生管理局除环卫作业质量监督考核外，对各镇履行监管职责情况进行监督，包括镇级检查考核队伍建设、监管制度和考核实施等进行监督、检查和指导。</w:t>
      </w:r>
    </w:p>
    <w:p w14:paraId="389DB664">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5）区环境卫生管理局依据本项目服务合同、服务单位的投标文件和《海南省城乡环境卫生质量标准》等的有关规定，对乡镇环卫服务企业的各类环卫作业人员、设施设备配置情况以及质量管控体系进行监督、检查、评估。</w:t>
      </w:r>
    </w:p>
    <w:p w14:paraId="20922341">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6）区环境卫生管理局可随时自行临时考核乡镇环卫服务企业的环卫作业质量，如发现质量缺陷，则需在24小时内以书面形式通知乡镇环卫服务企业在限定时间内完成整改；乡镇环卫服务企业在接到书面通知后，应在书面通知要求的时间内对质量缺陷内容进行整改。</w:t>
      </w:r>
    </w:p>
    <w:p w14:paraId="0C42E1A5">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（7）额外扣分项</w:t>
      </w:r>
    </w:p>
    <w:p w14:paraId="638021EB">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若</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各月配置的本项目作业人员数量均低于区环卫局批准的作业人员数量，则区环卫局将根据实际缺少人数，按照2010元/人/月的标准直接扣减当季度应支付的服务费；</w:t>
      </w:r>
    </w:p>
    <w:p w14:paraId="5010E755">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若</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配置的本项目环卫设备资产年度折旧额低于方案折旧额，则区环卫局将按照（方案折旧额-实际配置的环卫设备资产年度折旧额）/12×未足额配置月数的标准（实际配置的环卫设备资产年度折旧额以</w:t>
      </w: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报送的环卫设备配置方案中年度折旧额为参考依据，以区环卫局认定的折旧额为准），直接扣减当季度应支付的服务费，其中，未足额配置月数不足一个月的按一个月计算。</w:t>
      </w:r>
    </w:p>
    <w:p w14:paraId="2C7A4557">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lang w:eastAsia="zh-CN"/>
        </w:rPr>
        <w:t>服务单位</w:t>
      </w:r>
      <w:r>
        <w:rPr>
          <w:rFonts w:hint="eastAsia" w:asciiTheme="minorEastAsia" w:hAnsiTheme="minorEastAsia" w:eastAsiaTheme="minorEastAsia" w:cstheme="minorEastAsia"/>
          <w:color w:val="auto"/>
          <w:spacing w:val="-2"/>
          <w:sz w:val="24"/>
          <w:szCs w:val="24"/>
        </w:rPr>
        <w:t>应按要求制订安全生产应急预案。发生安全生产事故，造成人员死亡的在当周考核得分中扣10分，伤残的扣5分；发生重大交通事故并负主要责任的（以交警裁定结果为准）在当周考核得分中扣5分；发生重大事故且未在第一时间上报或隐瞒不报的，在当月考核得分中扣4分。</w:t>
      </w:r>
    </w:p>
    <w:p w14:paraId="0B398969">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每月度，由区环卫局负责统计各镇政府收到的当月度涉及到项目作业范围内的12345热线投诉件、新闻媒体报告、省市领导点名批示。累计存在五件12345热线投诉件以上，每多一件扣1分，最多扣4分；每有一起新闻媒体报告或省市领导点名批示扣4分。</w:t>
      </w:r>
    </w:p>
    <w:p w14:paraId="16472CB1">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（8）当季最终得分计算</w:t>
      </w:r>
    </w:p>
    <w:p w14:paraId="7B2C8FB7">
      <w:pPr>
        <w:pStyle w:val="5"/>
        <w:spacing w:before="193" w:line="332" w:lineRule="auto"/>
        <w:ind w:left="9" w:right="72" w:firstLine="47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当季考核最终得分=区级监督考核得分×70%+镇级监督考核得分×30%+额外扣分项。</w:t>
      </w:r>
    </w:p>
    <w:p w14:paraId="164E23A9">
      <w:pPr>
        <w:pStyle w:val="5"/>
        <w:numPr>
          <w:ilvl w:val="0"/>
          <w:numId w:val="1"/>
        </w:numPr>
        <w:spacing w:before="193" w:line="332" w:lineRule="auto"/>
        <w:ind w:left="9" w:right="72" w:firstLine="478"/>
        <w:rPr>
          <w:rFonts w:hint="eastAsia" w:asciiTheme="minorEastAsia" w:hAnsiTheme="minorEastAsia" w:eastAsiaTheme="minorEastAsia" w:cstheme="minorEastAsia"/>
          <w:b/>
          <w:bCs/>
          <w:color w:val="auto"/>
          <w:spacing w:val="-2"/>
          <w:sz w:val="24"/>
          <w:szCs w:val="24"/>
        </w:rPr>
      </w:pPr>
      <w:r>
        <w:rPr>
          <w:rFonts w:hint="eastAsia" w:asciiTheme="minorEastAsia" w:hAnsiTheme="minorEastAsia" w:eastAsiaTheme="minorEastAsia" w:cstheme="minorEastAsia"/>
          <w:b/>
          <w:bCs/>
          <w:color w:val="auto"/>
          <w:spacing w:val="-2"/>
          <w:sz w:val="24"/>
          <w:szCs w:val="24"/>
        </w:rPr>
        <w:t>质量保证金</w:t>
      </w:r>
    </w:p>
    <w:p w14:paraId="5E59BFDD">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lang w:eastAsia="zh-CN"/>
        </w:rPr>
        <w:t>在当季季度考核结果未下发前，服务单位可依据当季全额服务费的90%向区环境卫生管理局申请支付当季服务费，剩余10%当季服务费作为质量考核保证金，待当季季度考核结果出来后，双方根据考核结果进行结算。如服务单位可获得全部当季服务费，则服务单位向环区环境卫生管理局申请支付剩余10%当季服务费，如服务单位未获得当季服务费需根据考核结果进行扣减，则从剩余10%当季服务费中进行扣减，季度扣减金额超过10%当季服务费的，在下一季度服务费中进行调差。</w:t>
      </w:r>
    </w:p>
    <w:p w14:paraId="68C663FE">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225051D8">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F714492">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52DA1751">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43917C58">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15BBF9D4">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70ECE54A">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176FADE9">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ABD0150">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1CF996AF">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4A213C02">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2EFADE1C">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8251860">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2F3B969A">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5478162A">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185D6AE4">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49263B4E">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1080BDF">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1FD19312">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7429D4A4">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0D96D3A3">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4DF5B822">
      <w:pPr>
        <w:pStyle w:val="5"/>
        <w:spacing w:before="195" w:line="219" w:lineRule="auto"/>
        <w:ind w:left="3461"/>
        <w:rPr>
          <w:rFonts w:hint="eastAsia" w:asciiTheme="minorEastAsia" w:hAnsiTheme="minorEastAsia" w:eastAsiaTheme="minorEastAsia" w:cstheme="minorEastAsia"/>
          <w:b/>
          <w:bCs/>
          <w:color w:val="auto"/>
          <w:spacing w:val="-3"/>
          <w:sz w:val="24"/>
          <w:szCs w:val="24"/>
        </w:rPr>
      </w:pPr>
    </w:p>
    <w:p w14:paraId="38B2D663">
      <w:pPr>
        <w:pStyle w:val="5"/>
        <w:spacing w:before="195" w:line="219" w:lineRule="auto"/>
        <w:ind w:left="346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w:t>
      </w:r>
      <w:r>
        <w:rPr>
          <w:rFonts w:hint="eastAsia" w:asciiTheme="minorEastAsia" w:hAnsiTheme="minorEastAsia" w:eastAsiaTheme="minorEastAsia" w:cstheme="minorEastAsia"/>
          <w:b/>
          <w:bCs/>
          <w:color w:val="auto"/>
          <w:spacing w:val="-3"/>
          <w:sz w:val="24"/>
          <w:szCs w:val="24"/>
          <w:lang w:val="en-US" w:eastAsia="zh-CN"/>
        </w:rPr>
        <w:t>八</w:t>
      </w:r>
      <w:r>
        <w:rPr>
          <w:rFonts w:hint="eastAsia" w:asciiTheme="minorEastAsia" w:hAnsiTheme="minorEastAsia" w:eastAsiaTheme="minorEastAsia" w:cstheme="minorEastAsia"/>
          <w:b/>
          <w:bCs/>
          <w:color w:val="auto"/>
          <w:spacing w:val="-3"/>
          <w:sz w:val="24"/>
          <w:szCs w:val="24"/>
        </w:rPr>
        <w:t>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质量考评</w:t>
      </w:r>
    </w:p>
    <w:p w14:paraId="170A8DAA">
      <w:pPr>
        <w:pStyle w:val="5"/>
        <w:spacing w:before="195"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第十</w:t>
      </w:r>
      <w:r>
        <w:rPr>
          <w:rFonts w:hint="eastAsia" w:asciiTheme="minorEastAsia" w:hAnsiTheme="minorEastAsia" w:eastAsiaTheme="minorEastAsia" w:cstheme="minorEastAsia"/>
          <w:b/>
          <w:bCs/>
          <w:color w:val="auto"/>
          <w:spacing w:val="-2"/>
          <w:sz w:val="24"/>
          <w:szCs w:val="24"/>
          <w:lang w:val="en-US" w:eastAsia="zh-CN"/>
        </w:rPr>
        <w:t>一</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w:t>
      </w:r>
      <w:r>
        <w:rPr>
          <w:rFonts w:hint="eastAsia" w:asciiTheme="minorEastAsia" w:hAnsiTheme="minorEastAsia" w:eastAsiaTheme="minorEastAsia" w:cstheme="minorEastAsia"/>
          <w:b/>
          <w:bCs/>
          <w:color w:val="auto"/>
          <w:spacing w:val="-2"/>
          <w:sz w:val="24"/>
          <w:szCs w:val="24"/>
        </w:rPr>
        <w:t>质量考评</w:t>
      </w:r>
    </w:p>
    <w:p w14:paraId="7EE331E9">
      <w:pPr>
        <w:spacing w:line="363"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由海口市城市管理局，区环境卫生监督检查大队、美兰区环境卫生管理局组成考核小组，负责组织实施本项目环境卫生作业质量检查考评工作，并由美兰区环境卫生管理局根据考核结果核算服务费用。</w:t>
      </w:r>
    </w:p>
    <w:p w14:paraId="5428DE39">
      <w:pPr>
        <w:pStyle w:val="4"/>
        <w:rPr>
          <w:rFonts w:hint="eastAsia" w:asciiTheme="minorEastAsia" w:hAnsiTheme="minorEastAsia" w:eastAsiaTheme="minorEastAsia" w:cstheme="minorEastAsia"/>
          <w:color w:val="auto"/>
          <w:sz w:val="24"/>
          <w:szCs w:val="24"/>
          <w:lang w:eastAsia="zh-CN"/>
        </w:rPr>
      </w:pPr>
    </w:p>
    <w:p w14:paraId="226EABC0">
      <w:pPr>
        <w:spacing w:line="363" w:lineRule="auto"/>
        <w:ind w:firstLine="480" w:firstLineChars="200"/>
        <w:rPr>
          <w:rFonts w:hint="eastAsia" w:asciiTheme="minorEastAsia" w:hAnsiTheme="minorEastAsia" w:eastAsiaTheme="minorEastAsia" w:cstheme="minorEastAsia"/>
          <w:color w:val="auto"/>
          <w:sz w:val="24"/>
          <w:szCs w:val="24"/>
          <w:lang w:eastAsia="zh-CN"/>
        </w:rPr>
      </w:pPr>
      <w:bookmarkStart w:id="0" w:name="_Toc28054"/>
      <w:bookmarkStart w:id="1" w:name="_Toc28427"/>
      <w:bookmarkStart w:id="2" w:name="_Toc15210"/>
      <w:r>
        <w:rPr>
          <w:rFonts w:hint="eastAsia" w:asciiTheme="minorEastAsia" w:hAnsiTheme="minorEastAsia" w:eastAsiaTheme="minorEastAsia" w:cstheme="minorEastAsia"/>
          <w:color w:val="auto"/>
          <w:sz w:val="24"/>
          <w:szCs w:val="24"/>
          <w:lang w:eastAsia="zh-CN"/>
        </w:rPr>
        <w:t>考核打分细则</w:t>
      </w:r>
      <w:bookmarkEnd w:id="0"/>
      <w:bookmarkEnd w:id="1"/>
      <w:bookmarkEnd w:id="2"/>
      <w:r>
        <w:rPr>
          <w:rFonts w:hint="eastAsia" w:asciiTheme="minorEastAsia" w:hAnsiTheme="minorEastAsia" w:eastAsiaTheme="minorEastAsia" w:cstheme="minorEastAsia"/>
          <w:color w:val="auto"/>
          <w:sz w:val="24"/>
          <w:szCs w:val="24"/>
          <w:lang w:eastAsia="zh-CN"/>
        </w:rPr>
        <w:t>：</w:t>
      </w:r>
    </w:p>
    <w:p w14:paraId="28BFECD0">
      <w:pPr>
        <w:widowControl/>
        <w:spacing w:line="20" w:lineRule="exact"/>
        <w:rPr>
          <w:rFonts w:hint="eastAsia" w:ascii="仿宋" w:hAnsi="仿宋" w:eastAsia="仿宋" w:cs="仿宋"/>
          <w:b/>
          <w:sz w:val="28"/>
          <w:szCs w:val="28"/>
          <w:highlight w:val="none"/>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119"/>
        <w:gridCol w:w="1845"/>
        <w:gridCol w:w="3111"/>
        <w:gridCol w:w="1991"/>
      </w:tblGrid>
      <w:tr w14:paraId="71335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45D26259">
            <w:pPr>
              <w:widowControl/>
              <w:jc w:val="center"/>
              <w:rPr>
                <w:rFonts w:hint="eastAsia" w:ascii="仿宋" w:hAnsi="仿宋" w:eastAsia="仿宋" w:cs="仿宋"/>
                <w:kern w:val="0"/>
                <w:sz w:val="21"/>
                <w:szCs w:val="21"/>
                <w:highlight w:val="none"/>
              </w:rPr>
            </w:pPr>
            <w:r>
              <w:rPr>
                <w:rFonts w:hint="eastAsia" w:ascii="仿宋" w:hAnsi="仿宋" w:eastAsia="仿宋" w:cs="仿宋"/>
                <w:b/>
                <w:bCs/>
                <w:sz w:val="21"/>
                <w:szCs w:val="21"/>
                <w:highlight w:val="none"/>
              </w:rPr>
              <w:t>清扫保洁（50分）</w:t>
            </w:r>
          </w:p>
        </w:tc>
      </w:tr>
      <w:tr w14:paraId="4F911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71" w:type="pct"/>
            <w:shd w:val="clear" w:color="auto" w:fill="auto"/>
            <w:vAlign w:val="center"/>
          </w:tcPr>
          <w:p w14:paraId="7907B58B">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序号</w:t>
            </w:r>
          </w:p>
        </w:tc>
        <w:tc>
          <w:tcPr>
            <w:tcW w:w="656" w:type="pct"/>
            <w:shd w:val="clear" w:color="auto" w:fill="auto"/>
            <w:vAlign w:val="center"/>
          </w:tcPr>
          <w:p w14:paraId="614D924E">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考核内容</w:t>
            </w:r>
          </w:p>
        </w:tc>
        <w:tc>
          <w:tcPr>
            <w:tcW w:w="1082" w:type="pct"/>
            <w:shd w:val="clear" w:color="auto" w:fill="auto"/>
            <w:vAlign w:val="center"/>
          </w:tcPr>
          <w:p w14:paraId="1EDE4C81">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样本及数量</w:t>
            </w:r>
          </w:p>
        </w:tc>
        <w:tc>
          <w:tcPr>
            <w:tcW w:w="1824" w:type="pct"/>
            <w:vAlign w:val="center"/>
          </w:tcPr>
          <w:p w14:paraId="06BB6CFD">
            <w:pPr>
              <w:widowControl w:val="0"/>
              <w:ind w:firstLine="0"/>
              <w:jc w:val="center"/>
              <w:rPr>
                <w:rFonts w:hint="eastAsia" w:ascii="仿宋" w:hAnsi="仿宋" w:eastAsia="仿宋" w:cs="仿宋"/>
                <w:b/>
                <w:bCs/>
                <w:kern w:val="0"/>
                <w:sz w:val="21"/>
                <w:szCs w:val="21"/>
                <w:highlight w:val="none"/>
                <w:lang w:val="en-US" w:eastAsia="zh-CN" w:bidi="ar-SA"/>
              </w:rPr>
            </w:pPr>
            <w:r>
              <w:rPr>
                <w:rFonts w:hint="eastAsia" w:ascii="仿宋" w:hAnsi="仿宋" w:eastAsia="仿宋" w:cs="仿宋"/>
                <w:b/>
                <w:bCs/>
                <w:kern w:val="0"/>
                <w:sz w:val="21"/>
                <w:szCs w:val="21"/>
                <w:highlight w:val="none"/>
                <w:lang w:val="en-US" w:eastAsia="zh-CN" w:bidi="ar-SA"/>
              </w:rPr>
              <w:t>管理要求</w:t>
            </w:r>
          </w:p>
        </w:tc>
        <w:tc>
          <w:tcPr>
            <w:tcW w:w="1165" w:type="pct"/>
            <w:vAlign w:val="center"/>
          </w:tcPr>
          <w:p w14:paraId="2E36D3D5">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评分标准</w:t>
            </w:r>
          </w:p>
        </w:tc>
      </w:tr>
      <w:tr w14:paraId="7406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68950D0D">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w:t>
            </w:r>
          </w:p>
        </w:tc>
        <w:tc>
          <w:tcPr>
            <w:tcW w:w="656" w:type="pct"/>
            <w:shd w:val="clear" w:color="auto" w:fill="auto"/>
            <w:vAlign w:val="center"/>
          </w:tcPr>
          <w:p w14:paraId="6BDF055E">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道路清扫作业</w:t>
            </w:r>
          </w:p>
        </w:tc>
        <w:tc>
          <w:tcPr>
            <w:tcW w:w="1082" w:type="pct"/>
            <w:vMerge w:val="restart"/>
            <w:shd w:val="clear" w:color="auto" w:fill="auto"/>
            <w:vAlign w:val="center"/>
          </w:tcPr>
          <w:p w14:paraId="4544FD0A">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镇墟道路15-25条，农村道路10-20条；</w:t>
            </w:r>
          </w:p>
          <w:p w14:paraId="2EB8411C">
            <w:pPr>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镇墟人工清扫考核面积不小于20%，农村人工清扫考核面积不小于10%。</w:t>
            </w:r>
          </w:p>
        </w:tc>
        <w:tc>
          <w:tcPr>
            <w:tcW w:w="1824" w:type="pct"/>
            <w:vAlign w:val="center"/>
          </w:tcPr>
          <w:p w14:paraId="4FA3137C">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1)镇墟范围</w:t>
            </w:r>
          </w:p>
          <w:p w14:paraId="0FAEB989">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①人工清扫：工作时间应为5:00至8:00、15：00至18: 00，每天工作时间段完成一遍普扫；</w:t>
            </w:r>
          </w:p>
          <w:p w14:paraId="40F3E52D">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②机械化清扫：工作时间应为上午：夏季3:00-6:00，冬季4:00-7:00，下午14:30-17:30，每天在工作时间段内完成一遍普扫。</w:t>
            </w:r>
          </w:p>
          <w:p w14:paraId="69E67865">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2)农村范围</w:t>
            </w:r>
          </w:p>
          <w:p w14:paraId="0D9C95D6">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①人工清扫：工作时间应为5:00至8:00、15：00至18: 00，每天工作时间段完成一遍普扫；</w:t>
            </w:r>
          </w:p>
          <w:p w14:paraId="75C9C64C">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②机械化清扫：工作时间应为上午：夏季3:00-6:00，冬季4:00-7:00，下午14:30-17:30，每周在工作时间段内完成一遍普扫。</w:t>
            </w:r>
          </w:p>
        </w:tc>
        <w:tc>
          <w:tcPr>
            <w:tcW w:w="1165" w:type="pct"/>
            <w:vAlign w:val="center"/>
          </w:tcPr>
          <w:p w14:paraId="3519D5B2">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未按规定进行普扫作业的，每发现一处扣0.5分。</w:t>
            </w:r>
          </w:p>
        </w:tc>
      </w:tr>
      <w:tr w14:paraId="6041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7C1920B9">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w:t>
            </w:r>
          </w:p>
        </w:tc>
        <w:tc>
          <w:tcPr>
            <w:tcW w:w="656" w:type="pct"/>
            <w:shd w:val="clear" w:color="auto" w:fill="auto"/>
            <w:vAlign w:val="center"/>
          </w:tcPr>
          <w:p w14:paraId="6D8E6D3B">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道路保洁作业</w:t>
            </w:r>
          </w:p>
        </w:tc>
        <w:tc>
          <w:tcPr>
            <w:tcW w:w="1082" w:type="pct"/>
            <w:vMerge w:val="continue"/>
            <w:shd w:val="clear" w:color="auto" w:fill="auto"/>
            <w:vAlign w:val="center"/>
          </w:tcPr>
          <w:p w14:paraId="16A61789">
            <w:pPr>
              <w:widowControl/>
              <w:jc w:val="left"/>
              <w:rPr>
                <w:rFonts w:hint="eastAsia" w:ascii="仿宋" w:hAnsi="仿宋" w:eastAsia="仿宋" w:cs="仿宋"/>
                <w:kern w:val="0"/>
                <w:sz w:val="21"/>
                <w:szCs w:val="21"/>
                <w:highlight w:val="none"/>
              </w:rPr>
            </w:pPr>
          </w:p>
        </w:tc>
        <w:tc>
          <w:tcPr>
            <w:tcW w:w="1824" w:type="pct"/>
            <w:vAlign w:val="center"/>
          </w:tcPr>
          <w:p w14:paraId="6FA22BCA">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镇墟范围：7:00-12:00；14：00-19：00，保洁时间不低于10小时，在此时间段内合理调整安排工作。</w:t>
            </w:r>
          </w:p>
        </w:tc>
        <w:tc>
          <w:tcPr>
            <w:tcW w:w="1165" w:type="pct"/>
            <w:vAlign w:val="center"/>
          </w:tcPr>
          <w:p w14:paraId="77A27002">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未按规定进行保洁作业的，每发现一处扣0.5分。</w:t>
            </w:r>
          </w:p>
        </w:tc>
      </w:tr>
      <w:tr w14:paraId="411F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32CD4B2D">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w:t>
            </w:r>
          </w:p>
        </w:tc>
        <w:tc>
          <w:tcPr>
            <w:tcW w:w="656" w:type="pct"/>
            <w:shd w:val="clear" w:color="auto" w:fill="auto"/>
            <w:vAlign w:val="center"/>
          </w:tcPr>
          <w:p w14:paraId="7A946BA4">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道路冲洗和洒水作业</w:t>
            </w:r>
          </w:p>
        </w:tc>
        <w:tc>
          <w:tcPr>
            <w:tcW w:w="1082" w:type="pct"/>
            <w:vMerge w:val="continue"/>
            <w:shd w:val="clear" w:color="auto" w:fill="auto"/>
            <w:vAlign w:val="center"/>
          </w:tcPr>
          <w:p w14:paraId="54C24530">
            <w:pPr>
              <w:widowControl/>
              <w:jc w:val="left"/>
              <w:rPr>
                <w:rFonts w:hint="eastAsia" w:ascii="仿宋" w:hAnsi="仿宋" w:eastAsia="仿宋" w:cs="仿宋"/>
                <w:kern w:val="0"/>
                <w:sz w:val="21"/>
                <w:szCs w:val="21"/>
                <w:highlight w:val="none"/>
              </w:rPr>
            </w:pPr>
          </w:p>
        </w:tc>
        <w:tc>
          <w:tcPr>
            <w:tcW w:w="1824" w:type="pct"/>
            <w:vAlign w:val="center"/>
          </w:tcPr>
          <w:p w14:paraId="415615EA">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冲洗和洒水</w:t>
            </w:r>
          </w:p>
          <w:p w14:paraId="2FE0B5E8">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镇墟冲洗范围：夏季3:00-6:00，冬季4:00-7:00，下午14:30-17:30，每天冲洗不低于一次；镇墟洒水范围：3:00-6:00，每天洒水不低于一遍。</w:t>
            </w:r>
          </w:p>
        </w:tc>
        <w:tc>
          <w:tcPr>
            <w:tcW w:w="1165" w:type="pct"/>
            <w:vAlign w:val="center"/>
          </w:tcPr>
          <w:p w14:paraId="3F2D135B">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未按规定进行道路冲洗和洒水作业的，每车次扣0.5分。(注：路面污染应急作业除外)</w:t>
            </w:r>
          </w:p>
        </w:tc>
      </w:tr>
      <w:tr w14:paraId="6AFF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6EE8381D">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w:t>
            </w:r>
          </w:p>
        </w:tc>
        <w:tc>
          <w:tcPr>
            <w:tcW w:w="656" w:type="pct"/>
            <w:shd w:val="clear" w:color="auto" w:fill="auto"/>
            <w:vAlign w:val="center"/>
          </w:tcPr>
          <w:p w14:paraId="534F114E">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道路路面及公共区域环卫作业质量</w:t>
            </w:r>
          </w:p>
        </w:tc>
        <w:tc>
          <w:tcPr>
            <w:tcW w:w="1082" w:type="pct"/>
            <w:vMerge w:val="restart"/>
            <w:shd w:val="clear" w:color="auto" w:fill="auto"/>
            <w:vAlign w:val="center"/>
          </w:tcPr>
          <w:p w14:paraId="39D91D2B">
            <w:pPr>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镇墟道路15-25条，农村道路10-20条；镇墟人工清扫考核面积不小于20%，农村人工清扫考核面积不小于10%。</w:t>
            </w:r>
          </w:p>
        </w:tc>
        <w:tc>
          <w:tcPr>
            <w:tcW w:w="1824" w:type="pct"/>
            <w:vAlign w:val="center"/>
          </w:tcPr>
          <w:p w14:paraId="7FD99E8C">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路面、人行道、排水沟、下水口、绿化带、公共区域及村域公共场所等干净整洁，路面无积尘、积灰见本色。路面废弃物不得超过规定数量。即：每1000平方米内果皮、纸屑、塑膜、烟蒂、痰迹、槟榔水污渍等存量数分别少于8个(片)， 垃圾存留时间不超过30分钟。</w:t>
            </w:r>
          </w:p>
        </w:tc>
        <w:tc>
          <w:tcPr>
            <w:tcW w:w="1165" w:type="pct"/>
            <w:vAlign w:val="center"/>
          </w:tcPr>
          <w:p w14:paraId="5017CF2E">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发现道路路面废弃物超过规定数量，每发现一处扣0.3分。</w:t>
            </w:r>
          </w:p>
        </w:tc>
      </w:tr>
      <w:tr w14:paraId="6CCE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3C2AC9FA">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5</w:t>
            </w:r>
          </w:p>
        </w:tc>
        <w:tc>
          <w:tcPr>
            <w:tcW w:w="656" w:type="pct"/>
            <w:shd w:val="clear" w:color="auto" w:fill="auto"/>
            <w:vAlign w:val="center"/>
          </w:tcPr>
          <w:p w14:paraId="5887085A">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道路两侧建筑物外 墙及构筑物</w:t>
            </w:r>
          </w:p>
        </w:tc>
        <w:tc>
          <w:tcPr>
            <w:tcW w:w="1082" w:type="pct"/>
            <w:vMerge w:val="continue"/>
            <w:shd w:val="clear" w:color="auto" w:fill="auto"/>
            <w:vAlign w:val="center"/>
          </w:tcPr>
          <w:p w14:paraId="71A77C49">
            <w:pPr>
              <w:widowControl/>
              <w:jc w:val="left"/>
              <w:rPr>
                <w:rFonts w:hint="eastAsia" w:ascii="仿宋" w:hAnsi="仿宋" w:eastAsia="仿宋" w:cs="仿宋"/>
                <w:kern w:val="0"/>
                <w:sz w:val="21"/>
                <w:szCs w:val="21"/>
                <w:highlight w:val="none"/>
              </w:rPr>
            </w:pPr>
          </w:p>
        </w:tc>
        <w:tc>
          <w:tcPr>
            <w:tcW w:w="1824" w:type="pct"/>
            <w:vAlign w:val="center"/>
          </w:tcPr>
          <w:p w14:paraId="5E3AEC83">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道路两侧的建筑物外墙和构筑物无明显污迹，无乱张贴和乱涂写。</w:t>
            </w:r>
          </w:p>
        </w:tc>
        <w:tc>
          <w:tcPr>
            <w:tcW w:w="1165" w:type="pct"/>
            <w:vAlign w:val="center"/>
          </w:tcPr>
          <w:p w14:paraId="6E2385DE">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发现任何一项不合格，每发现一处扣0.2分。</w:t>
            </w:r>
          </w:p>
        </w:tc>
      </w:tr>
      <w:tr w14:paraId="2BF0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2333EF95">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w:t>
            </w:r>
          </w:p>
        </w:tc>
        <w:tc>
          <w:tcPr>
            <w:tcW w:w="656" w:type="pct"/>
            <w:shd w:val="clear" w:color="auto" w:fill="auto"/>
            <w:vAlign w:val="center"/>
          </w:tcPr>
          <w:p w14:paraId="42E943AD">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道路公共设施清洗 及维修</w:t>
            </w:r>
          </w:p>
        </w:tc>
        <w:tc>
          <w:tcPr>
            <w:tcW w:w="1082" w:type="pct"/>
            <w:vMerge w:val="continue"/>
            <w:shd w:val="clear" w:color="auto" w:fill="auto"/>
            <w:vAlign w:val="center"/>
          </w:tcPr>
          <w:p w14:paraId="319BE6C8">
            <w:pPr>
              <w:widowControl/>
              <w:jc w:val="left"/>
              <w:rPr>
                <w:rFonts w:hint="eastAsia" w:ascii="仿宋" w:hAnsi="仿宋" w:eastAsia="仿宋" w:cs="仿宋"/>
                <w:kern w:val="0"/>
                <w:sz w:val="21"/>
                <w:szCs w:val="21"/>
                <w:highlight w:val="none"/>
              </w:rPr>
            </w:pPr>
          </w:p>
        </w:tc>
        <w:tc>
          <w:tcPr>
            <w:tcW w:w="1824" w:type="pct"/>
            <w:vAlign w:val="center"/>
          </w:tcPr>
          <w:p w14:paraId="03E69ED0">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道路两侧路名牌、指路牌、交通护栏以及路灯杆、交通指示牌杆等无污迹、无积尘、无乱张贴。</w:t>
            </w:r>
          </w:p>
        </w:tc>
        <w:tc>
          <w:tcPr>
            <w:tcW w:w="1165" w:type="pct"/>
            <w:vAlign w:val="center"/>
          </w:tcPr>
          <w:p w14:paraId="4592E96D">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发现任何一项不合格，每发现一处扣0.2分。</w:t>
            </w:r>
          </w:p>
        </w:tc>
      </w:tr>
      <w:tr w14:paraId="5622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3EEF4F9E">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7</w:t>
            </w:r>
          </w:p>
        </w:tc>
        <w:tc>
          <w:tcPr>
            <w:tcW w:w="656" w:type="pct"/>
            <w:shd w:val="clear" w:color="auto" w:fill="auto"/>
            <w:vAlign w:val="center"/>
          </w:tcPr>
          <w:p w14:paraId="182123FD">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公交候车站</w:t>
            </w:r>
          </w:p>
        </w:tc>
        <w:tc>
          <w:tcPr>
            <w:tcW w:w="1082" w:type="pct"/>
            <w:shd w:val="clear" w:color="auto" w:fill="auto"/>
            <w:vAlign w:val="center"/>
          </w:tcPr>
          <w:p w14:paraId="63668EB8">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现场随机查看</w:t>
            </w:r>
          </w:p>
        </w:tc>
        <w:tc>
          <w:tcPr>
            <w:tcW w:w="1824" w:type="pct"/>
            <w:vAlign w:val="center"/>
          </w:tcPr>
          <w:p w14:paraId="5AD126F1">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公交候车站应保持整洁，其保洁质量应与所在道路保洁质量标准相同，无乱张贴、乱涂画。</w:t>
            </w:r>
          </w:p>
        </w:tc>
        <w:tc>
          <w:tcPr>
            <w:tcW w:w="1165" w:type="pct"/>
            <w:vAlign w:val="center"/>
          </w:tcPr>
          <w:p w14:paraId="5B4351B2">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发现任何一项不合格，每发现一处扣0.3分。</w:t>
            </w:r>
          </w:p>
        </w:tc>
      </w:tr>
      <w:tr w14:paraId="63BB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7B38BB2C">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8</w:t>
            </w:r>
          </w:p>
        </w:tc>
        <w:tc>
          <w:tcPr>
            <w:tcW w:w="656" w:type="pct"/>
            <w:shd w:val="clear" w:color="auto" w:fill="auto"/>
            <w:vAlign w:val="center"/>
          </w:tcPr>
          <w:p w14:paraId="4169BEF5">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公共绿地保洁</w:t>
            </w:r>
          </w:p>
        </w:tc>
        <w:tc>
          <w:tcPr>
            <w:tcW w:w="1082" w:type="pct"/>
            <w:shd w:val="clear" w:color="auto" w:fill="auto"/>
            <w:vAlign w:val="center"/>
          </w:tcPr>
          <w:p w14:paraId="3FFE0D85">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考核面积不小于20%</w:t>
            </w:r>
          </w:p>
        </w:tc>
        <w:tc>
          <w:tcPr>
            <w:tcW w:w="1824" w:type="pct"/>
            <w:vAlign w:val="center"/>
          </w:tcPr>
          <w:p w14:paraId="56BB4589">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绿地各部位整洁，无垃圾(包括无主建筑垃圾)、土渣、污水、烟头、纸屑、瓜果皮核、人畜粪便及其他污物。</w:t>
            </w:r>
          </w:p>
        </w:tc>
        <w:tc>
          <w:tcPr>
            <w:tcW w:w="1165" w:type="pct"/>
            <w:vAlign w:val="center"/>
          </w:tcPr>
          <w:p w14:paraId="7950BB12">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发现任何一项不合格，每发现一处扣0.3分。</w:t>
            </w:r>
          </w:p>
        </w:tc>
      </w:tr>
      <w:tr w14:paraId="7BCD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71" w:type="pct"/>
            <w:vMerge w:val="restart"/>
            <w:shd w:val="clear" w:color="auto" w:fill="auto"/>
            <w:vAlign w:val="center"/>
          </w:tcPr>
          <w:p w14:paraId="29383011">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9</w:t>
            </w:r>
          </w:p>
        </w:tc>
        <w:tc>
          <w:tcPr>
            <w:tcW w:w="656" w:type="pct"/>
            <w:vMerge w:val="restart"/>
            <w:shd w:val="clear" w:color="auto" w:fill="auto"/>
            <w:vAlign w:val="center"/>
          </w:tcPr>
          <w:p w14:paraId="52AACBF1">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车辆管理及维修</w:t>
            </w:r>
          </w:p>
        </w:tc>
        <w:tc>
          <w:tcPr>
            <w:tcW w:w="1082" w:type="pct"/>
            <w:vMerge w:val="restart"/>
            <w:shd w:val="clear" w:color="auto" w:fill="auto"/>
            <w:vAlign w:val="center"/>
          </w:tcPr>
          <w:p w14:paraId="7EFD000A">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环卫车队停车场和作业现场，现场随机查看车辆</w:t>
            </w:r>
          </w:p>
        </w:tc>
        <w:tc>
          <w:tcPr>
            <w:tcW w:w="1824" w:type="pct"/>
            <w:vAlign w:val="center"/>
          </w:tcPr>
          <w:p w14:paraId="63CB7447">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清扫保洁车辆作业完毕后车厢内无残留垃圾杂物，车容干净整洁，号牌清晰。</w:t>
            </w:r>
          </w:p>
        </w:tc>
        <w:tc>
          <w:tcPr>
            <w:tcW w:w="1165" w:type="pct"/>
            <w:vMerge w:val="restart"/>
            <w:vAlign w:val="center"/>
          </w:tcPr>
          <w:p w14:paraId="0E56102F">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发现任何一项不合格，每发现一辆扣0.2分。</w:t>
            </w:r>
          </w:p>
        </w:tc>
      </w:tr>
      <w:tr w14:paraId="58B5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71" w:type="pct"/>
            <w:vMerge w:val="continue"/>
            <w:shd w:val="clear" w:color="auto" w:fill="auto"/>
            <w:vAlign w:val="center"/>
          </w:tcPr>
          <w:p w14:paraId="72872142">
            <w:pPr>
              <w:widowControl/>
              <w:rPr>
                <w:rFonts w:hint="eastAsia" w:ascii="仿宋" w:hAnsi="仿宋" w:eastAsia="仿宋" w:cs="仿宋"/>
                <w:kern w:val="0"/>
                <w:sz w:val="21"/>
                <w:szCs w:val="21"/>
                <w:highlight w:val="none"/>
              </w:rPr>
            </w:pPr>
          </w:p>
        </w:tc>
        <w:tc>
          <w:tcPr>
            <w:tcW w:w="656" w:type="pct"/>
            <w:vMerge w:val="continue"/>
            <w:shd w:val="clear" w:color="auto" w:fill="auto"/>
            <w:vAlign w:val="center"/>
          </w:tcPr>
          <w:p w14:paraId="7B6FF774">
            <w:pPr>
              <w:widowControl/>
              <w:rPr>
                <w:rFonts w:hint="eastAsia" w:ascii="仿宋" w:hAnsi="仿宋" w:eastAsia="仿宋" w:cs="仿宋"/>
                <w:kern w:val="0"/>
                <w:sz w:val="21"/>
                <w:szCs w:val="21"/>
                <w:highlight w:val="none"/>
              </w:rPr>
            </w:pPr>
          </w:p>
        </w:tc>
        <w:tc>
          <w:tcPr>
            <w:tcW w:w="1082" w:type="pct"/>
            <w:vMerge w:val="continue"/>
            <w:shd w:val="clear" w:color="auto" w:fill="auto"/>
            <w:vAlign w:val="center"/>
          </w:tcPr>
          <w:p w14:paraId="7C6CB5E8">
            <w:pPr>
              <w:widowControl/>
              <w:jc w:val="left"/>
              <w:rPr>
                <w:rFonts w:hint="eastAsia" w:ascii="仿宋" w:hAnsi="仿宋" w:eastAsia="仿宋" w:cs="仿宋"/>
                <w:kern w:val="0"/>
                <w:sz w:val="21"/>
                <w:szCs w:val="21"/>
                <w:highlight w:val="none"/>
              </w:rPr>
            </w:pPr>
          </w:p>
        </w:tc>
        <w:tc>
          <w:tcPr>
            <w:tcW w:w="1824" w:type="pct"/>
            <w:vAlign w:val="center"/>
          </w:tcPr>
          <w:p w14:paraId="25D36727">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清扫保洁车辆定期油饰和维修，保持完好无损。</w:t>
            </w:r>
          </w:p>
        </w:tc>
        <w:tc>
          <w:tcPr>
            <w:tcW w:w="1165" w:type="pct"/>
            <w:vMerge w:val="continue"/>
            <w:vAlign w:val="center"/>
          </w:tcPr>
          <w:p w14:paraId="1870922B">
            <w:pPr>
              <w:widowControl/>
              <w:jc w:val="left"/>
              <w:rPr>
                <w:rFonts w:hint="eastAsia" w:ascii="仿宋" w:hAnsi="仿宋" w:eastAsia="仿宋" w:cs="仿宋"/>
                <w:kern w:val="0"/>
                <w:sz w:val="21"/>
                <w:szCs w:val="21"/>
                <w:highlight w:val="none"/>
              </w:rPr>
            </w:pPr>
          </w:p>
        </w:tc>
      </w:tr>
      <w:tr w14:paraId="7669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46FC5794">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10</w:t>
            </w:r>
          </w:p>
        </w:tc>
        <w:tc>
          <w:tcPr>
            <w:tcW w:w="656" w:type="pct"/>
            <w:shd w:val="clear" w:color="auto" w:fill="auto"/>
            <w:vAlign w:val="center"/>
          </w:tcPr>
          <w:p w14:paraId="29FF088B">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果皮箱管理</w:t>
            </w:r>
          </w:p>
        </w:tc>
        <w:tc>
          <w:tcPr>
            <w:tcW w:w="1082" w:type="pct"/>
            <w:shd w:val="clear" w:color="auto" w:fill="auto"/>
            <w:vAlign w:val="center"/>
          </w:tcPr>
          <w:p w14:paraId="6F5B3903">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镇墟道路15-25条(如镇墟不到15条，全部纳入考核)</w:t>
            </w:r>
          </w:p>
        </w:tc>
        <w:tc>
          <w:tcPr>
            <w:tcW w:w="1824" w:type="pct"/>
            <w:vAlign w:val="center"/>
          </w:tcPr>
          <w:p w14:paraId="258C6A67">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按间隔100-200m设置。公交站点要单独设置果皮箱，人流量大的站点要设置两个果皮箱。果皮箱应无残缺、破损，箱体周围地面无抛洒、暴露垃圾，箱内垃圾无满溢。</w:t>
            </w:r>
          </w:p>
        </w:tc>
        <w:tc>
          <w:tcPr>
            <w:tcW w:w="1165" w:type="pct"/>
            <w:vAlign w:val="center"/>
          </w:tcPr>
          <w:p w14:paraId="301A9394">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不按照规定标准设置的，每处扣0.2分。</w:t>
            </w:r>
          </w:p>
        </w:tc>
      </w:tr>
      <w:tr w14:paraId="1801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3A728DAA">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w:t>
            </w:r>
          </w:p>
        </w:tc>
        <w:tc>
          <w:tcPr>
            <w:tcW w:w="656" w:type="pct"/>
            <w:shd w:val="clear" w:color="auto" w:fill="auto"/>
            <w:vAlign w:val="center"/>
          </w:tcPr>
          <w:p w14:paraId="2B3DB7DC">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垃圾桶管理</w:t>
            </w:r>
          </w:p>
        </w:tc>
        <w:tc>
          <w:tcPr>
            <w:tcW w:w="1082" w:type="pct"/>
            <w:shd w:val="clear" w:color="auto" w:fill="auto"/>
            <w:vAlign w:val="center"/>
          </w:tcPr>
          <w:p w14:paraId="1744CF08">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镇墟道路15-25条，农村15个自然村</w:t>
            </w:r>
          </w:p>
        </w:tc>
        <w:tc>
          <w:tcPr>
            <w:tcW w:w="1824" w:type="pct"/>
            <w:vAlign w:val="center"/>
          </w:tcPr>
          <w:p w14:paraId="310493D6">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垃圾桶应定位设置，摆放整齐。垃圾桶应无残缺、破损，封闭性好，外体干净。垃圾桶及周围5m内应整洁，无散落垃圾、污水和杂草。</w:t>
            </w:r>
          </w:p>
        </w:tc>
        <w:tc>
          <w:tcPr>
            <w:tcW w:w="1165" w:type="pct"/>
            <w:vAlign w:val="center"/>
          </w:tcPr>
          <w:p w14:paraId="68732157">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不按规定设置的，每处扣0.2分。</w:t>
            </w:r>
          </w:p>
        </w:tc>
      </w:tr>
      <w:tr w14:paraId="13F0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1" w:type="pct"/>
            <w:vMerge w:val="restart"/>
            <w:shd w:val="clear" w:color="auto" w:fill="auto"/>
            <w:vAlign w:val="center"/>
          </w:tcPr>
          <w:p w14:paraId="24E1E570">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12</w:t>
            </w:r>
          </w:p>
        </w:tc>
        <w:tc>
          <w:tcPr>
            <w:tcW w:w="656" w:type="pct"/>
            <w:vMerge w:val="restart"/>
            <w:shd w:val="clear" w:color="auto" w:fill="auto"/>
            <w:vAlign w:val="center"/>
          </w:tcPr>
          <w:p w14:paraId="078B519A">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安全生产</w:t>
            </w:r>
          </w:p>
        </w:tc>
        <w:tc>
          <w:tcPr>
            <w:tcW w:w="1082" w:type="pct"/>
            <w:vMerge w:val="restart"/>
            <w:shd w:val="clear" w:color="auto" w:fill="auto"/>
            <w:vAlign w:val="center"/>
          </w:tcPr>
          <w:p w14:paraId="51D28E82">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考评时间内，上路随机考核</w:t>
            </w:r>
          </w:p>
        </w:tc>
        <w:tc>
          <w:tcPr>
            <w:tcW w:w="1824" w:type="pct"/>
            <w:vAlign w:val="center"/>
          </w:tcPr>
          <w:p w14:paraId="6B406C0D">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机械化清扫、冲洗、洒水等作业车辆作业时应开警示灯。</w:t>
            </w:r>
          </w:p>
        </w:tc>
        <w:tc>
          <w:tcPr>
            <w:tcW w:w="1165" w:type="pct"/>
            <w:vAlign w:val="center"/>
          </w:tcPr>
          <w:p w14:paraId="0F33BAE3">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凡发现不按规定开警示灯的，该作业车辆扣0.2分。</w:t>
            </w:r>
          </w:p>
        </w:tc>
      </w:tr>
      <w:tr w14:paraId="706A9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1" w:type="pct"/>
            <w:vMerge w:val="continue"/>
            <w:shd w:val="clear" w:color="auto" w:fill="auto"/>
            <w:vAlign w:val="center"/>
          </w:tcPr>
          <w:p w14:paraId="71FAE039">
            <w:pPr>
              <w:widowControl/>
              <w:rPr>
                <w:rFonts w:hint="eastAsia" w:ascii="仿宋" w:hAnsi="仿宋" w:eastAsia="仿宋" w:cs="仿宋"/>
                <w:kern w:val="0"/>
                <w:sz w:val="21"/>
                <w:szCs w:val="21"/>
                <w:highlight w:val="none"/>
              </w:rPr>
            </w:pPr>
          </w:p>
        </w:tc>
        <w:tc>
          <w:tcPr>
            <w:tcW w:w="656" w:type="pct"/>
            <w:vMerge w:val="continue"/>
            <w:shd w:val="clear" w:color="auto" w:fill="auto"/>
            <w:vAlign w:val="center"/>
          </w:tcPr>
          <w:p w14:paraId="7CC22D29">
            <w:pPr>
              <w:widowControl/>
              <w:rPr>
                <w:rFonts w:hint="eastAsia" w:ascii="仿宋" w:hAnsi="仿宋" w:eastAsia="仿宋" w:cs="仿宋"/>
                <w:kern w:val="0"/>
                <w:sz w:val="21"/>
                <w:szCs w:val="21"/>
                <w:highlight w:val="none"/>
              </w:rPr>
            </w:pPr>
          </w:p>
        </w:tc>
        <w:tc>
          <w:tcPr>
            <w:tcW w:w="1082" w:type="pct"/>
            <w:vMerge w:val="continue"/>
            <w:shd w:val="clear" w:color="auto" w:fill="auto"/>
            <w:vAlign w:val="center"/>
          </w:tcPr>
          <w:p w14:paraId="2208FC8F">
            <w:pPr>
              <w:widowControl/>
              <w:jc w:val="left"/>
              <w:rPr>
                <w:rFonts w:hint="eastAsia" w:ascii="仿宋" w:hAnsi="仿宋" w:eastAsia="仿宋" w:cs="仿宋"/>
                <w:kern w:val="0"/>
                <w:sz w:val="21"/>
                <w:szCs w:val="21"/>
                <w:highlight w:val="none"/>
              </w:rPr>
            </w:pPr>
          </w:p>
        </w:tc>
        <w:tc>
          <w:tcPr>
            <w:tcW w:w="1824" w:type="pct"/>
            <w:vAlign w:val="center"/>
          </w:tcPr>
          <w:p w14:paraId="6CBFC2D3">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环卫工人作业时应穿着带反光条的工作制服。</w:t>
            </w:r>
          </w:p>
        </w:tc>
        <w:tc>
          <w:tcPr>
            <w:tcW w:w="1165" w:type="pct"/>
            <w:vAlign w:val="center"/>
          </w:tcPr>
          <w:p w14:paraId="0D7A04A4">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凡发现工人不按规定穿着带反光条的工作制服的，该名工人扣0.2分。</w:t>
            </w:r>
          </w:p>
        </w:tc>
      </w:tr>
    </w:tbl>
    <w:p w14:paraId="0CA42BA0">
      <w:pPr>
        <w:rPr>
          <w:rFonts w:hint="eastAsia"/>
          <w:highlight w:val="none"/>
        </w:rPr>
        <w:sectPr>
          <w:pgSz w:w="11906" w:h="16838"/>
          <w:pgMar w:top="1440" w:right="1797" w:bottom="1440" w:left="1797" w:header="851" w:footer="1020" w:gutter="0"/>
          <w:cols w:space="720" w:num="1"/>
          <w:titlePg/>
          <w:docGrid w:type="lines" w:linePitch="312" w:charSpace="0"/>
        </w:sect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119"/>
        <w:gridCol w:w="1845"/>
        <w:gridCol w:w="3111"/>
        <w:gridCol w:w="1991"/>
      </w:tblGrid>
      <w:tr w14:paraId="3E1B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4C7BDFFC">
            <w:pPr>
              <w:widowControl/>
              <w:jc w:val="center"/>
              <w:rPr>
                <w:rFonts w:hint="eastAsia" w:ascii="仿宋" w:hAnsi="仿宋" w:eastAsia="仿宋" w:cs="仿宋"/>
                <w:kern w:val="0"/>
                <w:sz w:val="21"/>
                <w:szCs w:val="21"/>
                <w:highlight w:val="none"/>
              </w:rPr>
            </w:pPr>
            <w:r>
              <w:rPr>
                <w:rFonts w:hint="eastAsia" w:ascii="仿宋" w:hAnsi="仿宋" w:eastAsia="仿宋" w:cs="仿宋"/>
                <w:b/>
                <w:bCs/>
                <w:sz w:val="21"/>
                <w:szCs w:val="21"/>
                <w:highlight w:val="none"/>
              </w:rPr>
              <w:t>生活垃圾收集清运（30分）</w:t>
            </w:r>
          </w:p>
        </w:tc>
      </w:tr>
      <w:tr w14:paraId="1E49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71" w:type="pct"/>
            <w:shd w:val="clear" w:color="auto" w:fill="auto"/>
            <w:vAlign w:val="center"/>
          </w:tcPr>
          <w:p w14:paraId="28CEA241">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序号</w:t>
            </w:r>
          </w:p>
        </w:tc>
        <w:tc>
          <w:tcPr>
            <w:tcW w:w="656" w:type="pct"/>
            <w:shd w:val="clear" w:color="auto" w:fill="auto"/>
            <w:vAlign w:val="center"/>
          </w:tcPr>
          <w:p w14:paraId="5E5A9827">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考核内容</w:t>
            </w:r>
          </w:p>
        </w:tc>
        <w:tc>
          <w:tcPr>
            <w:tcW w:w="1082" w:type="pct"/>
            <w:shd w:val="clear" w:color="auto" w:fill="auto"/>
            <w:vAlign w:val="center"/>
          </w:tcPr>
          <w:p w14:paraId="0EAD675E">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样本及数量</w:t>
            </w:r>
          </w:p>
        </w:tc>
        <w:tc>
          <w:tcPr>
            <w:tcW w:w="1824" w:type="pct"/>
            <w:vAlign w:val="center"/>
          </w:tcPr>
          <w:p w14:paraId="4C5294FE">
            <w:pPr>
              <w:widowControl w:val="0"/>
              <w:ind w:firstLine="0"/>
              <w:jc w:val="center"/>
              <w:rPr>
                <w:rFonts w:hint="eastAsia" w:ascii="仿宋" w:hAnsi="仿宋" w:eastAsia="仿宋" w:cs="仿宋"/>
                <w:b/>
                <w:bCs/>
                <w:kern w:val="0"/>
                <w:sz w:val="21"/>
                <w:szCs w:val="21"/>
                <w:highlight w:val="none"/>
                <w:lang w:val="en-US" w:eastAsia="zh-CN" w:bidi="ar-SA"/>
              </w:rPr>
            </w:pPr>
            <w:r>
              <w:rPr>
                <w:rFonts w:hint="eastAsia" w:ascii="仿宋" w:hAnsi="仿宋" w:eastAsia="仿宋" w:cs="仿宋"/>
                <w:b/>
                <w:bCs/>
                <w:kern w:val="0"/>
                <w:sz w:val="21"/>
                <w:szCs w:val="21"/>
                <w:highlight w:val="none"/>
                <w:lang w:val="en-US" w:eastAsia="zh-CN" w:bidi="ar-SA"/>
              </w:rPr>
              <w:t>管理要求</w:t>
            </w:r>
          </w:p>
        </w:tc>
        <w:tc>
          <w:tcPr>
            <w:tcW w:w="1167" w:type="pct"/>
            <w:vAlign w:val="center"/>
          </w:tcPr>
          <w:p w14:paraId="5AE638F0">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评分标准</w:t>
            </w:r>
          </w:p>
        </w:tc>
      </w:tr>
      <w:tr w14:paraId="4C836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40EE328B">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w:t>
            </w:r>
          </w:p>
        </w:tc>
        <w:tc>
          <w:tcPr>
            <w:tcW w:w="656" w:type="pct"/>
            <w:shd w:val="clear" w:color="auto" w:fill="auto"/>
            <w:vAlign w:val="center"/>
          </w:tcPr>
          <w:p w14:paraId="6A22BB43">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垃圾收集</w:t>
            </w:r>
          </w:p>
        </w:tc>
        <w:tc>
          <w:tcPr>
            <w:tcW w:w="1082" w:type="pct"/>
            <w:vMerge w:val="restart"/>
            <w:shd w:val="clear" w:color="auto" w:fill="auto"/>
            <w:vAlign w:val="center"/>
          </w:tcPr>
          <w:p w14:paraId="267A1FF4">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环卫车队停车场和作业现场，现场随机查看车辆</w:t>
            </w:r>
          </w:p>
        </w:tc>
        <w:tc>
          <w:tcPr>
            <w:tcW w:w="1824" w:type="pct"/>
            <w:vAlign w:val="center"/>
          </w:tcPr>
          <w:p w14:paraId="58C1CA27">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定时定点收集，日产日清，不得堆积、滞留；生活垃圾应及时收集、清运。凡发现任何一项不合格，每个收集点扣0.5分。</w:t>
            </w:r>
          </w:p>
        </w:tc>
        <w:tc>
          <w:tcPr>
            <w:tcW w:w="1167" w:type="pct"/>
            <w:vAlign w:val="center"/>
          </w:tcPr>
          <w:p w14:paraId="6E6892CD">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凡发现任何一项不合格，每个收集点扣0.5分。</w:t>
            </w:r>
          </w:p>
        </w:tc>
      </w:tr>
      <w:tr w14:paraId="065A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2C5F7260">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w:t>
            </w:r>
          </w:p>
        </w:tc>
        <w:tc>
          <w:tcPr>
            <w:tcW w:w="656" w:type="pct"/>
            <w:shd w:val="clear" w:color="auto" w:fill="auto"/>
            <w:vAlign w:val="center"/>
          </w:tcPr>
          <w:p w14:paraId="36D86FD6">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垃圾运输</w:t>
            </w:r>
          </w:p>
        </w:tc>
        <w:tc>
          <w:tcPr>
            <w:tcW w:w="1082" w:type="pct"/>
            <w:vMerge w:val="continue"/>
            <w:shd w:val="clear" w:color="auto" w:fill="auto"/>
            <w:vAlign w:val="center"/>
          </w:tcPr>
          <w:p w14:paraId="45ACA0B1">
            <w:pPr>
              <w:widowControl/>
              <w:jc w:val="center"/>
              <w:rPr>
                <w:rFonts w:hint="eastAsia" w:ascii="仿宋" w:hAnsi="仿宋" w:eastAsia="仿宋" w:cs="仿宋"/>
                <w:kern w:val="0"/>
                <w:sz w:val="21"/>
                <w:szCs w:val="21"/>
                <w:highlight w:val="none"/>
              </w:rPr>
            </w:pPr>
          </w:p>
        </w:tc>
        <w:tc>
          <w:tcPr>
            <w:tcW w:w="1824" w:type="pct"/>
            <w:vAlign w:val="center"/>
          </w:tcPr>
          <w:p w14:paraId="70E3928F">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运送垃圾的过程应覆盖密闭，实行“垃圾不落地”作业，不 得有滴冒撒漏现象。</w:t>
            </w:r>
          </w:p>
        </w:tc>
        <w:tc>
          <w:tcPr>
            <w:tcW w:w="1167" w:type="pct"/>
            <w:vAlign w:val="center"/>
          </w:tcPr>
          <w:p w14:paraId="5FA660E5">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凡发现任何一项不合格，该作业车辆扣0.5分。</w:t>
            </w:r>
          </w:p>
        </w:tc>
      </w:tr>
      <w:tr w14:paraId="5B8E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01D57E3F">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w:t>
            </w:r>
          </w:p>
        </w:tc>
        <w:tc>
          <w:tcPr>
            <w:tcW w:w="656" w:type="pct"/>
            <w:shd w:val="clear" w:color="auto" w:fill="auto"/>
            <w:vAlign w:val="center"/>
          </w:tcPr>
          <w:p w14:paraId="7EABE047">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垃圾清运车车辆管理及维修</w:t>
            </w:r>
          </w:p>
        </w:tc>
        <w:tc>
          <w:tcPr>
            <w:tcW w:w="1082" w:type="pct"/>
            <w:vMerge w:val="continue"/>
            <w:shd w:val="clear" w:color="auto" w:fill="auto"/>
            <w:vAlign w:val="center"/>
          </w:tcPr>
          <w:p w14:paraId="05CC2195">
            <w:pPr>
              <w:widowControl/>
              <w:jc w:val="center"/>
              <w:rPr>
                <w:rFonts w:hint="eastAsia" w:ascii="仿宋" w:hAnsi="仿宋" w:eastAsia="仿宋" w:cs="仿宋"/>
                <w:kern w:val="0"/>
                <w:sz w:val="21"/>
                <w:szCs w:val="21"/>
                <w:highlight w:val="none"/>
              </w:rPr>
            </w:pPr>
          </w:p>
        </w:tc>
        <w:tc>
          <w:tcPr>
            <w:tcW w:w="1824" w:type="pct"/>
            <w:vAlign w:val="center"/>
          </w:tcPr>
          <w:p w14:paraId="5D070F26">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垃圾清运车辆车容整洁，车况良好，车牌号码完整，不得遮挡。垃圾清运车辆定期油饰和维修，保持完好无损。</w:t>
            </w:r>
          </w:p>
        </w:tc>
        <w:tc>
          <w:tcPr>
            <w:tcW w:w="1167" w:type="pct"/>
            <w:vAlign w:val="center"/>
          </w:tcPr>
          <w:p w14:paraId="7D099393">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凡发现任何车辆不合格，该作业车辆扣0.3分。</w:t>
            </w:r>
          </w:p>
        </w:tc>
      </w:tr>
      <w:tr w14:paraId="3A33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0306C986">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w:t>
            </w:r>
          </w:p>
        </w:tc>
        <w:tc>
          <w:tcPr>
            <w:tcW w:w="656" w:type="pct"/>
            <w:shd w:val="clear" w:color="auto" w:fill="auto"/>
            <w:vAlign w:val="center"/>
          </w:tcPr>
          <w:p w14:paraId="4D664A0B">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小型垃圾转运站管理</w:t>
            </w:r>
          </w:p>
        </w:tc>
        <w:tc>
          <w:tcPr>
            <w:tcW w:w="1082" w:type="pct"/>
            <w:shd w:val="clear" w:color="auto" w:fill="auto"/>
            <w:vAlign w:val="center"/>
          </w:tcPr>
          <w:p w14:paraId="4F1DEF96">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所有小型垃圾转运站</w:t>
            </w:r>
          </w:p>
        </w:tc>
        <w:tc>
          <w:tcPr>
            <w:tcW w:w="1824" w:type="pct"/>
            <w:vAlign w:val="center"/>
          </w:tcPr>
          <w:p w14:paraId="0FE82CB6">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小型垃圾转运站应定期清洗、喷洒消毒、灭蚊蝇药物。在可视范围内，苍蝇应少于3只/次，并无活鼠等；装运作业时应避免扰民。</w:t>
            </w:r>
          </w:p>
        </w:tc>
        <w:tc>
          <w:tcPr>
            <w:tcW w:w="1167" w:type="pct"/>
            <w:vAlign w:val="center"/>
          </w:tcPr>
          <w:p w14:paraId="685AFD66">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凡发现任何一项不合格，该站扣0.3分。</w:t>
            </w:r>
          </w:p>
        </w:tc>
      </w:tr>
      <w:tr w14:paraId="4D9E3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2B3EBF79">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5</w:t>
            </w:r>
          </w:p>
        </w:tc>
        <w:tc>
          <w:tcPr>
            <w:tcW w:w="656" w:type="pct"/>
            <w:shd w:val="clear" w:color="auto" w:fill="auto"/>
            <w:vAlign w:val="center"/>
          </w:tcPr>
          <w:p w14:paraId="32B16880">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安全生产</w:t>
            </w:r>
          </w:p>
        </w:tc>
        <w:tc>
          <w:tcPr>
            <w:tcW w:w="1082" w:type="pct"/>
            <w:shd w:val="clear" w:color="auto" w:fill="auto"/>
            <w:vAlign w:val="center"/>
          </w:tcPr>
          <w:p w14:paraId="732777FD">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考评时间内，上路随机考核</w:t>
            </w:r>
          </w:p>
        </w:tc>
        <w:tc>
          <w:tcPr>
            <w:tcW w:w="1824" w:type="pct"/>
            <w:vAlign w:val="center"/>
          </w:tcPr>
          <w:p w14:paraId="344E8EDB">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垃圾清运司机和操作工人应穿反光衣，车道作业设有安全防范措施。</w:t>
            </w:r>
          </w:p>
        </w:tc>
        <w:tc>
          <w:tcPr>
            <w:tcW w:w="1167" w:type="pct"/>
            <w:vAlign w:val="center"/>
          </w:tcPr>
          <w:p w14:paraId="6C398811">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 分。</w:t>
            </w:r>
          </w:p>
        </w:tc>
      </w:tr>
    </w:tbl>
    <w:p w14:paraId="30FC42DF">
      <w:pPr>
        <w:rPr>
          <w:rFonts w:hint="eastAsia"/>
          <w:highlight w:val="none"/>
        </w:rPr>
        <w:sectPr>
          <w:pgSz w:w="11906" w:h="16838"/>
          <w:pgMar w:top="1440" w:right="1797" w:bottom="1440" w:left="1797" w:header="851" w:footer="1020" w:gutter="0"/>
          <w:cols w:space="720" w:num="1"/>
          <w:titlePg/>
          <w:docGrid w:type="lines" w:linePitch="312" w:charSpace="0"/>
        </w:sect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1217"/>
        <w:gridCol w:w="2006"/>
        <w:gridCol w:w="3389"/>
        <w:gridCol w:w="2192"/>
      </w:tblGrid>
      <w:tr w14:paraId="150F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642866C6">
            <w:pPr>
              <w:widowControl/>
              <w:jc w:val="center"/>
              <w:rPr>
                <w:rFonts w:hint="eastAsia" w:ascii="仿宋" w:hAnsi="仿宋" w:eastAsia="仿宋" w:cs="仿宋"/>
                <w:kern w:val="0"/>
                <w:sz w:val="21"/>
                <w:szCs w:val="21"/>
                <w:highlight w:val="none"/>
              </w:rPr>
            </w:pPr>
            <w:r>
              <w:rPr>
                <w:rFonts w:hint="eastAsia" w:ascii="仿宋" w:hAnsi="仿宋" w:eastAsia="仿宋" w:cs="仿宋"/>
                <w:b/>
                <w:bCs/>
                <w:sz w:val="21"/>
                <w:szCs w:val="21"/>
                <w:highlight w:val="none"/>
              </w:rPr>
              <w:t>公厕运营管理（20分）</w:t>
            </w:r>
          </w:p>
        </w:tc>
      </w:tr>
      <w:tr w14:paraId="30CB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61" w:type="pct"/>
            <w:shd w:val="clear" w:color="auto" w:fill="auto"/>
            <w:vAlign w:val="center"/>
          </w:tcPr>
          <w:p w14:paraId="3D696195">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序号</w:t>
            </w:r>
          </w:p>
        </w:tc>
        <w:tc>
          <w:tcPr>
            <w:tcW w:w="655" w:type="pct"/>
            <w:shd w:val="clear" w:color="auto" w:fill="auto"/>
            <w:vAlign w:val="center"/>
          </w:tcPr>
          <w:p w14:paraId="0377CF04">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考核内容</w:t>
            </w:r>
          </w:p>
        </w:tc>
        <w:tc>
          <w:tcPr>
            <w:tcW w:w="1080" w:type="pct"/>
            <w:shd w:val="clear" w:color="auto" w:fill="auto"/>
            <w:vAlign w:val="center"/>
          </w:tcPr>
          <w:p w14:paraId="393C0943">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样本及数量</w:t>
            </w:r>
          </w:p>
        </w:tc>
        <w:tc>
          <w:tcPr>
            <w:tcW w:w="1824" w:type="pct"/>
            <w:vAlign w:val="center"/>
          </w:tcPr>
          <w:p w14:paraId="3BD325B2">
            <w:pPr>
              <w:widowControl w:val="0"/>
              <w:ind w:firstLine="0"/>
              <w:jc w:val="center"/>
              <w:rPr>
                <w:rFonts w:hint="eastAsia" w:ascii="仿宋" w:hAnsi="仿宋" w:eastAsia="仿宋" w:cs="仿宋"/>
                <w:b/>
                <w:bCs/>
                <w:kern w:val="0"/>
                <w:sz w:val="21"/>
                <w:szCs w:val="21"/>
                <w:highlight w:val="none"/>
                <w:lang w:val="en-US" w:eastAsia="zh-CN" w:bidi="ar-SA"/>
              </w:rPr>
            </w:pPr>
            <w:r>
              <w:rPr>
                <w:rFonts w:hint="eastAsia" w:ascii="仿宋" w:hAnsi="仿宋" w:eastAsia="仿宋" w:cs="仿宋"/>
                <w:b/>
                <w:bCs/>
                <w:kern w:val="0"/>
                <w:sz w:val="21"/>
                <w:szCs w:val="21"/>
                <w:highlight w:val="none"/>
                <w:lang w:val="en-US" w:eastAsia="zh-CN" w:bidi="ar-SA"/>
              </w:rPr>
              <w:t>管理要求</w:t>
            </w:r>
          </w:p>
        </w:tc>
        <w:tc>
          <w:tcPr>
            <w:tcW w:w="1180" w:type="pct"/>
            <w:vAlign w:val="center"/>
          </w:tcPr>
          <w:p w14:paraId="1CB52F8D">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评分标准</w:t>
            </w:r>
          </w:p>
        </w:tc>
      </w:tr>
      <w:tr w14:paraId="574E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62861328">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w:t>
            </w:r>
          </w:p>
        </w:tc>
        <w:tc>
          <w:tcPr>
            <w:tcW w:w="655" w:type="pct"/>
            <w:vMerge w:val="restart"/>
            <w:shd w:val="clear" w:color="auto" w:fill="auto"/>
            <w:vAlign w:val="center"/>
          </w:tcPr>
          <w:p w14:paraId="12AE84BF">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公厕管理</w:t>
            </w:r>
          </w:p>
        </w:tc>
        <w:tc>
          <w:tcPr>
            <w:tcW w:w="1080" w:type="pct"/>
            <w:vMerge w:val="restart"/>
            <w:shd w:val="clear" w:color="auto" w:fill="auto"/>
            <w:vAlign w:val="center"/>
          </w:tcPr>
          <w:p w14:paraId="53BE2BA3">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随机抽查，镇级考核数量不低 于50%，区级考核数量不低于</w:t>
            </w:r>
          </w:p>
          <w:p w14:paraId="585495D8">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20%</w:t>
            </w:r>
          </w:p>
        </w:tc>
        <w:tc>
          <w:tcPr>
            <w:tcW w:w="1824" w:type="pct"/>
            <w:vAlign w:val="center"/>
          </w:tcPr>
          <w:p w14:paraId="17088357">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公共厕所内无臭味、蚊蝇，地面无痰迹、烟头、污物，公厕每天应全面冲洗两次以上并随时保洁。</w:t>
            </w:r>
          </w:p>
        </w:tc>
        <w:tc>
          <w:tcPr>
            <w:tcW w:w="1180" w:type="pct"/>
            <w:vAlign w:val="center"/>
          </w:tcPr>
          <w:p w14:paraId="2AAE0E00">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5949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6B96528A">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2</w:t>
            </w:r>
          </w:p>
        </w:tc>
        <w:tc>
          <w:tcPr>
            <w:tcW w:w="655" w:type="pct"/>
            <w:vMerge w:val="continue"/>
            <w:shd w:val="clear" w:color="auto" w:fill="auto"/>
            <w:vAlign w:val="center"/>
          </w:tcPr>
          <w:p w14:paraId="1156707C">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3423E45A">
            <w:pPr>
              <w:widowControl/>
              <w:jc w:val="center"/>
              <w:rPr>
                <w:rFonts w:hint="eastAsia" w:ascii="仿宋" w:hAnsi="仿宋" w:eastAsia="仿宋" w:cs="仿宋"/>
                <w:kern w:val="0"/>
                <w:sz w:val="21"/>
                <w:szCs w:val="21"/>
                <w:highlight w:val="none"/>
              </w:rPr>
            </w:pPr>
          </w:p>
        </w:tc>
        <w:tc>
          <w:tcPr>
            <w:tcW w:w="1824" w:type="pct"/>
            <w:vAlign w:val="center"/>
          </w:tcPr>
          <w:p w14:paraId="223DDF92">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厕内墙面、门窗、隔离板等洁净，无积尘，污迹、蛛网。</w:t>
            </w:r>
          </w:p>
        </w:tc>
        <w:tc>
          <w:tcPr>
            <w:tcW w:w="1180" w:type="pct"/>
            <w:vAlign w:val="center"/>
          </w:tcPr>
          <w:p w14:paraId="159B24B7">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5E8A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3338E34E">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3</w:t>
            </w:r>
          </w:p>
        </w:tc>
        <w:tc>
          <w:tcPr>
            <w:tcW w:w="655" w:type="pct"/>
            <w:vMerge w:val="continue"/>
            <w:shd w:val="clear" w:color="auto" w:fill="auto"/>
            <w:vAlign w:val="center"/>
          </w:tcPr>
          <w:p w14:paraId="60CDAE33">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52897716">
            <w:pPr>
              <w:widowControl/>
              <w:jc w:val="center"/>
              <w:rPr>
                <w:rFonts w:hint="eastAsia" w:ascii="仿宋" w:hAnsi="仿宋" w:eastAsia="仿宋" w:cs="仿宋"/>
                <w:kern w:val="0"/>
                <w:sz w:val="21"/>
                <w:szCs w:val="21"/>
                <w:highlight w:val="none"/>
              </w:rPr>
            </w:pPr>
          </w:p>
        </w:tc>
        <w:tc>
          <w:tcPr>
            <w:tcW w:w="1824" w:type="pct"/>
            <w:vAlign w:val="center"/>
          </w:tcPr>
          <w:p w14:paraId="641E59AE">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吸粪车清吸作业后，及时盖好井盖，化粪井周围整洁无粪迹。</w:t>
            </w:r>
          </w:p>
        </w:tc>
        <w:tc>
          <w:tcPr>
            <w:tcW w:w="1180" w:type="pct"/>
            <w:vAlign w:val="center"/>
          </w:tcPr>
          <w:p w14:paraId="47DE60F0">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0F0E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C84DE47">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4</w:t>
            </w:r>
          </w:p>
        </w:tc>
        <w:tc>
          <w:tcPr>
            <w:tcW w:w="655" w:type="pct"/>
            <w:vMerge w:val="continue"/>
            <w:shd w:val="clear" w:color="auto" w:fill="auto"/>
            <w:vAlign w:val="center"/>
          </w:tcPr>
          <w:p w14:paraId="64C4A53B">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77BBB016">
            <w:pPr>
              <w:widowControl/>
              <w:jc w:val="center"/>
              <w:rPr>
                <w:rFonts w:hint="eastAsia" w:ascii="仿宋" w:hAnsi="仿宋" w:eastAsia="仿宋" w:cs="仿宋"/>
                <w:kern w:val="0"/>
                <w:sz w:val="21"/>
                <w:szCs w:val="21"/>
                <w:highlight w:val="none"/>
              </w:rPr>
            </w:pPr>
          </w:p>
        </w:tc>
        <w:tc>
          <w:tcPr>
            <w:tcW w:w="1824" w:type="pct"/>
            <w:vAlign w:val="center"/>
          </w:tcPr>
          <w:p w14:paraId="6722369F">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保洁工具使用完毕应整齐存放在不显眼的位置或存放在工具房(箱)内；不得将保洁工具放在便器、洗手盆或楼梯</w:t>
            </w:r>
          </w:p>
        </w:tc>
        <w:tc>
          <w:tcPr>
            <w:tcW w:w="1180" w:type="pct"/>
            <w:vAlign w:val="center"/>
          </w:tcPr>
          <w:p w14:paraId="1DFFF18E">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5A65A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3AC4E2D2">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5</w:t>
            </w:r>
          </w:p>
        </w:tc>
        <w:tc>
          <w:tcPr>
            <w:tcW w:w="655" w:type="pct"/>
            <w:vMerge w:val="continue"/>
            <w:shd w:val="clear" w:color="auto" w:fill="auto"/>
            <w:vAlign w:val="center"/>
          </w:tcPr>
          <w:p w14:paraId="5B4F3120">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0B4EA8AA">
            <w:pPr>
              <w:widowControl/>
              <w:jc w:val="center"/>
              <w:rPr>
                <w:rFonts w:hint="eastAsia" w:ascii="仿宋" w:hAnsi="仿宋" w:eastAsia="仿宋" w:cs="仿宋"/>
                <w:kern w:val="0"/>
                <w:sz w:val="21"/>
                <w:szCs w:val="21"/>
                <w:highlight w:val="none"/>
              </w:rPr>
            </w:pPr>
          </w:p>
        </w:tc>
        <w:tc>
          <w:tcPr>
            <w:tcW w:w="1824" w:type="pct"/>
            <w:vAlign w:val="center"/>
          </w:tcPr>
          <w:p w14:paraId="366519ED">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定期清除公厕贮(化)粪池内的粪便或粪渣，粪水不溢。要如实做好定期抽粪记录，不得弄虚作假。</w:t>
            </w:r>
          </w:p>
        </w:tc>
        <w:tc>
          <w:tcPr>
            <w:tcW w:w="1180" w:type="pct"/>
            <w:vAlign w:val="center"/>
          </w:tcPr>
          <w:p w14:paraId="5B6AAB6C">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7AEB7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0471C209">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6</w:t>
            </w:r>
          </w:p>
        </w:tc>
        <w:tc>
          <w:tcPr>
            <w:tcW w:w="655" w:type="pct"/>
            <w:vMerge w:val="continue"/>
            <w:shd w:val="clear" w:color="auto" w:fill="auto"/>
            <w:vAlign w:val="center"/>
          </w:tcPr>
          <w:p w14:paraId="367CD9D1">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464D8BC0">
            <w:pPr>
              <w:widowControl/>
              <w:jc w:val="center"/>
              <w:rPr>
                <w:rFonts w:hint="eastAsia" w:ascii="仿宋" w:hAnsi="仿宋" w:eastAsia="仿宋" w:cs="仿宋"/>
                <w:kern w:val="0"/>
                <w:sz w:val="21"/>
                <w:szCs w:val="21"/>
                <w:highlight w:val="none"/>
              </w:rPr>
            </w:pPr>
          </w:p>
        </w:tc>
        <w:tc>
          <w:tcPr>
            <w:tcW w:w="1824" w:type="pct"/>
            <w:vAlign w:val="center"/>
          </w:tcPr>
          <w:p w14:paraId="577A33D3">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公厕内地面应保持整洁，粪槽、便槽和管道应无破损，内外墙应无剥落。</w:t>
            </w:r>
          </w:p>
        </w:tc>
        <w:tc>
          <w:tcPr>
            <w:tcW w:w="1180" w:type="pct"/>
            <w:vAlign w:val="center"/>
          </w:tcPr>
          <w:p w14:paraId="501B006C">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21FB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CF90FEE">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7</w:t>
            </w:r>
          </w:p>
        </w:tc>
        <w:tc>
          <w:tcPr>
            <w:tcW w:w="655" w:type="pct"/>
            <w:vMerge w:val="continue"/>
            <w:shd w:val="clear" w:color="auto" w:fill="auto"/>
            <w:vAlign w:val="center"/>
          </w:tcPr>
          <w:p w14:paraId="7071E752">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0C48DA4B">
            <w:pPr>
              <w:widowControl/>
              <w:jc w:val="center"/>
              <w:rPr>
                <w:rFonts w:hint="eastAsia" w:ascii="仿宋" w:hAnsi="仿宋" w:eastAsia="仿宋" w:cs="仿宋"/>
                <w:kern w:val="0"/>
                <w:sz w:val="21"/>
                <w:szCs w:val="21"/>
                <w:highlight w:val="none"/>
              </w:rPr>
            </w:pPr>
          </w:p>
        </w:tc>
        <w:tc>
          <w:tcPr>
            <w:tcW w:w="1824" w:type="pct"/>
            <w:vAlign w:val="center"/>
          </w:tcPr>
          <w:p w14:paraId="699E5B54">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公厕四周3-5m范围内，应无垃圾、粪便、污水等污物。</w:t>
            </w:r>
          </w:p>
        </w:tc>
        <w:tc>
          <w:tcPr>
            <w:tcW w:w="1180" w:type="pct"/>
            <w:vAlign w:val="center"/>
          </w:tcPr>
          <w:p w14:paraId="68A44986">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7FC9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49D74907">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8</w:t>
            </w:r>
          </w:p>
        </w:tc>
        <w:tc>
          <w:tcPr>
            <w:tcW w:w="655" w:type="pct"/>
            <w:vMerge w:val="continue"/>
            <w:shd w:val="clear" w:color="auto" w:fill="auto"/>
            <w:vAlign w:val="center"/>
          </w:tcPr>
          <w:p w14:paraId="104E1D1F">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050B627F">
            <w:pPr>
              <w:widowControl/>
              <w:jc w:val="center"/>
              <w:rPr>
                <w:rFonts w:hint="eastAsia" w:ascii="仿宋" w:hAnsi="仿宋" w:eastAsia="仿宋" w:cs="仿宋"/>
                <w:kern w:val="0"/>
                <w:sz w:val="21"/>
                <w:szCs w:val="21"/>
                <w:highlight w:val="none"/>
              </w:rPr>
            </w:pPr>
          </w:p>
        </w:tc>
        <w:tc>
          <w:tcPr>
            <w:tcW w:w="1824" w:type="pct"/>
            <w:vAlign w:val="center"/>
          </w:tcPr>
          <w:p w14:paraId="085831A1">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公厕内自然通气良好，自然光线充足，有通风设施和照明设施，厕内设施完好无缺损。</w:t>
            </w:r>
          </w:p>
        </w:tc>
        <w:tc>
          <w:tcPr>
            <w:tcW w:w="1180" w:type="pct"/>
            <w:vAlign w:val="center"/>
          </w:tcPr>
          <w:p w14:paraId="34DB67F4">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5695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45D37BD">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9</w:t>
            </w:r>
          </w:p>
        </w:tc>
        <w:tc>
          <w:tcPr>
            <w:tcW w:w="655" w:type="pct"/>
            <w:vMerge w:val="continue"/>
            <w:shd w:val="clear" w:color="auto" w:fill="auto"/>
            <w:vAlign w:val="center"/>
          </w:tcPr>
          <w:p w14:paraId="263CA329">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50EC0588">
            <w:pPr>
              <w:widowControl/>
              <w:jc w:val="center"/>
              <w:rPr>
                <w:rFonts w:hint="eastAsia" w:ascii="仿宋" w:hAnsi="仿宋" w:eastAsia="仿宋" w:cs="仿宋"/>
                <w:kern w:val="0"/>
                <w:sz w:val="21"/>
                <w:szCs w:val="21"/>
                <w:highlight w:val="none"/>
              </w:rPr>
            </w:pPr>
          </w:p>
        </w:tc>
        <w:tc>
          <w:tcPr>
            <w:tcW w:w="1824" w:type="pct"/>
            <w:vAlign w:val="center"/>
          </w:tcPr>
          <w:p w14:paraId="28AC48B6">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公厕标识牌整洁、规范，设置明显。</w:t>
            </w:r>
          </w:p>
        </w:tc>
        <w:tc>
          <w:tcPr>
            <w:tcW w:w="1180" w:type="pct"/>
            <w:vAlign w:val="center"/>
          </w:tcPr>
          <w:p w14:paraId="3796146E">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3B4E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7945AF28">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10</w:t>
            </w:r>
          </w:p>
        </w:tc>
        <w:tc>
          <w:tcPr>
            <w:tcW w:w="655" w:type="pct"/>
            <w:vMerge w:val="continue"/>
            <w:shd w:val="clear" w:color="auto" w:fill="auto"/>
            <w:vAlign w:val="center"/>
          </w:tcPr>
          <w:p w14:paraId="2441853E">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217D920B">
            <w:pPr>
              <w:widowControl/>
              <w:jc w:val="center"/>
              <w:rPr>
                <w:rFonts w:hint="eastAsia" w:ascii="仿宋" w:hAnsi="仿宋" w:eastAsia="仿宋" w:cs="仿宋"/>
                <w:kern w:val="0"/>
                <w:sz w:val="21"/>
                <w:szCs w:val="21"/>
                <w:highlight w:val="none"/>
              </w:rPr>
            </w:pPr>
          </w:p>
        </w:tc>
        <w:tc>
          <w:tcPr>
            <w:tcW w:w="1824" w:type="pct"/>
            <w:vAlign w:val="center"/>
          </w:tcPr>
          <w:p w14:paraId="0D417030">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公厕内水管、水龙头、冲水器损坏，及时维修，厕内灯具、 洗手盆(池)损坏，及时维修。</w:t>
            </w:r>
          </w:p>
        </w:tc>
        <w:tc>
          <w:tcPr>
            <w:tcW w:w="1180" w:type="pct"/>
            <w:vAlign w:val="center"/>
          </w:tcPr>
          <w:p w14:paraId="7E002EC3">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05C1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261" w:type="pct"/>
            <w:shd w:val="clear" w:color="auto" w:fill="auto"/>
            <w:vAlign w:val="center"/>
          </w:tcPr>
          <w:p w14:paraId="34BAEF09">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11</w:t>
            </w:r>
          </w:p>
        </w:tc>
        <w:tc>
          <w:tcPr>
            <w:tcW w:w="655" w:type="pct"/>
            <w:vMerge w:val="continue"/>
            <w:shd w:val="clear" w:color="auto" w:fill="auto"/>
            <w:vAlign w:val="center"/>
          </w:tcPr>
          <w:p w14:paraId="18BD2537">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3D45253C">
            <w:pPr>
              <w:widowControl/>
              <w:jc w:val="center"/>
              <w:rPr>
                <w:rFonts w:hint="eastAsia" w:ascii="仿宋" w:hAnsi="仿宋" w:eastAsia="仿宋" w:cs="仿宋"/>
                <w:kern w:val="0"/>
                <w:sz w:val="21"/>
                <w:szCs w:val="21"/>
                <w:highlight w:val="none"/>
              </w:rPr>
            </w:pPr>
          </w:p>
        </w:tc>
        <w:tc>
          <w:tcPr>
            <w:tcW w:w="1824" w:type="pct"/>
            <w:vAlign w:val="center"/>
          </w:tcPr>
          <w:p w14:paraId="0453D87C">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公共厕所要配置管理人员，公共厕所管理人员保持衣冠整齐，管理人员办公室整洁美观，有明显所属单位标志；文明作业、礼貌服务。</w:t>
            </w:r>
          </w:p>
        </w:tc>
        <w:tc>
          <w:tcPr>
            <w:tcW w:w="1180" w:type="pct"/>
            <w:vAlign w:val="center"/>
          </w:tcPr>
          <w:p w14:paraId="228F71AB">
            <w:pPr>
              <w:widowControl/>
              <w:jc w:val="left"/>
              <w:rPr>
                <w:rFonts w:hint="eastAsia" w:ascii="仿宋" w:hAnsi="仿宋" w:eastAsia="仿宋" w:cs="仿宋"/>
                <w:kern w:val="0"/>
                <w:sz w:val="21"/>
                <w:szCs w:val="21"/>
                <w:highlight w:val="none"/>
                <w:lang w:eastAsia="zh-CN"/>
              </w:rPr>
            </w:pPr>
            <w:r>
              <w:rPr>
                <w:rFonts w:hint="eastAsia" w:ascii="仿宋" w:hAnsi="仿宋" w:eastAsia="仿宋" w:cs="仿宋"/>
                <w:kern w:val="0"/>
                <w:sz w:val="21"/>
                <w:szCs w:val="21"/>
                <w:highlight w:val="none"/>
              </w:rPr>
              <w:t>凡发现任何一项不合格，扣0.2分</w:t>
            </w:r>
            <w:r>
              <w:rPr>
                <w:rFonts w:hint="eastAsia" w:ascii="仿宋" w:hAnsi="仿宋" w:eastAsia="仿宋" w:cs="仿宋"/>
                <w:kern w:val="0"/>
                <w:sz w:val="21"/>
                <w:szCs w:val="21"/>
                <w:highlight w:val="none"/>
                <w:lang w:eastAsia="zh-CN"/>
              </w:rPr>
              <w:t>。</w:t>
            </w:r>
          </w:p>
        </w:tc>
      </w:tr>
      <w:tr w14:paraId="397F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529600AE">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12</w:t>
            </w:r>
          </w:p>
        </w:tc>
        <w:tc>
          <w:tcPr>
            <w:tcW w:w="655" w:type="pct"/>
            <w:vMerge w:val="continue"/>
            <w:shd w:val="clear" w:color="auto" w:fill="auto"/>
            <w:vAlign w:val="center"/>
          </w:tcPr>
          <w:p w14:paraId="5B9CC407">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43352CA0">
            <w:pPr>
              <w:widowControl/>
              <w:jc w:val="center"/>
              <w:rPr>
                <w:rFonts w:hint="eastAsia" w:ascii="仿宋" w:hAnsi="仿宋" w:eastAsia="仿宋" w:cs="仿宋"/>
                <w:kern w:val="0"/>
                <w:sz w:val="21"/>
                <w:szCs w:val="21"/>
                <w:highlight w:val="none"/>
              </w:rPr>
            </w:pPr>
          </w:p>
        </w:tc>
        <w:tc>
          <w:tcPr>
            <w:tcW w:w="1824" w:type="pct"/>
            <w:vAlign w:val="center"/>
          </w:tcPr>
          <w:p w14:paraId="5226412B">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不得占用或妨碍残疾人公共厕所的正常使用。</w:t>
            </w:r>
          </w:p>
        </w:tc>
        <w:tc>
          <w:tcPr>
            <w:tcW w:w="1180" w:type="pct"/>
            <w:vAlign w:val="center"/>
          </w:tcPr>
          <w:p w14:paraId="2E333A68">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r w14:paraId="4ADB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76C22D4E">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13</w:t>
            </w:r>
          </w:p>
        </w:tc>
        <w:tc>
          <w:tcPr>
            <w:tcW w:w="655" w:type="pct"/>
            <w:vMerge w:val="continue"/>
            <w:shd w:val="clear" w:color="auto" w:fill="auto"/>
            <w:vAlign w:val="center"/>
          </w:tcPr>
          <w:p w14:paraId="6BF0A97F">
            <w:pPr>
              <w:widowControl/>
              <w:jc w:val="center"/>
              <w:rPr>
                <w:rFonts w:hint="eastAsia" w:ascii="仿宋" w:hAnsi="仿宋" w:eastAsia="仿宋" w:cs="仿宋"/>
                <w:kern w:val="0"/>
                <w:sz w:val="21"/>
                <w:szCs w:val="21"/>
                <w:highlight w:val="none"/>
              </w:rPr>
            </w:pPr>
          </w:p>
        </w:tc>
        <w:tc>
          <w:tcPr>
            <w:tcW w:w="1080" w:type="pct"/>
            <w:vMerge w:val="continue"/>
            <w:shd w:val="clear" w:color="auto" w:fill="auto"/>
            <w:vAlign w:val="center"/>
          </w:tcPr>
          <w:p w14:paraId="62AC1CA4">
            <w:pPr>
              <w:widowControl/>
              <w:jc w:val="center"/>
              <w:rPr>
                <w:rFonts w:hint="eastAsia" w:ascii="仿宋" w:hAnsi="仿宋" w:eastAsia="仿宋" w:cs="仿宋"/>
                <w:kern w:val="0"/>
                <w:sz w:val="21"/>
                <w:szCs w:val="21"/>
                <w:highlight w:val="none"/>
              </w:rPr>
            </w:pPr>
          </w:p>
        </w:tc>
        <w:tc>
          <w:tcPr>
            <w:tcW w:w="1824" w:type="pct"/>
            <w:vAlign w:val="center"/>
          </w:tcPr>
          <w:p w14:paraId="63B6CC8A">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建立安全生产管理制度和落实安全生产责任人，并有完整的作业和检查记录。</w:t>
            </w:r>
          </w:p>
        </w:tc>
        <w:tc>
          <w:tcPr>
            <w:tcW w:w="1180" w:type="pct"/>
            <w:vAlign w:val="center"/>
          </w:tcPr>
          <w:p w14:paraId="215A1805">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凡发现任何一项不合格，扣0.2分。</w:t>
            </w:r>
          </w:p>
        </w:tc>
      </w:tr>
    </w:tbl>
    <w:p w14:paraId="60B32C66">
      <w:pPr>
        <w:rPr>
          <w:rFonts w:hint="eastAsia"/>
          <w:highlight w:val="none"/>
        </w:rPr>
      </w:pPr>
    </w:p>
    <w:p w14:paraId="068E6281">
      <w:pPr>
        <w:pStyle w:val="4"/>
        <w:rPr>
          <w:rFonts w:hint="eastAsia"/>
          <w:highlight w:val="none"/>
        </w:rPr>
      </w:pPr>
    </w:p>
    <w:p w14:paraId="62BB2C99">
      <w:pPr>
        <w:pStyle w:val="4"/>
        <w:rPr>
          <w:rFonts w:hint="eastAsia"/>
          <w:highlight w:val="none"/>
        </w:rPr>
      </w:pPr>
    </w:p>
    <w:p w14:paraId="3E4F54A4">
      <w:pPr>
        <w:pStyle w:val="4"/>
        <w:rPr>
          <w:rFonts w:hint="eastAsia"/>
          <w:highlight w:val="none"/>
        </w:rPr>
      </w:pPr>
    </w:p>
    <w:p w14:paraId="12FE7E5D">
      <w:pPr>
        <w:pStyle w:val="4"/>
        <w:rPr>
          <w:rFonts w:hint="eastAsia"/>
          <w:highlight w:val="none"/>
        </w:rPr>
      </w:pPr>
    </w:p>
    <w:p w14:paraId="7EC8A26E">
      <w:pPr>
        <w:pStyle w:val="4"/>
        <w:rPr>
          <w:rFonts w:hint="eastAsia"/>
          <w:highlight w:val="none"/>
        </w:rPr>
      </w:pPr>
    </w:p>
    <w:p w14:paraId="2A605576">
      <w:pPr>
        <w:pStyle w:val="4"/>
        <w:rPr>
          <w:rFonts w:hint="eastAsia"/>
          <w:highlight w:val="none"/>
        </w:rPr>
      </w:pPr>
    </w:p>
    <w:p w14:paraId="41F254C4">
      <w:pPr>
        <w:pStyle w:val="4"/>
        <w:rPr>
          <w:rFonts w:hint="eastAsia"/>
          <w:highlight w:val="none"/>
        </w:rPr>
      </w:pPr>
    </w:p>
    <w:p w14:paraId="050D78FA">
      <w:pPr>
        <w:pStyle w:val="4"/>
        <w:rPr>
          <w:rFonts w:hint="eastAsia"/>
          <w:highlight w:val="none"/>
        </w:rPr>
      </w:pPr>
    </w:p>
    <w:p w14:paraId="50416788">
      <w:pPr>
        <w:pStyle w:val="4"/>
        <w:rPr>
          <w:rFonts w:hint="eastAsia"/>
          <w:highlight w:val="none"/>
        </w:rPr>
      </w:pPr>
    </w:p>
    <w:p w14:paraId="2D812097">
      <w:pPr>
        <w:pStyle w:val="4"/>
        <w:rPr>
          <w:rFonts w:hint="eastAsia"/>
          <w:highlight w:val="none"/>
        </w:rPr>
      </w:pPr>
    </w:p>
    <w:p w14:paraId="5E6C7189">
      <w:pPr>
        <w:widowControl w:val="0"/>
        <w:ind w:firstLine="420"/>
        <w:jc w:val="both"/>
        <w:rPr>
          <w:rFonts w:hint="eastAsia" w:ascii="Times New Roman" w:hAnsi="Times New Roman" w:eastAsiaTheme="minorEastAsia" w:cstheme="minorBidi"/>
          <w:kern w:val="2"/>
          <w:sz w:val="21"/>
          <w:szCs w:val="20"/>
          <w:highlight w:val="none"/>
          <w:lang w:val="en-US" w:eastAsia="zh-CN" w:bidi="ar-SA"/>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1217"/>
        <w:gridCol w:w="2006"/>
        <w:gridCol w:w="3389"/>
        <w:gridCol w:w="2205"/>
      </w:tblGrid>
      <w:tr w14:paraId="721F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0AB25289">
            <w:pPr>
              <w:widowControl/>
              <w:jc w:val="center"/>
              <w:rPr>
                <w:rFonts w:hint="default" w:ascii="仿宋" w:hAnsi="仿宋" w:eastAsia="仿宋" w:cs="仿宋"/>
                <w:kern w:val="0"/>
                <w:sz w:val="21"/>
                <w:szCs w:val="21"/>
                <w:highlight w:val="none"/>
                <w:lang w:val="en-US" w:eastAsia="zh-CN"/>
              </w:rPr>
            </w:pPr>
            <w:r>
              <w:rPr>
                <w:rFonts w:hint="eastAsia" w:ascii="仿宋" w:hAnsi="仿宋" w:eastAsia="仿宋" w:cs="仿宋"/>
                <w:b/>
                <w:bCs/>
                <w:sz w:val="21"/>
                <w:szCs w:val="21"/>
                <w:highlight w:val="none"/>
                <w:lang w:val="en-US" w:eastAsia="zh-CN"/>
              </w:rPr>
              <w:t>额外扣分项</w:t>
            </w:r>
          </w:p>
        </w:tc>
      </w:tr>
      <w:tr w14:paraId="6496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54" w:type="pct"/>
            <w:shd w:val="clear" w:color="auto" w:fill="auto"/>
            <w:vAlign w:val="center"/>
          </w:tcPr>
          <w:p w14:paraId="054C47BF">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序号</w:t>
            </w:r>
          </w:p>
        </w:tc>
        <w:tc>
          <w:tcPr>
            <w:tcW w:w="655" w:type="pct"/>
            <w:shd w:val="clear" w:color="auto" w:fill="auto"/>
            <w:vAlign w:val="center"/>
          </w:tcPr>
          <w:p w14:paraId="35B2D100">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考核内容</w:t>
            </w:r>
          </w:p>
        </w:tc>
        <w:tc>
          <w:tcPr>
            <w:tcW w:w="1080" w:type="pct"/>
            <w:shd w:val="clear" w:color="auto" w:fill="auto"/>
            <w:vAlign w:val="center"/>
          </w:tcPr>
          <w:p w14:paraId="1201325F">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样本及数量</w:t>
            </w:r>
          </w:p>
        </w:tc>
        <w:tc>
          <w:tcPr>
            <w:tcW w:w="1824" w:type="pct"/>
            <w:vAlign w:val="center"/>
          </w:tcPr>
          <w:p w14:paraId="2F4B226B">
            <w:pPr>
              <w:widowControl w:val="0"/>
              <w:ind w:firstLine="0"/>
              <w:jc w:val="center"/>
              <w:rPr>
                <w:rFonts w:hint="eastAsia" w:ascii="仿宋" w:hAnsi="仿宋" w:eastAsia="仿宋" w:cs="仿宋"/>
                <w:b/>
                <w:bCs/>
                <w:kern w:val="0"/>
                <w:sz w:val="21"/>
                <w:szCs w:val="21"/>
                <w:highlight w:val="none"/>
                <w:lang w:val="en-US" w:eastAsia="zh-CN" w:bidi="ar-SA"/>
              </w:rPr>
            </w:pPr>
            <w:r>
              <w:rPr>
                <w:rFonts w:hint="eastAsia" w:ascii="仿宋" w:hAnsi="仿宋" w:eastAsia="仿宋" w:cs="仿宋"/>
                <w:b/>
                <w:bCs/>
                <w:kern w:val="0"/>
                <w:sz w:val="21"/>
                <w:szCs w:val="21"/>
                <w:highlight w:val="none"/>
                <w:lang w:val="en-US" w:eastAsia="zh-CN" w:bidi="ar-SA"/>
              </w:rPr>
              <w:t>管理要求</w:t>
            </w:r>
          </w:p>
        </w:tc>
        <w:tc>
          <w:tcPr>
            <w:tcW w:w="1185" w:type="pct"/>
            <w:vAlign w:val="center"/>
          </w:tcPr>
          <w:p w14:paraId="33AB4142">
            <w:pPr>
              <w:widowControl/>
              <w:jc w:val="center"/>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评分标准</w:t>
            </w:r>
          </w:p>
        </w:tc>
      </w:tr>
      <w:tr w14:paraId="416B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 w:type="pct"/>
            <w:shd w:val="clear" w:color="auto" w:fill="auto"/>
            <w:vAlign w:val="center"/>
          </w:tcPr>
          <w:p w14:paraId="30A90681">
            <w:pPr>
              <w:widowControl/>
              <w:jc w:val="center"/>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1</w:t>
            </w:r>
          </w:p>
        </w:tc>
        <w:tc>
          <w:tcPr>
            <w:tcW w:w="4745" w:type="pct"/>
            <w:gridSpan w:val="4"/>
            <w:shd w:val="clear" w:color="auto" w:fill="auto"/>
            <w:vAlign w:val="center"/>
          </w:tcPr>
          <w:p w14:paraId="4D04F7C8">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若</w:t>
            </w:r>
            <w:r>
              <w:rPr>
                <w:rFonts w:hint="eastAsia" w:ascii="仿宋" w:hAnsi="仿宋" w:eastAsia="仿宋" w:cs="仿宋"/>
                <w:kern w:val="0"/>
                <w:sz w:val="21"/>
                <w:szCs w:val="21"/>
                <w:highlight w:val="none"/>
                <w:lang w:eastAsia="zh-CN"/>
              </w:rPr>
              <w:t>服务单位</w:t>
            </w:r>
            <w:r>
              <w:rPr>
                <w:rFonts w:hint="eastAsia" w:ascii="仿宋" w:hAnsi="仿宋" w:eastAsia="仿宋" w:cs="仿宋"/>
                <w:kern w:val="0"/>
                <w:sz w:val="21"/>
                <w:szCs w:val="21"/>
                <w:highlight w:val="none"/>
              </w:rPr>
              <w:t>各月配置的本项目作业人员数量均低于区环卫局批准的作业人员数量，</w:t>
            </w:r>
            <w:r>
              <w:rPr>
                <w:rFonts w:hint="eastAsia" w:ascii="仿宋" w:hAnsi="仿宋" w:eastAsia="仿宋" w:cs="仿宋"/>
                <w:kern w:val="0"/>
                <w:sz w:val="21"/>
                <w:szCs w:val="21"/>
                <w:highlight w:val="none"/>
                <w:lang w:eastAsia="zh-CN"/>
              </w:rPr>
              <w:t>根据</w:t>
            </w:r>
            <w:r>
              <w:rPr>
                <w:rFonts w:hint="eastAsia" w:ascii="仿宋" w:hAnsi="仿宋" w:eastAsia="仿宋" w:cs="仿宋"/>
                <w:kern w:val="0"/>
                <w:sz w:val="21"/>
                <w:szCs w:val="21"/>
                <w:highlight w:val="none"/>
                <w:lang w:val="en-US" w:eastAsia="zh-CN"/>
              </w:rPr>
              <w:t>实际</w:t>
            </w:r>
            <w:r>
              <w:rPr>
                <w:rFonts w:hint="eastAsia" w:ascii="仿宋" w:hAnsi="仿宋" w:eastAsia="仿宋" w:cs="仿宋"/>
                <w:kern w:val="0"/>
                <w:sz w:val="21"/>
                <w:szCs w:val="21"/>
                <w:highlight w:val="none"/>
                <w:lang w:eastAsia="zh-CN"/>
              </w:rPr>
              <w:t>缺少人数，按照2010元/人</w:t>
            </w:r>
            <w:r>
              <w:rPr>
                <w:rFonts w:hint="eastAsia" w:ascii="仿宋" w:hAnsi="仿宋" w:eastAsia="仿宋" w:cs="仿宋"/>
                <w:kern w:val="0"/>
                <w:sz w:val="21"/>
                <w:szCs w:val="21"/>
                <w:highlight w:val="none"/>
                <w:lang w:val="en-US" w:eastAsia="zh-CN"/>
              </w:rPr>
              <w:t>/月</w:t>
            </w:r>
            <w:r>
              <w:rPr>
                <w:rFonts w:hint="eastAsia" w:ascii="仿宋" w:hAnsi="仿宋" w:eastAsia="仿宋" w:cs="仿宋"/>
                <w:kern w:val="0"/>
                <w:sz w:val="21"/>
                <w:szCs w:val="21"/>
                <w:highlight w:val="none"/>
                <w:lang w:eastAsia="zh-CN"/>
              </w:rPr>
              <w:t>的标准直接扣减当季度应支付的服务费</w:t>
            </w:r>
            <w:r>
              <w:rPr>
                <w:rFonts w:hint="eastAsia" w:ascii="仿宋" w:hAnsi="仿宋" w:eastAsia="仿宋" w:cs="仿宋"/>
                <w:kern w:val="0"/>
                <w:sz w:val="21"/>
                <w:szCs w:val="21"/>
                <w:highlight w:val="none"/>
              </w:rPr>
              <w:t>；若</w:t>
            </w:r>
            <w:r>
              <w:rPr>
                <w:rFonts w:hint="eastAsia" w:ascii="仿宋" w:hAnsi="仿宋" w:eastAsia="仿宋" w:cs="仿宋"/>
                <w:kern w:val="0"/>
                <w:sz w:val="21"/>
                <w:szCs w:val="21"/>
                <w:highlight w:val="none"/>
                <w:lang w:eastAsia="zh-CN"/>
              </w:rPr>
              <w:t>服务单位</w:t>
            </w:r>
            <w:r>
              <w:rPr>
                <w:rFonts w:hint="eastAsia" w:ascii="仿宋" w:hAnsi="仿宋" w:eastAsia="仿宋" w:cs="仿宋"/>
                <w:kern w:val="0"/>
                <w:sz w:val="21"/>
                <w:szCs w:val="21"/>
                <w:highlight w:val="none"/>
              </w:rPr>
              <w:t>配置的本项目环卫设备资产年度折旧额低于方案折旧额，则区环卫局将按照（方案折旧额-实际配置的环卫设备资产年度折旧额）/12×未足额配置月数的标准（实际配置的环卫设备资产年度折旧额以</w:t>
            </w:r>
            <w:r>
              <w:rPr>
                <w:rFonts w:hint="eastAsia" w:ascii="仿宋" w:hAnsi="仿宋" w:eastAsia="仿宋" w:cs="仿宋"/>
                <w:kern w:val="0"/>
                <w:sz w:val="21"/>
                <w:szCs w:val="21"/>
                <w:highlight w:val="none"/>
                <w:lang w:eastAsia="zh-CN"/>
              </w:rPr>
              <w:t>服务单位</w:t>
            </w:r>
            <w:r>
              <w:rPr>
                <w:rFonts w:hint="eastAsia" w:ascii="仿宋" w:hAnsi="仿宋" w:eastAsia="仿宋" w:cs="仿宋"/>
                <w:kern w:val="0"/>
                <w:sz w:val="21"/>
                <w:szCs w:val="21"/>
                <w:highlight w:val="none"/>
              </w:rPr>
              <w:t>报送的环卫设备配置方案中年度折旧额为参考依据，以区环卫局认定的折旧额为准），直接扣减当季度应支付的服务费，其中，未足额配置月数不足一个月的按一个月计算。</w:t>
            </w:r>
          </w:p>
        </w:tc>
      </w:tr>
      <w:tr w14:paraId="7000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 w:type="pct"/>
            <w:shd w:val="clear" w:color="auto" w:fill="auto"/>
            <w:vAlign w:val="center"/>
          </w:tcPr>
          <w:p w14:paraId="787A1022">
            <w:pPr>
              <w:widowControl/>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2</w:t>
            </w:r>
          </w:p>
        </w:tc>
        <w:tc>
          <w:tcPr>
            <w:tcW w:w="4745" w:type="pct"/>
            <w:gridSpan w:val="4"/>
            <w:shd w:val="clear" w:color="auto" w:fill="auto"/>
            <w:vAlign w:val="center"/>
          </w:tcPr>
          <w:p w14:paraId="7E1B9EF0">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lang w:eastAsia="zh-CN"/>
              </w:rPr>
              <w:t>服务单位</w:t>
            </w:r>
            <w:r>
              <w:rPr>
                <w:rFonts w:hint="eastAsia" w:ascii="仿宋" w:hAnsi="仿宋" w:eastAsia="仿宋" w:cs="仿宋"/>
                <w:kern w:val="0"/>
                <w:sz w:val="21"/>
                <w:szCs w:val="21"/>
                <w:highlight w:val="none"/>
              </w:rPr>
              <w:t>应按要求制订安全生产应急预案。发生安全生产事故，造成人员死亡的在当周考核得分中扣10分，伤残的扣5分；发生重大交通事故并负主要责任的（以交警裁定结果为准）在当周考核得分中扣5分；发生重大事故且未在第一时间上报或隐瞒不报的，在当月考核得分中扣4分。</w:t>
            </w:r>
          </w:p>
        </w:tc>
      </w:tr>
      <w:tr w14:paraId="7AB6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 w:type="pct"/>
            <w:shd w:val="clear" w:color="auto" w:fill="auto"/>
            <w:vAlign w:val="center"/>
          </w:tcPr>
          <w:p w14:paraId="065F35D2">
            <w:pPr>
              <w:widowControl/>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3</w:t>
            </w:r>
          </w:p>
        </w:tc>
        <w:tc>
          <w:tcPr>
            <w:tcW w:w="4745" w:type="pct"/>
            <w:gridSpan w:val="4"/>
            <w:shd w:val="clear" w:color="auto" w:fill="auto"/>
            <w:vAlign w:val="center"/>
          </w:tcPr>
          <w:p w14:paraId="2CC35918">
            <w:pPr>
              <w:widowControl/>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每月度，由区环卫局负责统计各镇政府收到的当月度涉及到项目作业范围内的12345热线投诉件、新闻媒体报告、省市领导点名批示。累计存在五件12345热线投诉件以上，每多一件扣1分，最多扣4分；每有一起新闻媒体报告或省市领导点名批示扣4分。</w:t>
            </w:r>
          </w:p>
        </w:tc>
      </w:tr>
    </w:tbl>
    <w:p w14:paraId="21E773A7">
      <w:pPr>
        <w:rPr>
          <w:rFonts w:hint="eastAsia" w:ascii="仿宋" w:hAnsi="仿宋" w:eastAsia="仿宋" w:cs="仿宋"/>
          <w:b/>
          <w:bCs/>
          <w:sz w:val="28"/>
          <w:szCs w:val="28"/>
          <w:highlight w:val="none"/>
          <w:lang w:eastAsia="zh-CN"/>
        </w:rPr>
      </w:pPr>
    </w:p>
    <w:p w14:paraId="650BB650">
      <w:pPr>
        <w:widowControl/>
        <w:spacing w:line="20" w:lineRule="exact"/>
        <w:rPr>
          <w:rFonts w:hint="eastAsia" w:ascii="仿宋" w:hAnsi="仿宋" w:eastAsia="仿宋" w:cs="仿宋"/>
          <w:b/>
          <w:sz w:val="28"/>
          <w:szCs w:val="28"/>
          <w:highlight w:val="none"/>
        </w:rPr>
      </w:pPr>
    </w:p>
    <w:p w14:paraId="04ACF8F5">
      <w:pPr>
        <w:pStyle w:val="4"/>
        <w:rPr>
          <w:rFonts w:hint="eastAsia" w:asciiTheme="minorEastAsia" w:hAnsiTheme="minorEastAsia" w:eastAsiaTheme="minorEastAsia" w:cstheme="minorEastAsia"/>
          <w:color w:val="auto"/>
          <w:sz w:val="24"/>
          <w:szCs w:val="24"/>
          <w:lang w:eastAsia="zh-CN"/>
        </w:rPr>
        <w:sectPr>
          <w:headerReference r:id="rId6" w:type="default"/>
          <w:footerReference r:id="rId7" w:type="default"/>
          <w:pgSz w:w="11906" w:h="16839"/>
          <w:pgMar w:top="1207" w:right="1416" w:bottom="1113" w:left="1417" w:header="845" w:footer="899" w:gutter="0"/>
          <w:pgNumType w:fmt="decimal"/>
          <w:cols w:space="720" w:num="1"/>
        </w:sectPr>
      </w:pPr>
    </w:p>
    <w:p w14:paraId="2CB39AED">
      <w:pPr>
        <w:pStyle w:val="5"/>
        <w:spacing w:before="195" w:line="219" w:lineRule="auto"/>
        <w:ind w:left="3461"/>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pacing w:val="-3"/>
          <w:sz w:val="24"/>
          <w:szCs w:val="24"/>
        </w:rPr>
        <w:t>第</w:t>
      </w:r>
      <w:r>
        <w:rPr>
          <w:rFonts w:hint="eastAsia" w:asciiTheme="minorEastAsia" w:hAnsiTheme="minorEastAsia" w:eastAsiaTheme="minorEastAsia" w:cstheme="minorEastAsia"/>
          <w:b/>
          <w:bCs/>
          <w:color w:val="auto"/>
          <w:spacing w:val="-3"/>
          <w:sz w:val="24"/>
          <w:szCs w:val="24"/>
          <w:lang w:val="en-US" w:eastAsia="zh-CN"/>
        </w:rPr>
        <w:t>九</w:t>
      </w:r>
      <w:r>
        <w:rPr>
          <w:rFonts w:hint="eastAsia" w:asciiTheme="minorEastAsia" w:hAnsiTheme="minorEastAsia" w:eastAsiaTheme="minorEastAsia" w:cstheme="minorEastAsia"/>
          <w:b/>
          <w:bCs/>
          <w:color w:val="auto"/>
          <w:spacing w:val="-3"/>
          <w:sz w:val="24"/>
          <w:szCs w:val="24"/>
        </w:rPr>
        <w:t>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lang w:val="en-US" w:eastAsia="zh-CN"/>
        </w:rPr>
        <w:t>其他条款</w:t>
      </w:r>
    </w:p>
    <w:p w14:paraId="5E9463FF">
      <w:pPr>
        <w:pStyle w:val="4"/>
        <w:rPr>
          <w:rFonts w:hint="eastAsia" w:asciiTheme="minorEastAsia" w:hAnsiTheme="minorEastAsia" w:eastAsiaTheme="minorEastAsia" w:cstheme="minorEastAsia"/>
          <w:color w:val="auto"/>
          <w:sz w:val="24"/>
          <w:szCs w:val="24"/>
          <w:lang w:eastAsia="zh-CN"/>
        </w:rPr>
      </w:pPr>
    </w:p>
    <w:p w14:paraId="698CA18C">
      <w:pPr>
        <w:pStyle w:val="5"/>
        <w:spacing w:before="1"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第</w:t>
      </w:r>
      <w:r>
        <w:rPr>
          <w:rFonts w:hint="eastAsia" w:asciiTheme="minorEastAsia" w:hAnsiTheme="minorEastAsia" w:eastAsiaTheme="minorEastAsia" w:cstheme="minorEastAsia"/>
          <w:b/>
          <w:bCs/>
          <w:color w:val="auto"/>
          <w:spacing w:val="-5"/>
          <w:sz w:val="24"/>
          <w:szCs w:val="24"/>
          <w:lang w:val="en-US" w:eastAsia="zh-CN"/>
        </w:rPr>
        <w:t>十二</w:t>
      </w:r>
      <w:r>
        <w:rPr>
          <w:rFonts w:hint="eastAsia" w:asciiTheme="minorEastAsia" w:hAnsiTheme="minorEastAsia" w:eastAsiaTheme="minorEastAsia" w:cstheme="minorEastAsia"/>
          <w:b/>
          <w:bCs/>
          <w:color w:val="auto"/>
          <w:spacing w:val="-5"/>
          <w:sz w:val="24"/>
          <w:szCs w:val="24"/>
        </w:rPr>
        <w:t>条</w:t>
      </w:r>
      <w:r>
        <w:rPr>
          <w:rFonts w:hint="eastAsia" w:asciiTheme="minorEastAsia" w:hAnsiTheme="minorEastAsia" w:eastAsiaTheme="minorEastAsia" w:cstheme="minorEastAsia"/>
          <w:color w:val="auto"/>
          <w:spacing w:val="24"/>
          <w:sz w:val="24"/>
          <w:szCs w:val="24"/>
        </w:rPr>
        <w:t xml:space="preserve"> </w:t>
      </w:r>
      <w:r>
        <w:rPr>
          <w:rFonts w:hint="eastAsia" w:asciiTheme="minorEastAsia" w:hAnsiTheme="minorEastAsia" w:eastAsiaTheme="minorEastAsia" w:cstheme="minorEastAsia"/>
          <w:color w:val="auto"/>
          <w:spacing w:val="-5"/>
          <w:sz w:val="24"/>
          <w:szCs w:val="24"/>
        </w:rPr>
        <w:t>强制保险</w:t>
      </w:r>
    </w:p>
    <w:p w14:paraId="190F6DE7">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项目运营期间可能遇到不可预期或者是不可控制的风险，服务单位应该按照行业国家管理规定办理和维持合理的运营保险，从而实现本项目合作期内风险控制的目的，降低政府和服务单位的风险。</w:t>
      </w:r>
    </w:p>
    <w:p w14:paraId="1B5FCBC1">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在项目运营期应投险种主要包括财产一切险和第三者责任险。除上述强制险种以外，服务单位应该根据谨慎运营惯例购买相应险种。</w:t>
      </w:r>
    </w:p>
    <w:p w14:paraId="647D9B25">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b/>
          <w:bCs/>
          <w:color w:val="auto"/>
          <w:spacing w:val="-2"/>
          <w:sz w:val="24"/>
          <w:szCs w:val="24"/>
          <w:lang w:eastAsia="zh-CN"/>
        </w:rPr>
        <w:t>第十</w:t>
      </w:r>
      <w:r>
        <w:rPr>
          <w:rFonts w:hint="eastAsia" w:asciiTheme="minorEastAsia" w:hAnsiTheme="minorEastAsia" w:eastAsiaTheme="minorEastAsia" w:cstheme="minorEastAsia"/>
          <w:b/>
          <w:bCs/>
          <w:color w:val="auto"/>
          <w:spacing w:val="-2"/>
          <w:sz w:val="24"/>
          <w:szCs w:val="24"/>
          <w:lang w:val="en-US" w:eastAsia="zh-CN"/>
        </w:rPr>
        <w:t>三</w:t>
      </w:r>
      <w:r>
        <w:rPr>
          <w:rFonts w:hint="eastAsia" w:asciiTheme="minorEastAsia" w:hAnsiTheme="minorEastAsia" w:eastAsiaTheme="minorEastAsia" w:cstheme="minorEastAsia"/>
          <w:b/>
          <w:bCs/>
          <w:color w:val="auto"/>
          <w:spacing w:val="-2"/>
          <w:sz w:val="24"/>
          <w:szCs w:val="24"/>
          <w:lang w:eastAsia="zh-CN"/>
        </w:rPr>
        <w:t>条</w:t>
      </w:r>
      <w:r>
        <w:rPr>
          <w:rFonts w:hint="eastAsia" w:asciiTheme="minorEastAsia" w:hAnsiTheme="minorEastAsia" w:eastAsiaTheme="minorEastAsia" w:cstheme="minorEastAsia"/>
          <w:color w:val="auto"/>
          <w:spacing w:val="-2"/>
          <w:sz w:val="24"/>
          <w:szCs w:val="24"/>
          <w:lang w:val="en-US" w:eastAsia="zh-CN"/>
        </w:rPr>
        <w:t xml:space="preserve"> </w:t>
      </w:r>
      <w:r>
        <w:rPr>
          <w:rFonts w:hint="eastAsia" w:asciiTheme="minorEastAsia" w:hAnsiTheme="minorEastAsia" w:eastAsiaTheme="minorEastAsia" w:cstheme="minorEastAsia"/>
          <w:color w:val="auto"/>
          <w:spacing w:val="-2"/>
          <w:sz w:val="24"/>
          <w:szCs w:val="24"/>
          <w:lang w:eastAsia="zh-CN"/>
        </w:rPr>
        <w:t>原有资产</w:t>
      </w:r>
    </w:p>
    <w:p w14:paraId="41B5D94C">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原美兰区政府环卫作业设备和现有环卫作业服务单位的作业设备，经原设备产权归属单位进行资产评估后，由中标的服务单位以资产评估价进行购买。</w:t>
      </w:r>
    </w:p>
    <w:p w14:paraId="785DFFF0">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b/>
          <w:bCs/>
          <w:color w:val="auto"/>
          <w:spacing w:val="-2"/>
          <w:sz w:val="24"/>
          <w:szCs w:val="24"/>
          <w:lang w:eastAsia="zh-CN"/>
        </w:rPr>
        <w:t>第十</w:t>
      </w:r>
      <w:r>
        <w:rPr>
          <w:rFonts w:hint="eastAsia" w:asciiTheme="minorEastAsia" w:hAnsiTheme="minorEastAsia" w:eastAsiaTheme="minorEastAsia" w:cstheme="minorEastAsia"/>
          <w:b/>
          <w:bCs/>
          <w:color w:val="auto"/>
          <w:spacing w:val="-2"/>
          <w:sz w:val="24"/>
          <w:szCs w:val="24"/>
          <w:lang w:val="en-US" w:eastAsia="zh-CN"/>
        </w:rPr>
        <w:t>四</w:t>
      </w:r>
      <w:r>
        <w:rPr>
          <w:rFonts w:hint="eastAsia" w:asciiTheme="minorEastAsia" w:hAnsiTheme="minorEastAsia" w:eastAsiaTheme="minorEastAsia" w:cstheme="minorEastAsia"/>
          <w:b/>
          <w:bCs/>
          <w:color w:val="auto"/>
          <w:spacing w:val="-2"/>
          <w:sz w:val="24"/>
          <w:szCs w:val="24"/>
          <w:lang w:eastAsia="zh-CN"/>
        </w:rPr>
        <w:t>条</w:t>
      </w:r>
      <w:r>
        <w:rPr>
          <w:rFonts w:hint="eastAsia" w:asciiTheme="minorEastAsia" w:hAnsiTheme="minorEastAsia" w:eastAsiaTheme="minorEastAsia" w:cstheme="minorEastAsia"/>
          <w:color w:val="auto"/>
          <w:spacing w:val="-2"/>
          <w:sz w:val="24"/>
          <w:szCs w:val="24"/>
          <w:lang w:val="en-US" w:eastAsia="zh-CN"/>
        </w:rPr>
        <w:t xml:space="preserve"> </w:t>
      </w:r>
      <w:r>
        <w:rPr>
          <w:rFonts w:hint="eastAsia" w:asciiTheme="minorEastAsia" w:hAnsiTheme="minorEastAsia" w:eastAsiaTheme="minorEastAsia" w:cstheme="minorEastAsia"/>
          <w:color w:val="auto"/>
          <w:spacing w:val="-2"/>
          <w:sz w:val="24"/>
          <w:szCs w:val="24"/>
          <w:lang w:eastAsia="zh-CN"/>
        </w:rPr>
        <w:t>辖区作业范围全覆盖</w:t>
      </w:r>
    </w:p>
    <w:p w14:paraId="453CC45F">
      <w:pPr>
        <w:pStyle w:val="5"/>
        <w:spacing w:before="154" w:line="299" w:lineRule="auto"/>
        <w:ind w:left="33" w:right="13" w:firstLine="481"/>
        <w:rPr>
          <w:sz w:val="24"/>
          <w:szCs w:val="24"/>
        </w:rPr>
      </w:pPr>
      <w:r>
        <w:rPr>
          <w:spacing w:val="-4"/>
          <w:sz w:val="24"/>
          <w:szCs w:val="24"/>
        </w:rPr>
        <w:t>（1）根据测绘公司提供的数据，宽度小于</w:t>
      </w:r>
      <w:r>
        <w:rPr>
          <w:spacing w:val="-46"/>
          <w:sz w:val="24"/>
          <w:szCs w:val="24"/>
        </w:rPr>
        <w:t xml:space="preserve"> </w:t>
      </w:r>
      <w:r>
        <w:rPr>
          <w:spacing w:val="-4"/>
          <w:sz w:val="24"/>
          <w:szCs w:val="24"/>
        </w:rPr>
        <w:t>3m</w:t>
      </w:r>
      <w:r>
        <w:rPr>
          <w:spacing w:val="-31"/>
          <w:sz w:val="24"/>
          <w:szCs w:val="24"/>
        </w:rPr>
        <w:t xml:space="preserve"> </w:t>
      </w:r>
      <w:r>
        <w:rPr>
          <w:spacing w:val="-4"/>
          <w:sz w:val="24"/>
          <w:szCs w:val="24"/>
        </w:rPr>
        <w:t>的村巷小路面积</w:t>
      </w:r>
      <w:r>
        <w:rPr>
          <w:spacing w:val="-3"/>
          <w:sz w:val="24"/>
          <w:szCs w:val="24"/>
        </w:rPr>
        <w:t>未纳入测绘报告和本实施方案的计费项目中，但服务单</w:t>
      </w:r>
      <w:r>
        <w:rPr>
          <w:spacing w:val="-4"/>
          <w:sz w:val="24"/>
          <w:szCs w:val="24"/>
        </w:rPr>
        <w:t>位应无偿对农村区域范</w:t>
      </w:r>
      <w:r>
        <w:rPr>
          <w:spacing w:val="-3"/>
          <w:sz w:val="24"/>
          <w:szCs w:val="24"/>
        </w:rPr>
        <w:t>围内宽度小于</w:t>
      </w:r>
      <w:r>
        <w:rPr>
          <w:spacing w:val="-38"/>
          <w:sz w:val="24"/>
          <w:szCs w:val="24"/>
        </w:rPr>
        <w:t xml:space="preserve"> </w:t>
      </w:r>
      <w:r>
        <w:rPr>
          <w:spacing w:val="-3"/>
          <w:sz w:val="24"/>
          <w:szCs w:val="24"/>
        </w:rPr>
        <w:t>3m</w:t>
      </w:r>
      <w:r>
        <w:rPr>
          <w:spacing w:val="-31"/>
          <w:sz w:val="24"/>
          <w:szCs w:val="24"/>
        </w:rPr>
        <w:t xml:space="preserve"> </w:t>
      </w:r>
      <w:r>
        <w:rPr>
          <w:spacing w:val="-3"/>
          <w:sz w:val="24"/>
          <w:szCs w:val="24"/>
        </w:rPr>
        <w:t>的村巷小路定期开展清扫保洁工作；</w:t>
      </w:r>
    </w:p>
    <w:p w14:paraId="65865B3C">
      <w:pPr>
        <w:pStyle w:val="5"/>
        <w:spacing w:before="196" w:line="339" w:lineRule="auto"/>
        <w:ind w:left="11" w:right="72" w:firstLine="481"/>
        <w:jc w:val="left"/>
        <w:rPr>
          <w:sz w:val="24"/>
          <w:szCs w:val="24"/>
        </w:rPr>
      </w:pPr>
      <w:r>
        <w:rPr>
          <w:spacing w:val="-1"/>
          <w:sz w:val="24"/>
          <w:szCs w:val="24"/>
        </w:rPr>
        <w:t>（2）在测绘公司出具本项目的测绘报告后，若美兰区辖区乡镇清扫保洁区</w:t>
      </w:r>
      <w:r>
        <w:rPr>
          <w:spacing w:val="-3"/>
          <w:sz w:val="24"/>
          <w:szCs w:val="24"/>
        </w:rPr>
        <w:t>域和垃圾分类区域未纳入测量范围或根据现状需要减少作业面积，实际作业面积</w:t>
      </w:r>
      <w:r>
        <w:rPr>
          <w:rFonts w:hint="eastAsia" w:asciiTheme="minorEastAsia" w:hAnsiTheme="minorEastAsia" w:eastAsiaTheme="minorEastAsia" w:cstheme="minorEastAsia"/>
          <w:color w:val="auto"/>
          <w:spacing w:val="-2"/>
          <w:sz w:val="24"/>
          <w:szCs w:val="24"/>
          <w:lang w:eastAsia="zh-CN"/>
        </w:rPr>
        <w:t>。</w:t>
      </w:r>
      <w:r>
        <w:rPr>
          <w:spacing w:val="-1"/>
          <w:sz w:val="24"/>
          <w:szCs w:val="24"/>
        </w:rPr>
        <w:t>与招标文件里约定的总面积相差</w:t>
      </w:r>
      <w:r>
        <w:rPr>
          <w:spacing w:val="-33"/>
          <w:sz w:val="24"/>
          <w:szCs w:val="24"/>
        </w:rPr>
        <w:t xml:space="preserve"> </w:t>
      </w:r>
      <w:r>
        <w:rPr>
          <w:spacing w:val="-1"/>
          <w:sz w:val="24"/>
          <w:szCs w:val="24"/>
        </w:rPr>
        <w:t>1%（含）以内的，区环境卫</w:t>
      </w:r>
      <w:r>
        <w:rPr>
          <w:spacing w:val="-2"/>
          <w:sz w:val="24"/>
          <w:szCs w:val="24"/>
        </w:rPr>
        <w:t>生管理局无需增加</w:t>
      </w:r>
      <w:r>
        <w:rPr>
          <w:spacing w:val="-3"/>
          <w:sz w:val="24"/>
          <w:szCs w:val="24"/>
        </w:rPr>
        <w:t>或扣减该新增或减少的作业面积的服务费，新增部分由服务单位开展环卫作业工</w:t>
      </w:r>
      <w:r>
        <w:rPr>
          <w:spacing w:val="-1"/>
          <w:sz w:val="24"/>
          <w:szCs w:val="24"/>
        </w:rPr>
        <w:t>作；实际作业面积与招标文件里约定的总面积的相差超过</w:t>
      </w:r>
      <w:r>
        <w:rPr>
          <w:spacing w:val="-33"/>
          <w:sz w:val="24"/>
          <w:szCs w:val="24"/>
        </w:rPr>
        <w:t xml:space="preserve"> </w:t>
      </w:r>
      <w:r>
        <w:rPr>
          <w:spacing w:val="-1"/>
          <w:sz w:val="24"/>
          <w:szCs w:val="24"/>
        </w:rPr>
        <w:t>1%的，由区环境卫生</w:t>
      </w:r>
      <w:r>
        <w:rPr>
          <w:spacing w:val="-3"/>
          <w:sz w:val="24"/>
          <w:szCs w:val="24"/>
        </w:rPr>
        <w:t>管理局结合中标单价调整作业经费。对增减的具体面积，由区环境卫生管理局聘</w:t>
      </w:r>
      <w:r>
        <w:rPr>
          <w:sz w:val="24"/>
          <w:szCs w:val="24"/>
        </w:rPr>
        <w:t>请的测绘单位出具的测绘报告为准，相关测绘</w:t>
      </w:r>
      <w:r>
        <w:rPr>
          <w:spacing w:val="-1"/>
          <w:sz w:val="24"/>
          <w:szCs w:val="24"/>
        </w:rPr>
        <w:t>费由服务单位承担。</w:t>
      </w:r>
    </w:p>
    <w:p w14:paraId="19971C8B">
      <w:pPr>
        <w:pStyle w:val="5"/>
        <w:spacing w:line="219" w:lineRule="auto"/>
        <w:ind w:left="514"/>
        <w:rPr>
          <w:sz w:val="24"/>
          <w:szCs w:val="24"/>
        </w:rPr>
      </w:pPr>
      <w:r>
        <w:rPr>
          <w:spacing w:val="-1"/>
          <w:sz w:val="24"/>
          <w:szCs w:val="24"/>
        </w:rPr>
        <w:t>（3）公厕管理与垃圾清运服务按照实际数量计算服务费。</w:t>
      </w:r>
    </w:p>
    <w:p w14:paraId="682CC53F">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b/>
          <w:bCs/>
          <w:color w:val="auto"/>
          <w:spacing w:val="-2"/>
          <w:sz w:val="24"/>
          <w:szCs w:val="24"/>
          <w:lang w:eastAsia="zh-CN"/>
        </w:rPr>
        <w:t>第</w:t>
      </w:r>
      <w:r>
        <w:rPr>
          <w:rFonts w:hint="eastAsia" w:asciiTheme="minorEastAsia" w:hAnsiTheme="minorEastAsia" w:eastAsiaTheme="minorEastAsia" w:cstheme="minorEastAsia"/>
          <w:b/>
          <w:bCs/>
          <w:color w:val="auto"/>
          <w:spacing w:val="-2"/>
          <w:sz w:val="24"/>
          <w:szCs w:val="24"/>
          <w:lang w:val="en-US" w:eastAsia="zh-CN"/>
        </w:rPr>
        <w:t>十五条</w:t>
      </w:r>
      <w:r>
        <w:rPr>
          <w:rFonts w:hint="eastAsia" w:asciiTheme="minorEastAsia" w:hAnsiTheme="minorEastAsia" w:eastAsiaTheme="minorEastAsia" w:cstheme="minorEastAsia"/>
          <w:color w:val="auto"/>
          <w:spacing w:val="-2"/>
          <w:sz w:val="24"/>
          <w:szCs w:val="24"/>
          <w:lang w:val="en-US" w:eastAsia="zh-CN"/>
        </w:rPr>
        <w:t xml:space="preserve"> </w:t>
      </w:r>
      <w:r>
        <w:rPr>
          <w:rFonts w:hint="eastAsia" w:asciiTheme="minorEastAsia" w:hAnsiTheme="minorEastAsia" w:eastAsiaTheme="minorEastAsia" w:cstheme="minorEastAsia"/>
          <w:color w:val="auto"/>
          <w:spacing w:val="-2"/>
          <w:sz w:val="24"/>
          <w:szCs w:val="24"/>
          <w:lang w:eastAsia="zh-CN"/>
        </w:rPr>
        <w:t>税率</w:t>
      </w:r>
    </w:p>
    <w:p w14:paraId="1897EDA3">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服务单位应按照相关法律法规依法纳税、依法享受相关税收优惠政策，将税费缴纳至项目所在地税务机关。</w:t>
      </w:r>
    </w:p>
    <w:p w14:paraId="17844156">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eastAsia="zh-CN"/>
        </w:rPr>
        <w:t>合作年限内，服务单位应执行最新的增值税税收政策。若因国家重大税费减免政策导致服务单位运营成本减少的，是否降低服务费付费金额则按省、市统一指导意见执行。</w:t>
      </w:r>
    </w:p>
    <w:p w14:paraId="7497EA0D">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val="en-US" w:eastAsia="zh-CN"/>
        </w:rPr>
      </w:pPr>
      <w:r>
        <w:rPr>
          <w:rFonts w:hint="eastAsia" w:asciiTheme="minorEastAsia" w:hAnsiTheme="minorEastAsia" w:eastAsiaTheme="minorEastAsia" w:cstheme="minorEastAsia"/>
          <w:b/>
          <w:bCs/>
          <w:color w:val="auto"/>
          <w:spacing w:val="-2"/>
          <w:sz w:val="24"/>
          <w:szCs w:val="24"/>
          <w:lang w:eastAsia="zh-CN"/>
        </w:rPr>
        <w:t>第</w:t>
      </w:r>
      <w:r>
        <w:rPr>
          <w:rFonts w:hint="eastAsia" w:asciiTheme="minorEastAsia" w:hAnsiTheme="minorEastAsia" w:eastAsiaTheme="minorEastAsia" w:cstheme="minorEastAsia"/>
          <w:b/>
          <w:bCs/>
          <w:color w:val="auto"/>
          <w:spacing w:val="-2"/>
          <w:sz w:val="24"/>
          <w:szCs w:val="24"/>
          <w:lang w:val="en-US" w:eastAsia="zh-CN"/>
        </w:rPr>
        <w:t>十六</w:t>
      </w:r>
      <w:r>
        <w:rPr>
          <w:rFonts w:hint="eastAsia" w:asciiTheme="minorEastAsia" w:hAnsiTheme="minorEastAsia" w:eastAsiaTheme="minorEastAsia" w:cstheme="minorEastAsia"/>
          <w:b/>
          <w:bCs/>
          <w:color w:val="auto"/>
          <w:spacing w:val="-2"/>
          <w:sz w:val="24"/>
          <w:szCs w:val="24"/>
          <w:lang w:eastAsia="zh-CN"/>
        </w:rPr>
        <w:t>条</w:t>
      </w:r>
      <w:r>
        <w:rPr>
          <w:rFonts w:hint="eastAsia" w:asciiTheme="minorEastAsia" w:hAnsiTheme="minorEastAsia" w:eastAsiaTheme="minorEastAsia" w:cstheme="minorEastAsia"/>
          <w:color w:val="auto"/>
          <w:spacing w:val="-2"/>
          <w:sz w:val="24"/>
          <w:szCs w:val="24"/>
          <w:lang w:val="en-US" w:eastAsia="zh-CN"/>
        </w:rPr>
        <w:t xml:space="preserve"> 应急工作</w:t>
      </w:r>
    </w:p>
    <w:p w14:paraId="0B5F6310">
      <w:pPr>
        <w:pStyle w:val="5"/>
        <w:spacing w:before="196" w:line="339" w:lineRule="auto"/>
        <w:ind w:left="11" w:right="72" w:firstLine="481"/>
        <w:rPr>
          <w:rFonts w:hint="eastAsia" w:asciiTheme="minorEastAsia" w:hAnsiTheme="minorEastAsia" w:eastAsiaTheme="minorEastAsia" w:cstheme="minorEastAsia"/>
          <w:b/>
          <w:bCs/>
          <w:color w:val="auto"/>
          <w:spacing w:val="-3"/>
          <w:sz w:val="24"/>
          <w:szCs w:val="24"/>
        </w:rPr>
      </w:pPr>
      <w:r>
        <w:rPr>
          <w:rFonts w:hint="eastAsia" w:asciiTheme="minorEastAsia" w:hAnsiTheme="minorEastAsia" w:eastAsiaTheme="minorEastAsia" w:cstheme="minorEastAsia"/>
          <w:color w:val="auto"/>
          <w:spacing w:val="-2"/>
          <w:sz w:val="24"/>
          <w:szCs w:val="24"/>
          <w:lang w:eastAsia="zh-CN"/>
        </w:rPr>
        <w:t>合作年限内，服务单位应</w:t>
      </w:r>
      <w:r>
        <w:rPr>
          <w:rFonts w:hint="eastAsia" w:asciiTheme="minorEastAsia" w:hAnsiTheme="minorEastAsia" w:eastAsiaTheme="minorEastAsia" w:cstheme="minorEastAsia"/>
          <w:color w:val="auto"/>
          <w:spacing w:val="-2"/>
          <w:sz w:val="24"/>
          <w:szCs w:val="24"/>
          <w:lang w:val="en-US" w:eastAsia="zh-CN"/>
        </w:rPr>
        <w:t>无条件配合区环境卫生管理局疫情防控、应急响应等突发事件的应急工作。</w:t>
      </w:r>
    </w:p>
    <w:p w14:paraId="2A85CF47">
      <w:pPr>
        <w:pStyle w:val="5"/>
        <w:spacing w:before="196" w:line="219" w:lineRule="auto"/>
        <w:ind w:left="352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第十部分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违约责任</w:t>
      </w:r>
    </w:p>
    <w:p w14:paraId="6056449E">
      <w:pPr>
        <w:pStyle w:val="5"/>
        <w:spacing w:before="196" w:line="319" w:lineRule="auto"/>
        <w:ind w:left="7" w:right="80"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十七</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乙方隐瞒不报导致发生重大质量事故或安全事故的，依据情节严重程</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2"/>
          <w:sz w:val="24"/>
          <w:szCs w:val="24"/>
        </w:rPr>
        <w:t>度，甲方在取得行政主管部门的同意后，有权临时接管乙方承包的项目，并取消合同，</w:t>
      </w:r>
      <w:r>
        <w:rPr>
          <w:rFonts w:hint="eastAsia" w:asciiTheme="minorEastAsia" w:hAnsiTheme="minorEastAsia" w:eastAsiaTheme="minorEastAsia" w:cstheme="minorEastAsia"/>
          <w:color w:val="auto"/>
          <w:spacing w:val="18"/>
          <w:sz w:val="24"/>
          <w:szCs w:val="24"/>
        </w:rPr>
        <w:t xml:space="preserve"> </w:t>
      </w:r>
      <w:r>
        <w:rPr>
          <w:rFonts w:hint="eastAsia" w:asciiTheme="minorEastAsia" w:hAnsiTheme="minorEastAsia" w:eastAsiaTheme="minorEastAsia" w:cstheme="minorEastAsia"/>
          <w:color w:val="auto"/>
          <w:spacing w:val="-1"/>
          <w:sz w:val="24"/>
          <w:szCs w:val="24"/>
        </w:rPr>
        <w:t>由此造成的损失由乙方承担。</w:t>
      </w:r>
    </w:p>
    <w:p w14:paraId="5FEECCE1">
      <w:pPr>
        <w:pStyle w:val="5"/>
        <w:spacing w:before="196" w:line="294" w:lineRule="auto"/>
        <w:ind w:left="10" w:right="80" w:firstLine="47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十八</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如由于乙方的原因不办理或无法取得服务许可，导致乙方不能从事环</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z w:val="24"/>
          <w:szCs w:val="24"/>
        </w:rPr>
        <w:t>卫作业项目服务的，甲方有权解除合同，乙方应赔</w:t>
      </w:r>
      <w:r>
        <w:rPr>
          <w:rFonts w:hint="eastAsia" w:asciiTheme="minorEastAsia" w:hAnsiTheme="minorEastAsia" w:eastAsiaTheme="minorEastAsia" w:cstheme="minorEastAsia"/>
          <w:color w:val="auto"/>
          <w:spacing w:val="-1"/>
          <w:sz w:val="24"/>
          <w:szCs w:val="24"/>
        </w:rPr>
        <w:t>偿甲方由此产生的经济损失。</w:t>
      </w:r>
    </w:p>
    <w:p w14:paraId="12862045">
      <w:pPr>
        <w:pStyle w:val="5"/>
        <w:spacing w:before="195" w:line="294" w:lineRule="auto"/>
        <w:ind w:left="7" w:right="80"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十九</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乙方将承包的合同转包或分包给他人，甲方有权解除合同，乙方应赔</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1"/>
          <w:sz w:val="24"/>
          <w:szCs w:val="24"/>
        </w:rPr>
        <w:t>偿甲方由此产生的经济损失。</w:t>
      </w:r>
    </w:p>
    <w:p w14:paraId="531A1F4F">
      <w:pPr>
        <w:pStyle w:val="5"/>
        <w:spacing w:before="196" w:line="294" w:lineRule="auto"/>
        <w:ind w:left="14" w:right="80" w:firstLine="474"/>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bCs/>
          <w:color w:val="auto"/>
          <w:spacing w:val="-2"/>
          <w:sz w:val="24"/>
          <w:szCs w:val="24"/>
        </w:rPr>
        <w:t>第二十条</w:t>
      </w:r>
      <w:r>
        <w:rPr>
          <w:rFonts w:hint="eastAsia" w:asciiTheme="minorEastAsia" w:hAnsiTheme="minorEastAsia" w:eastAsiaTheme="minorEastAsia" w:cstheme="minorEastAsia"/>
          <w:color w:val="auto"/>
          <w:spacing w:val="-2"/>
          <w:sz w:val="24"/>
          <w:szCs w:val="24"/>
        </w:rPr>
        <w:t xml:space="preserve">  本合同当事人任何一方无法律依据提前终止合同的，造成对方经济损</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2"/>
          <w:sz w:val="24"/>
          <w:szCs w:val="24"/>
        </w:rPr>
        <w:t>失的，应给予经济赔偿。</w:t>
      </w:r>
    </w:p>
    <w:p w14:paraId="1456E574">
      <w:pPr>
        <w:pStyle w:val="5"/>
        <w:spacing w:before="196" w:line="294" w:lineRule="auto"/>
        <w:ind w:left="14" w:right="80" w:firstLine="474"/>
        <w:rPr>
          <w:rFonts w:hint="default" w:asciiTheme="minorEastAsia" w:hAnsiTheme="minorEastAsia" w:eastAsiaTheme="minorEastAsia" w:cstheme="minorEastAsia"/>
          <w:color w:val="auto"/>
          <w:spacing w:val="-2"/>
          <w:sz w:val="24"/>
          <w:szCs w:val="24"/>
          <w:lang w:val="en-US" w:eastAsia="zh-CN"/>
        </w:rPr>
      </w:pPr>
      <w:r>
        <w:rPr>
          <w:rFonts w:hint="eastAsia" w:asciiTheme="minorEastAsia" w:hAnsiTheme="minorEastAsia" w:eastAsiaTheme="minorEastAsia" w:cstheme="minorEastAsia"/>
          <w:b/>
          <w:bCs/>
          <w:color w:val="auto"/>
          <w:spacing w:val="-2"/>
          <w:sz w:val="24"/>
          <w:szCs w:val="24"/>
          <w:lang w:val="en-US" w:eastAsia="zh-CN"/>
        </w:rPr>
        <w:t xml:space="preserve">第二十一条  </w:t>
      </w:r>
      <w:r>
        <w:rPr>
          <w:rFonts w:hint="eastAsia" w:asciiTheme="minorEastAsia" w:hAnsiTheme="minorEastAsia" w:eastAsiaTheme="minorEastAsia" w:cstheme="minorEastAsia"/>
          <w:color w:val="auto"/>
          <w:spacing w:val="-2"/>
          <w:sz w:val="24"/>
          <w:szCs w:val="24"/>
          <w:lang w:val="en-US" w:eastAsia="zh-CN"/>
        </w:rPr>
        <w:t>如一方违约，则守约方实现债权的费用（包含但不限于诉讼费、律师费、保全费等）由违约方承担。</w:t>
      </w:r>
    </w:p>
    <w:p w14:paraId="0C7BACE4">
      <w:pPr>
        <w:pStyle w:val="5"/>
        <w:spacing w:before="123" w:line="219" w:lineRule="auto"/>
        <w:ind w:left="3461"/>
        <w:rPr>
          <w:rFonts w:hint="eastAsia" w:asciiTheme="minorEastAsia" w:hAnsiTheme="minorEastAsia" w:eastAsiaTheme="minorEastAsia" w:cstheme="minorEastAsia"/>
          <w:color w:val="auto"/>
          <w:sz w:val="24"/>
          <w:szCs w:val="24"/>
        </w:rPr>
      </w:pPr>
      <w:bookmarkStart w:id="3" w:name="bookmark8"/>
      <w:bookmarkEnd w:id="3"/>
      <w:r>
        <w:rPr>
          <w:rFonts w:hint="eastAsia" w:asciiTheme="minorEastAsia" w:hAnsiTheme="minorEastAsia" w:eastAsiaTheme="minorEastAsia" w:cstheme="minorEastAsia"/>
          <w:b/>
          <w:bCs/>
          <w:color w:val="auto"/>
          <w:spacing w:val="-3"/>
          <w:sz w:val="24"/>
          <w:szCs w:val="24"/>
        </w:rPr>
        <w:t>第十</w:t>
      </w:r>
      <w:r>
        <w:rPr>
          <w:rFonts w:hint="eastAsia" w:asciiTheme="minorEastAsia" w:hAnsiTheme="minorEastAsia" w:eastAsiaTheme="minorEastAsia" w:cstheme="minorEastAsia"/>
          <w:b/>
          <w:bCs/>
          <w:color w:val="auto"/>
          <w:spacing w:val="-3"/>
          <w:sz w:val="24"/>
          <w:szCs w:val="24"/>
          <w:lang w:val="en-US" w:eastAsia="zh-CN"/>
        </w:rPr>
        <w:t>一</w:t>
      </w:r>
      <w:r>
        <w:rPr>
          <w:rFonts w:hint="eastAsia" w:asciiTheme="minorEastAsia" w:hAnsiTheme="minorEastAsia" w:eastAsiaTheme="minorEastAsia" w:cstheme="minorEastAsia"/>
          <w:b/>
          <w:bCs/>
          <w:color w:val="auto"/>
          <w:spacing w:val="-3"/>
          <w:sz w:val="24"/>
          <w:szCs w:val="24"/>
        </w:rPr>
        <w:t>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合同终止</w:t>
      </w:r>
    </w:p>
    <w:p w14:paraId="5685335C">
      <w:pPr>
        <w:pStyle w:val="5"/>
        <w:spacing w:before="195" w:line="294" w:lineRule="auto"/>
        <w:ind w:left="8" w:right="1"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第二十</w:t>
      </w:r>
      <w:r>
        <w:rPr>
          <w:rFonts w:hint="eastAsia" w:asciiTheme="minorEastAsia" w:hAnsiTheme="minorEastAsia" w:eastAsiaTheme="minorEastAsia" w:cstheme="minorEastAsia"/>
          <w:b/>
          <w:bCs/>
          <w:color w:val="auto"/>
          <w:spacing w:val="-2"/>
          <w:sz w:val="24"/>
          <w:szCs w:val="24"/>
          <w:lang w:val="en-US" w:eastAsia="zh-CN"/>
        </w:rPr>
        <w:t>二</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由于政策的变化或其他甲乙双方之外的原因（包括但不限于市政府对</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z w:val="24"/>
          <w:szCs w:val="24"/>
        </w:rPr>
        <w:t>全市环卫政策进行调整、经费不能落实）使合同不能</w:t>
      </w:r>
      <w:r>
        <w:rPr>
          <w:rFonts w:hint="eastAsia" w:asciiTheme="minorEastAsia" w:hAnsiTheme="minorEastAsia" w:eastAsiaTheme="minorEastAsia" w:cstheme="minorEastAsia"/>
          <w:color w:val="auto"/>
          <w:spacing w:val="-1"/>
          <w:sz w:val="24"/>
          <w:szCs w:val="24"/>
        </w:rPr>
        <w:t>继续履行的，视为合同终止</w:t>
      </w:r>
      <w:r>
        <w:rPr>
          <w:rFonts w:hint="eastAsia" w:asciiTheme="minorEastAsia" w:hAnsiTheme="minorEastAsia" w:eastAsiaTheme="minorEastAsia" w:cstheme="minorEastAsia"/>
          <w:b/>
          <w:bCs/>
          <w:color w:val="auto"/>
          <w:spacing w:val="-1"/>
          <w:sz w:val="24"/>
          <w:szCs w:val="24"/>
        </w:rPr>
        <w:t>。</w:t>
      </w:r>
    </w:p>
    <w:p w14:paraId="0F07B420">
      <w:pPr>
        <w:pStyle w:val="5"/>
        <w:spacing w:before="194"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第二十</w:t>
      </w:r>
      <w:r>
        <w:rPr>
          <w:rFonts w:hint="eastAsia" w:asciiTheme="minorEastAsia" w:hAnsiTheme="minorEastAsia" w:eastAsiaTheme="minorEastAsia" w:cstheme="minorEastAsia"/>
          <w:b/>
          <w:bCs/>
          <w:color w:val="auto"/>
          <w:spacing w:val="-1"/>
          <w:sz w:val="24"/>
          <w:szCs w:val="24"/>
          <w:lang w:val="en-US" w:eastAsia="zh-CN"/>
        </w:rPr>
        <w:t>三</w:t>
      </w:r>
      <w:r>
        <w:rPr>
          <w:rFonts w:hint="eastAsia" w:asciiTheme="minorEastAsia" w:hAnsiTheme="minorEastAsia" w:eastAsiaTheme="minorEastAsia" w:cstheme="minorEastAsia"/>
          <w:b/>
          <w:bCs/>
          <w:color w:val="auto"/>
          <w:spacing w:val="-1"/>
          <w:sz w:val="24"/>
          <w:szCs w:val="24"/>
        </w:rPr>
        <w:t>条</w:t>
      </w:r>
      <w:r>
        <w:rPr>
          <w:rFonts w:hint="eastAsia" w:asciiTheme="minorEastAsia" w:hAnsiTheme="minorEastAsia" w:eastAsiaTheme="minorEastAsia" w:cstheme="minorEastAsia"/>
          <w:color w:val="auto"/>
          <w:spacing w:val="-1"/>
          <w:sz w:val="24"/>
          <w:szCs w:val="24"/>
        </w:rPr>
        <w:t xml:space="preserve">  本合同自签订之日起生效。</w:t>
      </w:r>
    </w:p>
    <w:p w14:paraId="2BEBFA3B">
      <w:pPr>
        <w:spacing w:line="297" w:lineRule="auto"/>
        <w:rPr>
          <w:rFonts w:hint="eastAsia" w:asciiTheme="minorEastAsia" w:hAnsiTheme="minorEastAsia" w:eastAsiaTheme="minorEastAsia" w:cstheme="minorEastAsia"/>
          <w:color w:val="auto"/>
          <w:sz w:val="21"/>
        </w:rPr>
      </w:pPr>
    </w:p>
    <w:p w14:paraId="6BABB898">
      <w:pPr>
        <w:spacing w:line="297" w:lineRule="auto"/>
        <w:rPr>
          <w:rFonts w:hint="eastAsia" w:asciiTheme="minorEastAsia" w:hAnsiTheme="minorEastAsia" w:eastAsiaTheme="minorEastAsia" w:cstheme="minorEastAsia"/>
          <w:color w:val="auto"/>
          <w:sz w:val="21"/>
        </w:rPr>
      </w:pPr>
    </w:p>
    <w:p w14:paraId="343B4C46">
      <w:pPr>
        <w:pStyle w:val="5"/>
        <w:spacing w:before="78" w:line="219" w:lineRule="auto"/>
        <w:ind w:left="33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第十</w:t>
      </w:r>
      <w:r>
        <w:rPr>
          <w:rFonts w:hint="eastAsia" w:asciiTheme="minorEastAsia" w:hAnsiTheme="minorEastAsia" w:eastAsiaTheme="minorEastAsia" w:cstheme="minorEastAsia"/>
          <w:b/>
          <w:bCs/>
          <w:color w:val="auto"/>
          <w:spacing w:val="-3"/>
          <w:sz w:val="24"/>
          <w:szCs w:val="24"/>
          <w:lang w:val="en-US" w:eastAsia="zh-CN"/>
        </w:rPr>
        <w:t>二</w:t>
      </w:r>
      <w:r>
        <w:rPr>
          <w:rFonts w:hint="eastAsia" w:asciiTheme="minorEastAsia" w:hAnsiTheme="minorEastAsia" w:eastAsiaTheme="minorEastAsia" w:cstheme="minorEastAsia"/>
          <w:b/>
          <w:bCs/>
          <w:color w:val="auto"/>
          <w:spacing w:val="-3"/>
          <w:sz w:val="24"/>
          <w:szCs w:val="24"/>
        </w:rPr>
        <w:t>部分</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b/>
          <w:bCs/>
          <w:color w:val="auto"/>
          <w:spacing w:val="-3"/>
          <w:sz w:val="24"/>
          <w:szCs w:val="24"/>
        </w:rPr>
        <w:t>争议解决</w:t>
      </w:r>
    </w:p>
    <w:p w14:paraId="01A6D871">
      <w:pPr>
        <w:pStyle w:val="5"/>
        <w:spacing w:before="195" w:line="219" w:lineRule="auto"/>
        <w:ind w:left="488"/>
        <w:outlineLvl w:val="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第二十</w:t>
      </w:r>
      <w:r>
        <w:rPr>
          <w:rFonts w:hint="eastAsia" w:asciiTheme="minorEastAsia" w:hAnsiTheme="minorEastAsia" w:eastAsiaTheme="minorEastAsia" w:cstheme="minorEastAsia"/>
          <w:b/>
          <w:bCs/>
          <w:color w:val="auto"/>
          <w:spacing w:val="-2"/>
          <w:sz w:val="24"/>
          <w:szCs w:val="24"/>
          <w:lang w:val="en-US" w:eastAsia="zh-CN"/>
        </w:rPr>
        <w:t>四</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争议解决</w:t>
      </w:r>
    </w:p>
    <w:p w14:paraId="566DAB09">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1.</w:t>
      </w:r>
      <w:r>
        <w:rPr>
          <w:rFonts w:hint="eastAsia" w:asciiTheme="minorEastAsia" w:hAnsiTheme="minorEastAsia" w:eastAsiaTheme="minorEastAsia" w:cstheme="minorEastAsia"/>
          <w:color w:val="auto"/>
          <w:spacing w:val="-2"/>
          <w:sz w:val="24"/>
          <w:szCs w:val="24"/>
          <w:lang w:eastAsia="zh-CN"/>
        </w:rPr>
        <w:t>区环境卫生管理局和服务单位就项目运营服务合同履行发生争议的，应当协商解决。协商达成一致的，应当签订补充协议并遵照执行。协商解决不成的，任何一方可以向</w:t>
      </w:r>
      <w:r>
        <w:rPr>
          <w:rFonts w:hint="eastAsia" w:asciiTheme="minorEastAsia" w:hAnsiTheme="minorEastAsia" w:eastAsiaTheme="minorEastAsia" w:cstheme="minorEastAsia"/>
          <w:color w:val="auto"/>
          <w:spacing w:val="-2"/>
          <w:sz w:val="24"/>
          <w:szCs w:val="24"/>
          <w:lang w:val="en-US" w:eastAsia="zh-CN"/>
        </w:rPr>
        <w:t>甲方</w:t>
      </w:r>
      <w:r>
        <w:rPr>
          <w:rFonts w:hint="eastAsia" w:asciiTheme="minorEastAsia" w:hAnsiTheme="minorEastAsia" w:eastAsiaTheme="minorEastAsia" w:cstheme="minorEastAsia"/>
          <w:color w:val="auto"/>
          <w:spacing w:val="-2"/>
          <w:sz w:val="24"/>
          <w:szCs w:val="24"/>
          <w:lang w:eastAsia="zh-CN"/>
        </w:rPr>
        <w:t>所在地法院提起诉讼解决。</w:t>
      </w:r>
    </w:p>
    <w:p w14:paraId="2FD3BF84">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2.</w:t>
      </w:r>
      <w:r>
        <w:rPr>
          <w:rFonts w:hint="eastAsia" w:asciiTheme="minorEastAsia" w:hAnsiTheme="minorEastAsia" w:eastAsiaTheme="minorEastAsia" w:cstheme="minorEastAsia"/>
          <w:color w:val="auto"/>
          <w:spacing w:val="-2"/>
          <w:sz w:val="24"/>
          <w:szCs w:val="24"/>
          <w:lang w:eastAsia="zh-CN"/>
        </w:rPr>
        <w:t>区环境卫生管理局和服务单位就项目运营服务合同中的专业技术问题发生争议的，可以共同聘请专家或第三方机构进行调解。调解达成一致的，应当签订补充协议并遵照执行。</w:t>
      </w:r>
    </w:p>
    <w:p w14:paraId="74043693">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3.</w:t>
      </w:r>
      <w:r>
        <w:rPr>
          <w:rFonts w:hint="eastAsia" w:asciiTheme="minorEastAsia" w:hAnsiTheme="minorEastAsia" w:eastAsiaTheme="minorEastAsia" w:cstheme="minorEastAsia"/>
          <w:color w:val="auto"/>
          <w:spacing w:val="-2"/>
          <w:sz w:val="24"/>
          <w:szCs w:val="24"/>
          <w:lang w:eastAsia="zh-CN"/>
        </w:rPr>
        <w:t>服务单位认为行政机关作出的具体行政行为侵犯其合法权益的，有陈述、申辩的权利，并可以依法提起行政复议或者向最初作出行政行为的行政机关所在地人民法院提起行政诉讼。</w:t>
      </w:r>
    </w:p>
    <w:p w14:paraId="14057681">
      <w:pPr>
        <w:pStyle w:val="5"/>
        <w:spacing w:before="196" w:line="339" w:lineRule="auto"/>
        <w:ind w:left="11" w:right="72" w:firstLine="481"/>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lang w:val="en-US" w:eastAsia="zh-CN"/>
        </w:rPr>
        <w:t>4.</w:t>
      </w:r>
      <w:r>
        <w:rPr>
          <w:rFonts w:hint="eastAsia" w:asciiTheme="minorEastAsia" w:hAnsiTheme="minorEastAsia" w:eastAsiaTheme="minorEastAsia" w:cstheme="minorEastAsia"/>
          <w:color w:val="auto"/>
          <w:spacing w:val="-2"/>
          <w:sz w:val="24"/>
          <w:szCs w:val="24"/>
          <w:lang w:eastAsia="zh-CN"/>
        </w:rPr>
        <w:t>运营服务合同存续期间发生争议，当事各方在争议解决过程中，应当继续履行运营服务合同的义务，以保证公共服务的持续性和稳定性。</w:t>
      </w:r>
    </w:p>
    <w:p w14:paraId="15B4005E">
      <w:pPr>
        <w:pStyle w:val="5"/>
        <w:spacing w:before="194" w:line="219" w:lineRule="auto"/>
        <w:ind w:left="364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rPr>
        <w:t>第十</w:t>
      </w:r>
      <w:r>
        <w:rPr>
          <w:rFonts w:hint="eastAsia" w:asciiTheme="minorEastAsia" w:hAnsiTheme="minorEastAsia" w:eastAsiaTheme="minorEastAsia" w:cstheme="minorEastAsia"/>
          <w:b/>
          <w:bCs/>
          <w:color w:val="auto"/>
          <w:spacing w:val="-8"/>
          <w:sz w:val="24"/>
          <w:szCs w:val="24"/>
          <w:lang w:val="en-US" w:eastAsia="zh-CN"/>
        </w:rPr>
        <w:t>三</w:t>
      </w:r>
      <w:r>
        <w:rPr>
          <w:rFonts w:hint="eastAsia" w:asciiTheme="minorEastAsia" w:hAnsiTheme="minorEastAsia" w:eastAsiaTheme="minorEastAsia" w:cstheme="minorEastAsia"/>
          <w:b/>
          <w:bCs/>
          <w:color w:val="auto"/>
          <w:spacing w:val="-8"/>
          <w:sz w:val="24"/>
          <w:szCs w:val="24"/>
        </w:rPr>
        <w:t>部分</w:t>
      </w:r>
      <w:r>
        <w:rPr>
          <w:rFonts w:hint="eastAsia" w:asciiTheme="minorEastAsia" w:hAnsiTheme="minorEastAsia" w:eastAsiaTheme="minorEastAsia" w:cstheme="minorEastAsia"/>
          <w:color w:val="auto"/>
          <w:spacing w:val="32"/>
          <w:sz w:val="24"/>
          <w:szCs w:val="24"/>
        </w:rPr>
        <w:t xml:space="preserve"> </w:t>
      </w:r>
      <w:r>
        <w:rPr>
          <w:rFonts w:hint="eastAsia" w:asciiTheme="minorEastAsia" w:hAnsiTheme="minorEastAsia" w:eastAsiaTheme="minorEastAsia" w:cstheme="minorEastAsia"/>
          <w:b/>
          <w:bCs/>
          <w:color w:val="auto"/>
          <w:spacing w:val="-8"/>
          <w:sz w:val="24"/>
          <w:szCs w:val="24"/>
        </w:rPr>
        <w:t>附则</w:t>
      </w:r>
    </w:p>
    <w:p w14:paraId="090D967D">
      <w:pPr>
        <w:pStyle w:val="5"/>
        <w:spacing w:before="197" w:line="294" w:lineRule="auto"/>
        <w:ind w:left="16" w:right="1" w:firstLine="47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二十五</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双方约定自本合同生效之日起，根据甲方委托承包事项，办理接管验</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5"/>
          <w:sz w:val="24"/>
          <w:szCs w:val="24"/>
        </w:rPr>
        <w:t>收手续。</w:t>
      </w:r>
    </w:p>
    <w:p w14:paraId="573983C9">
      <w:pPr>
        <w:pStyle w:val="5"/>
        <w:spacing w:before="195" w:line="294" w:lineRule="auto"/>
        <w:ind w:left="13" w:right="1" w:firstLine="4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二十六</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双方可对本合同的条款进行补充，以书面形式签订补充协议，补充协议与合同具有同等效力。</w:t>
      </w:r>
    </w:p>
    <w:p w14:paraId="6531CDFC">
      <w:pPr>
        <w:pStyle w:val="5"/>
        <w:spacing w:before="195" w:line="294" w:lineRule="auto"/>
        <w:ind w:left="12" w:right="1" w:firstLine="47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二十七</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本合同之附件均为合同有效组成部分。本合同及其附件和补充协议中</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1"/>
          <w:sz w:val="24"/>
          <w:szCs w:val="24"/>
        </w:rPr>
        <w:t>未规定的事均遵照中华人民共和国有关法律、法规和规章执行。</w:t>
      </w:r>
    </w:p>
    <w:p w14:paraId="1D84AE56">
      <w:pPr>
        <w:pStyle w:val="5"/>
        <w:spacing w:before="197" w:line="319" w:lineRule="auto"/>
        <w:ind w:left="14" w:right="1" w:firstLine="47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第</w:t>
      </w:r>
      <w:r>
        <w:rPr>
          <w:rFonts w:hint="eastAsia" w:asciiTheme="minorEastAsia" w:hAnsiTheme="minorEastAsia" w:eastAsiaTheme="minorEastAsia" w:cstheme="minorEastAsia"/>
          <w:b/>
          <w:bCs/>
          <w:color w:val="auto"/>
          <w:spacing w:val="-5"/>
          <w:sz w:val="24"/>
          <w:szCs w:val="24"/>
          <w:lang w:val="en-US" w:eastAsia="zh-CN"/>
        </w:rPr>
        <w:t>二十八</w:t>
      </w:r>
      <w:r>
        <w:rPr>
          <w:rFonts w:hint="eastAsia" w:asciiTheme="minorEastAsia" w:hAnsiTheme="minorEastAsia" w:eastAsiaTheme="minorEastAsia" w:cstheme="minorEastAsia"/>
          <w:b/>
          <w:bCs/>
          <w:color w:val="auto"/>
          <w:spacing w:val="-5"/>
          <w:sz w:val="24"/>
          <w:szCs w:val="24"/>
        </w:rPr>
        <w:t>条</w:t>
      </w:r>
      <w:r>
        <w:rPr>
          <w:rFonts w:hint="eastAsia" w:asciiTheme="minorEastAsia" w:hAnsiTheme="minorEastAsia" w:eastAsiaTheme="minorEastAsia" w:cstheme="minorEastAsia"/>
          <w:color w:val="auto"/>
          <w:spacing w:val="-5"/>
          <w:sz w:val="24"/>
          <w:szCs w:val="24"/>
        </w:rPr>
        <w:t xml:space="preserve">  本合同正本连同附件</w:t>
      </w:r>
      <w:r>
        <w:rPr>
          <w:rFonts w:hint="eastAsia" w:asciiTheme="minorEastAsia" w:hAnsiTheme="minorEastAsia" w:eastAsiaTheme="minorEastAsia" w:cstheme="minorEastAsia"/>
          <w:color w:val="auto"/>
          <w:spacing w:val="-5"/>
          <w:sz w:val="24"/>
          <w:szCs w:val="24"/>
          <w:u w:val="single" w:color="auto"/>
        </w:rPr>
        <w:t xml:space="preserve">    </w:t>
      </w:r>
      <w:r>
        <w:rPr>
          <w:rFonts w:hint="eastAsia" w:asciiTheme="minorEastAsia" w:hAnsiTheme="minorEastAsia" w:eastAsiaTheme="minorEastAsia" w:cstheme="minorEastAsia"/>
          <w:color w:val="auto"/>
          <w:spacing w:val="-105"/>
          <w:sz w:val="24"/>
          <w:szCs w:val="24"/>
        </w:rPr>
        <w:t xml:space="preserve"> </w:t>
      </w:r>
      <w:r>
        <w:rPr>
          <w:rFonts w:hint="eastAsia" w:asciiTheme="minorEastAsia" w:hAnsiTheme="minorEastAsia" w:eastAsiaTheme="minorEastAsia" w:cstheme="minorEastAsia"/>
          <w:color w:val="auto"/>
          <w:spacing w:val="-5"/>
          <w:sz w:val="24"/>
          <w:szCs w:val="24"/>
        </w:rPr>
        <w:t>页，一式</w:t>
      </w:r>
      <w:r>
        <w:rPr>
          <w:rFonts w:hint="eastAsia" w:asciiTheme="minorEastAsia" w:hAnsiTheme="minorEastAsia" w:eastAsiaTheme="minorEastAsia" w:cstheme="minorEastAsia"/>
          <w:color w:val="auto"/>
          <w:spacing w:val="51"/>
          <w:sz w:val="24"/>
          <w:szCs w:val="24"/>
          <w:u w:val="single" w:color="auto"/>
        </w:rPr>
        <w:t xml:space="preserve">  </w:t>
      </w:r>
      <w:r>
        <w:rPr>
          <w:rFonts w:hint="eastAsia" w:asciiTheme="minorEastAsia" w:hAnsiTheme="minorEastAsia" w:eastAsiaTheme="minorEastAsia" w:cstheme="minorEastAsia"/>
          <w:color w:val="auto"/>
          <w:spacing w:val="-109"/>
          <w:sz w:val="24"/>
          <w:szCs w:val="24"/>
        </w:rPr>
        <w:t xml:space="preserve"> </w:t>
      </w:r>
      <w:r>
        <w:rPr>
          <w:rFonts w:hint="eastAsia" w:asciiTheme="minorEastAsia" w:hAnsiTheme="minorEastAsia" w:eastAsiaTheme="minorEastAsia" w:cstheme="minorEastAsia"/>
          <w:color w:val="auto"/>
          <w:spacing w:val="-5"/>
          <w:sz w:val="24"/>
          <w:szCs w:val="24"/>
        </w:rPr>
        <w:t>份，甲乙双</w:t>
      </w:r>
      <w:r>
        <w:rPr>
          <w:rFonts w:hint="eastAsia" w:asciiTheme="minorEastAsia" w:hAnsiTheme="minorEastAsia" w:eastAsiaTheme="minorEastAsia" w:cstheme="minorEastAsia"/>
          <w:color w:val="auto"/>
          <w:spacing w:val="-6"/>
          <w:sz w:val="24"/>
          <w:szCs w:val="24"/>
        </w:rPr>
        <w:t>方及当地环卫行政主</w:t>
      </w:r>
      <w:r>
        <w:rPr>
          <w:rFonts w:hint="eastAsia" w:asciiTheme="minorEastAsia" w:hAnsiTheme="minorEastAsia" w:eastAsiaTheme="minorEastAsia" w:cstheme="minorEastAsia"/>
          <w:color w:val="auto"/>
          <w:spacing w:val="-2"/>
          <w:sz w:val="24"/>
          <w:szCs w:val="24"/>
        </w:rPr>
        <w:t>管部门（或环卫专业管理部门）各执贰份，招标公司一份、财政局一份，具有同等法律</w:t>
      </w:r>
      <w:r>
        <w:rPr>
          <w:rFonts w:hint="eastAsia" w:asciiTheme="minorEastAsia" w:hAnsiTheme="minorEastAsia" w:eastAsiaTheme="minorEastAsia" w:cstheme="minorEastAsia"/>
          <w:color w:val="auto"/>
          <w:spacing w:val="-6"/>
          <w:sz w:val="24"/>
          <w:szCs w:val="24"/>
        </w:rPr>
        <w:t>效力。</w:t>
      </w:r>
    </w:p>
    <w:p w14:paraId="1D46DB3D">
      <w:pPr>
        <w:pStyle w:val="5"/>
        <w:spacing w:before="195" w:line="294" w:lineRule="auto"/>
        <w:ind w:left="12" w:right="1" w:firstLine="47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第</w:t>
      </w:r>
      <w:r>
        <w:rPr>
          <w:rFonts w:hint="eastAsia" w:asciiTheme="minorEastAsia" w:hAnsiTheme="minorEastAsia" w:eastAsiaTheme="minorEastAsia" w:cstheme="minorEastAsia"/>
          <w:b/>
          <w:bCs/>
          <w:color w:val="auto"/>
          <w:spacing w:val="-2"/>
          <w:sz w:val="24"/>
          <w:szCs w:val="24"/>
          <w:lang w:val="en-US" w:eastAsia="zh-CN"/>
        </w:rPr>
        <w:t>二十九</w:t>
      </w:r>
      <w:r>
        <w:rPr>
          <w:rFonts w:hint="eastAsia" w:asciiTheme="minorEastAsia" w:hAnsiTheme="minorEastAsia" w:eastAsiaTheme="minorEastAsia" w:cstheme="minorEastAsia"/>
          <w:b/>
          <w:bCs/>
          <w:color w:val="auto"/>
          <w:spacing w:val="-2"/>
          <w:sz w:val="24"/>
          <w:szCs w:val="24"/>
        </w:rPr>
        <w:t>条</w:t>
      </w:r>
      <w:r>
        <w:rPr>
          <w:rFonts w:hint="eastAsia" w:asciiTheme="minorEastAsia" w:hAnsiTheme="minorEastAsia" w:eastAsiaTheme="minorEastAsia" w:cstheme="minorEastAsia"/>
          <w:color w:val="auto"/>
          <w:spacing w:val="-2"/>
          <w:sz w:val="24"/>
          <w:szCs w:val="24"/>
        </w:rPr>
        <w:t xml:space="preserve">  本合同执行期间，如遇不可抗力，致使合同无法履行时，双方应按有关法律规定及时协商处理。</w:t>
      </w:r>
    </w:p>
    <w:p w14:paraId="51E8B91F">
      <w:pPr>
        <w:pStyle w:val="5"/>
        <w:spacing w:before="195"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第三十</w:t>
      </w:r>
      <w:r>
        <w:rPr>
          <w:rFonts w:hint="eastAsia" w:asciiTheme="minorEastAsia" w:hAnsiTheme="minorEastAsia" w:eastAsiaTheme="minorEastAsia" w:cstheme="minorEastAsia"/>
          <w:b/>
          <w:bCs/>
          <w:color w:val="auto"/>
          <w:spacing w:val="-1"/>
          <w:sz w:val="24"/>
          <w:szCs w:val="24"/>
          <w:lang w:val="en-US" w:eastAsia="zh-CN"/>
        </w:rPr>
        <w:t>条</w:t>
      </w:r>
      <w:r>
        <w:rPr>
          <w:rFonts w:hint="eastAsia" w:asciiTheme="minorEastAsia" w:hAnsiTheme="minorEastAsia" w:eastAsiaTheme="minorEastAsia" w:cstheme="minorEastAsia"/>
          <w:color w:val="auto"/>
          <w:spacing w:val="-1"/>
          <w:sz w:val="24"/>
          <w:szCs w:val="24"/>
        </w:rPr>
        <w:t xml:space="preserve">   合同期满，本合同自然终止。</w:t>
      </w:r>
    </w:p>
    <w:p w14:paraId="761A2992">
      <w:pPr>
        <w:spacing w:line="219" w:lineRule="auto"/>
        <w:rPr>
          <w:rFonts w:hint="eastAsia" w:asciiTheme="minorEastAsia" w:hAnsiTheme="minorEastAsia" w:eastAsiaTheme="minorEastAsia" w:cstheme="minorEastAsia"/>
          <w:color w:val="auto"/>
          <w:sz w:val="24"/>
          <w:szCs w:val="24"/>
        </w:rPr>
        <w:sectPr>
          <w:pgSz w:w="11906" w:h="16838"/>
          <w:pgMar w:top="1208" w:right="1417" w:bottom="1111" w:left="1417" w:header="845" w:footer="901" w:gutter="0"/>
          <w:pgNumType w:fmt="decimal"/>
          <w:cols w:space="0" w:num="1"/>
          <w:rtlGutter w:val="0"/>
          <w:docGrid w:linePitch="0" w:charSpace="0"/>
        </w:sectPr>
      </w:pPr>
    </w:p>
    <w:p w14:paraId="08BCCA1A">
      <w:pPr>
        <w:pStyle w:val="5"/>
        <w:spacing w:before="297" w:line="219" w:lineRule="auto"/>
        <w:ind w:left="489"/>
        <w:rPr>
          <w:rFonts w:hint="eastAsia" w:asciiTheme="minorEastAsia" w:hAnsiTheme="minorEastAsia" w:eastAsiaTheme="minorEastAsia" w:cstheme="minorEastAsia"/>
          <w:b w:val="0"/>
          <w:bCs w:val="0"/>
          <w:color w:val="auto"/>
          <w:spacing w:val="2"/>
          <w:sz w:val="24"/>
          <w:szCs w:val="24"/>
          <w:lang w:eastAsia="zh-CN"/>
        </w:rPr>
      </w:pPr>
      <w:r>
        <w:rPr>
          <w:rFonts w:hint="eastAsia" w:asciiTheme="minorEastAsia" w:hAnsiTheme="minorEastAsia" w:eastAsiaTheme="minorEastAsia" w:cstheme="minorEastAsia"/>
          <w:color w:val="auto"/>
          <w:spacing w:val="2"/>
          <w:kern w:val="0"/>
          <w:sz w:val="24"/>
          <w:szCs w:val="24"/>
        </w:rPr>
        <w:t>本页无正文，为签字盖章页</w:t>
      </w:r>
      <w:r>
        <w:rPr>
          <w:rFonts w:hint="eastAsia" w:asciiTheme="minorEastAsia" w:hAnsiTheme="minorEastAsia" w:eastAsiaTheme="minorEastAsia" w:cstheme="minorEastAsia"/>
          <w:color w:val="auto"/>
          <w:spacing w:val="2"/>
          <w:kern w:val="0"/>
          <w:sz w:val="24"/>
          <w:szCs w:val="24"/>
          <w:lang w:eastAsia="zh-CN"/>
        </w:rPr>
        <w:t>。</w:t>
      </w:r>
    </w:p>
    <w:p w14:paraId="46EC0063">
      <w:pPr>
        <w:pStyle w:val="5"/>
        <w:spacing w:before="91" w:line="219" w:lineRule="auto"/>
        <w:ind w:left="564"/>
        <w:rPr>
          <w:rFonts w:hint="eastAsia" w:asciiTheme="minorEastAsia" w:hAnsiTheme="minorEastAsia" w:eastAsiaTheme="minorEastAsia" w:cstheme="minorEastAsia"/>
          <w:b/>
          <w:bCs/>
          <w:color w:val="auto"/>
          <w:spacing w:val="-2"/>
          <w:sz w:val="24"/>
          <w:szCs w:val="24"/>
        </w:rPr>
      </w:pPr>
    </w:p>
    <w:p w14:paraId="4BE10091">
      <w:pPr>
        <w:pStyle w:val="5"/>
        <w:spacing w:before="91" w:line="219" w:lineRule="auto"/>
        <w:ind w:left="56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甲方：</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b/>
          <w:bCs/>
          <w:color w:val="auto"/>
          <w:spacing w:val="-2"/>
          <w:sz w:val="24"/>
          <w:szCs w:val="24"/>
          <w:u w:val="single" w:color="auto"/>
          <w:lang w:eastAsia="zh-CN"/>
        </w:rPr>
        <w:t>海口市美兰区环境卫生管理局</w:t>
      </w:r>
      <w:r>
        <w:rPr>
          <w:rFonts w:hint="eastAsia" w:asciiTheme="minorEastAsia" w:hAnsiTheme="minorEastAsia" w:eastAsiaTheme="minorEastAsia" w:cstheme="minorEastAsia"/>
          <w:color w:val="auto"/>
          <w:spacing w:val="-2"/>
          <w:sz w:val="24"/>
          <w:szCs w:val="24"/>
          <w:u w:val="single" w:color="auto"/>
        </w:rPr>
        <w:t xml:space="preserve">      （盖章）</w:t>
      </w:r>
    </w:p>
    <w:p w14:paraId="43A83DA9">
      <w:pPr>
        <w:pStyle w:val="5"/>
        <w:spacing w:before="310" w:line="22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地址：</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3"/>
          <w:sz w:val="24"/>
          <w:szCs w:val="24"/>
          <w:u w:val="single" w:color="auto"/>
        </w:rPr>
        <w:t xml:space="preserve">                        </w:t>
      </w:r>
    </w:p>
    <w:p w14:paraId="4ED9817A">
      <w:pPr>
        <w:pStyle w:val="5"/>
        <w:spacing w:before="297" w:line="219"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法定（授权）代表人</w:t>
      </w:r>
      <w:r>
        <w:rPr>
          <w:rFonts w:hint="eastAsia" w:asciiTheme="minorEastAsia" w:hAnsiTheme="minorEastAsia" w:eastAsiaTheme="minorEastAsia" w:cstheme="minorEastAsia"/>
          <w:color w:val="auto"/>
          <w:spacing w:val="-18"/>
          <w:sz w:val="24"/>
          <w:szCs w:val="24"/>
        </w:rPr>
        <w:t>：</w:t>
      </w:r>
      <w:r>
        <w:rPr>
          <w:rFonts w:hint="eastAsia" w:asciiTheme="minorEastAsia" w:hAnsiTheme="minorEastAsia" w:eastAsiaTheme="minorEastAsia" w:cstheme="minorEastAsia"/>
          <w:color w:val="auto"/>
          <w:spacing w:val="7"/>
          <w:sz w:val="24"/>
          <w:szCs w:val="24"/>
          <w:u w:val="single" w:color="auto"/>
        </w:rPr>
        <w:t xml:space="preserve">                 </w:t>
      </w:r>
      <w:r>
        <w:rPr>
          <w:rFonts w:hint="eastAsia" w:asciiTheme="minorEastAsia" w:hAnsiTheme="minorEastAsia" w:eastAsiaTheme="minorEastAsia" w:cstheme="minorEastAsia"/>
          <w:color w:val="auto"/>
          <w:spacing w:val="-18"/>
          <w:sz w:val="24"/>
          <w:szCs w:val="24"/>
          <w:u w:val="single" w:color="auto"/>
        </w:rPr>
        <w:t>（</w:t>
      </w:r>
      <w:r>
        <w:rPr>
          <w:rFonts w:hint="eastAsia" w:asciiTheme="minorEastAsia" w:hAnsiTheme="minorEastAsia" w:eastAsiaTheme="minorEastAsia" w:cstheme="minorEastAsia"/>
          <w:color w:val="auto"/>
          <w:spacing w:val="2"/>
          <w:sz w:val="24"/>
          <w:szCs w:val="24"/>
          <w:u w:val="single" w:color="auto"/>
        </w:rPr>
        <w:t>签章）</w:t>
      </w:r>
    </w:p>
    <w:p w14:paraId="32CCCB56">
      <w:pPr>
        <w:pStyle w:val="5"/>
        <w:spacing w:before="313"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签订日期：</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106"/>
          <w:sz w:val="24"/>
          <w:szCs w:val="24"/>
        </w:rPr>
        <w:t xml:space="preserve"> </w:t>
      </w:r>
      <w:r>
        <w:rPr>
          <w:rFonts w:hint="eastAsia" w:asciiTheme="minorEastAsia" w:hAnsiTheme="minorEastAsia" w:eastAsiaTheme="minorEastAsia" w:cstheme="minorEastAsia"/>
          <w:color w:val="auto"/>
          <w:spacing w:val="-2"/>
          <w:sz w:val="24"/>
          <w:szCs w:val="24"/>
        </w:rPr>
        <w:t>年</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104"/>
          <w:sz w:val="24"/>
          <w:szCs w:val="24"/>
        </w:rPr>
        <w:t xml:space="preserve"> </w:t>
      </w:r>
      <w:r>
        <w:rPr>
          <w:rFonts w:hint="eastAsia" w:asciiTheme="minorEastAsia" w:hAnsiTheme="minorEastAsia" w:eastAsiaTheme="minorEastAsia" w:cstheme="minorEastAsia"/>
          <w:color w:val="auto"/>
          <w:spacing w:val="-2"/>
          <w:sz w:val="24"/>
          <w:szCs w:val="24"/>
        </w:rPr>
        <w:t>月</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67"/>
          <w:sz w:val="24"/>
          <w:szCs w:val="24"/>
        </w:rPr>
        <w:t xml:space="preserve"> </w:t>
      </w:r>
      <w:r>
        <w:rPr>
          <w:rFonts w:hint="eastAsia" w:asciiTheme="minorEastAsia" w:hAnsiTheme="minorEastAsia" w:eastAsiaTheme="minorEastAsia" w:cstheme="minorEastAsia"/>
          <w:color w:val="auto"/>
          <w:spacing w:val="-2"/>
          <w:sz w:val="24"/>
          <w:szCs w:val="24"/>
        </w:rPr>
        <w:t>日</w:t>
      </w:r>
    </w:p>
    <w:p w14:paraId="3701B5A4">
      <w:pPr>
        <w:spacing w:line="385" w:lineRule="auto"/>
        <w:rPr>
          <w:rFonts w:hint="eastAsia" w:asciiTheme="minorEastAsia" w:hAnsiTheme="minorEastAsia" w:eastAsiaTheme="minorEastAsia" w:cstheme="minorEastAsia"/>
          <w:color w:val="auto"/>
          <w:sz w:val="21"/>
        </w:rPr>
      </w:pPr>
    </w:p>
    <w:p w14:paraId="34D51EA5">
      <w:pPr>
        <w:pStyle w:val="5"/>
        <w:spacing w:before="78" w:line="219" w:lineRule="auto"/>
        <w:ind w:left="51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乙方</w:t>
      </w:r>
      <w:r>
        <w:rPr>
          <w:rFonts w:hint="eastAsia" w:asciiTheme="minorEastAsia" w:hAnsiTheme="minorEastAsia" w:eastAsiaTheme="minorEastAsia" w:cstheme="minorEastAsia"/>
          <w:b/>
          <w:bCs/>
          <w:color w:val="auto"/>
          <w:spacing w:val="-18"/>
          <w:sz w:val="24"/>
          <w:szCs w:val="24"/>
        </w:rPr>
        <w:t>：</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18"/>
          <w:sz w:val="24"/>
          <w:szCs w:val="24"/>
          <w:u w:val="single" w:color="auto"/>
        </w:rPr>
        <w:t>（</w:t>
      </w:r>
      <w:r>
        <w:rPr>
          <w:rFonts w:hint="eastAsia" w:asciiTheme="minorEastAsia" w:hAnsiTheme="minorEastAsia" w:eastAsiaTheme="minorEastAsia" w:cstheme="minorEastAsia"/>
          <w:color w:val="auto"/>
          <w:spacing w:val="-1"/>
          <w:sz w:val="24"/>
          <w:szCs w:val="24"/>
          <w:u w:val="single" w:color="auto"/>
        </w:rPr>
        <w:t>盖章）</w:t>
      </w:r>
    </w:p>
    <w:p w14:paraId="203C8375">
      <w:pPr>
        <w:pStyle w:val="5"/>
        <w:spacing w:before="310" w:line="22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地址：</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3"/>
          <w:sz w:val="24"/>
          <w:szCs w:val="24"/>
          <w:u w:val="single" w:color="auto"/>
        </w:rPr>
        <w:t xml:space="preserve">                        </w:t>
      </w:r>
    </w:p>
    <w:p w14:paraId="5EEAE459">
      <w:pPr>
        <w:pStyle w:val="5"/>
        <w:spacing w:before="300" w:line="219"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法定（授权）代表人</w:t>
      </w:r>
      <w:r>
        <w:rPr>
          <w:rFonts w:hint="eastAsia" w:asciiTheme="minorEastAsia" w:hAnsiTheme="minorEastAsia" w:eastAsiaTheme="minorEastAsia" w:cstheme="minorEastAsia"/>
          <w:color w:val="auto"/>
          <w:spacing w:val="-18"/>
          <w:sz w:val="24"/>
          <w:szCs w:val="24"/>
        </w:rPr>
        <w:t>：</w:t>
      </w:r>
      <w:r>
        <w:rPr>
          <w:rFonts w:hint="eastAsia" w:asciiTheme="minorEastAsia" w:hAnsiTheme="minorEastAsia" w:eastAsiaTheme="minorEastAsia" w:cstheme="minorEastAsia"/>
          <w:color w:val="auto"/>
          <w:spacing w:val="7"/>
          <w:sz w:val="24"/>
          <w:szCs w:val="24"/>
          <w:u w:val="single" w:color="auto"/>
        </w:rPr>
        <w:t xml:space="preserve">                 </w:t>
      </w:r>
      <w:r>
        <w:rPr>
          <w:rFonts w:hint="eastAsia" w:asciiTheme="minorEastAsia" w:hAnsiTheme="minorEastAsia" w:eastAsiaTheme="minorEastAsia" w:cstheme="minorEastAsia"/>
          <w:color w:val="auto"/>
          <w:spacing w:val="-18"/>
          <w:sz w:val="24"/>
          <w:szCs w:val="24"/>
          <w:u w:val="single" w:color="auto"/>
        </w:rPr>
        <w:t>（</w:t>
      </w:r>
      <w:r>
        <w:rPr>
          <w:rFonts w:hint="eastAsia" w:asciiTheme="minorEastAsia" w:hAnsiTheme="minorEastAsia" w:eastAsiaTheme="minorEastAsia" w:cstheme="minorEastAsia"/>
          <w:color w:val="auto"/>
          <w:spacing w:val="2"/>
          <w:sz w:val="24"/>
          <w:szCs w:val="24"/>
          <w:u w:val="single" w:color="auto"/>
        </w:rPr>
        <w:t>签章）</w:t>
      </w:r>
    </w:p>
    <w:p w14:paraId="1203F443">
      <w:pPr>
        <w:pStyle w:val="5"/>
        <w:spacing w:before="311" w:line="220"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银行户名：</w:t>
      </w:r>
      <w:r>
        <w:rPr>
          <w:rFonts w:hint="eastAsia" w:asciiTheme="minorEastAsia" w:hAnsiTheme="minorEastAsia" w:eastAsiaTheme="minorEastAsia" w:cstheme="minorEastAsia"/>
          <w:color w:val="auto"/>
          <w:sz w:val="24"/>
          <w:szCs w:val="24"/>
          <w:u w:val="single" w:color="auto"/>
        </w:rPr>
        <w:t xml:space="preserve">                               </w:t>
      </w:r>
    </w:p>
    <w:p w14:paraId="04BFF6D9">
      <w:pPr>
        <w:pStyle w:val="5"/>
        <w:spacing w:before="309" w:line="220"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开户银行：</w:t>
      </w:r>
      <w:r>
        <w:rPr>
          <w:rFonts w:hint="eastAsia" w:asciiTheme="minorEastAsia" w:hAnsiTheme="minorEastAsia" w:eastAsiaTheme="minorEastAsia" w:cstheme="minorEastAsia"/>
          <w:color w:val="auto"/>
          <w:sz w:val="24"/>
          <w:szCs w:val="24"/>
          <w:u w:val="single" w:color="auto"/>
        </w:rPr>
        <w:t xml:space="preserve">                               </w:t>
      </w:r>
    </w:p>
    <w:p w14:paraId="56263F77">
      <w:pPr>
        <w:pStyle w:val="5"/>
        <w:spacing w:before="312" w:line="220"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银行账号：</w:t>
      </w:r>
      <w:r>
        <w:rPr>
          <w:rFonts w:hint="eastAsia" w:asciiTheme="minorEastAsia" w:hAnsiTheme="minorEastAsia" w:eastAsiaTheme="minorEastAsia" w:cstheme="minorEastAsia"/>
          <w:color w:val="auto"/>
          <w:sz w:val="24"/>
          <w:szCs w:val="24"/>
          <w:u w:val="single" w:color="auto"/>
        </w:rPr>
        <w:t xml:space="preserve">                               </w:t>
      </w:r>
    </w:p>
    <w:p w14:paraId="7D803E0E">
      <w:pPr>
        <w:pStyle w:val="5"/>
        <w:spacing w:before="310" w:line="219" w:lineRule="auto"/>
        <w:ind w:left="48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签订日期：</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106"/>
          <w:sz w:val="24"/>
          <w:szCs w:val="24"/>
        </w:rPr>
        <w:t xml:space="preserve"> </w:t>
      </w:r>
      <w:r>
        <w:rPr>
          <w:rFonts w:hint="eastAsia" w:asciiTheme="minorEastAsia" w:hAnsiTheme="minorEastAsia" w:eastAsiaTheme="minorEastAsia" w:cstheme="minorEastAsia"/>
          <w:color w:val="auto"/>
          <w:spacing w:val="-2"/>
          <w:sz w:val="24"/>
          <w:szCs w:val="24"/>
        </w:rPr>
        <w:t>年</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104"/>
          <w:sz w:val="24"/>
          <w:szCs w:val="24"/>
        </w:rPr>
        <w:t xml:space="preserve"> </w:t>
      </w:r>
      <w:r>
        <w:rPr>
          <w:rFonts w:hint="eastAsia" w:asciiTheme="minorEastAsia" w:hAnsiTheme="minorEastAsia" w:eastAsiaTheme="minorEastAsia" w:cstheme="minorEastAsia"/>
          <w:color w:val="auto"/>
          <w:spacing w:val="-2"/>
          <w:sz w:val="24"/>
          <w:szCs w:val="24"/>
        </w:rPr>
        <w:t>月</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67"/>
          <w:sz w:val="24"/>
          <w:szCs w:val="24"/>
        </w:rPr>
        <w:t xml:space="preserve"> </w:t>
      </w:r>
      <w:r>
        <w:rPr>
          <w:rFonts w:hint="eastAsia" w:asciiTheme="minorEastAsia" w:hAnsiTheme="minorEastAsia" w:eastAsiaTheme="minorEastAsia" w:cstheme="minorEastAsia"/>
          <w:color w:val="auto"/>
          <w:spacing w:val="-2"/>
          <w:sz w:val="24"/>
          <w:szCs w:val="24"/>
        </w:rPr>
        <w:t>日</w:t>
      </w:r>
    </w:p>
    <w:p w14:paraId="59E5B5DC">
      <w:pPr>
        <w:spacing w:line="385" w:lineRule="auto"/>
        <w:rPr>
          <w:rFonts w:hint="eastAsia" w:asciiTheme="minorEastAsia" w:hAnsiTheme="minorEastAsia" w:eastAsiaTheme="minorEastAsia" w:cstheme="minorEastAsia"/>
          <w:color w:val="auto"/>
          <w:sz w:val="21"/>
        </w:rPr>
      </w:pPr>
    </w:p>
    <w:p w14:paraId="75288E89">
      <w:pPr>
        <w:pStyle w:val="5"/>
        <w:spacing w:before="78" w:line="219"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招标代理机构：</w:t>
      </w:r>
      <w:r>
        <w:rPr>
          <w:rFonts w:hint="eastAsia" w:asciiTheme="minorEastAsia" w:hAnsiTheme="minorEastAsia" w:eastAsiaTheme="minorEastAsia" w:cstheme="minorEastAsia"/>
          <w:b/>
          <w:bCs/>
          <w:color w:val="auto"/>
          <w:spacing w:val="-2"/>
          <w:sz w:val="24"/>
          <w:szCs w:val="24"/>
          <w:u w:val="single" w:color="auto"/>
        </w:rPr>
        <w:t>海南中由项目管理有限公司</w:t>
      </w:r>
      <w:r>
        <w:rPr>
          <w:rFonts w:hint="eastAsia" w:asciiTheme="minorEastAsia" w:hAnsiTheme="minorEastAsia" w:eastAsiaTheme="minorEastAsia" w:cstheme="minorEastAsia"/>
          <w:color w:val="auto"/>
          <w:spacing w:val="-2"/>
          <w:sz w:val="24"/>
          <w:szCs w:val="24"/>
          <w:u w:val="single" w:color="auto"/>
        </w:rPr>
        <w:t>（盖章）</w:t>
      </w:r>
    </w:p>
    <w:p w14:paraId="6D49C255">
      <w:pPr>
        <w:pStyle w:val="5"/>
        <w:spacing w:before="314" w:line="219" w:lineRule="auto"/>
        <w:ind w:left="488"/>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 xml:space="preserve">地址：海南省海口市美兰区蓝天街道名门广场北区B（6-9）座28层2806房      </w:t>
      </w:r>
    </w:p>
    <w:p w14:paraId="7A81271B">
      <w:pPr>
        <w:pStyle w:val="5"/>
        <w:spacing w:before="314" w:line="219" w:lineRule="auto"/>
        <w:ind w:left="488"/>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pacing w:val="-2"/>
          <w:sz w:val="24"/>
          <w:szCs w:val="24"/>
        </w:rPr>
        <w:t>联 系方 式：0898-65323219</w:t>
      </w:r>
    </w:p>
    <w:p w14:paraId="5115DCAC">
      <w:pPr>
        <w:pStyle w:val="5"/>
        <w:spacing w:before="309" w:line="219" w:lineRule="auto"/>
        <w:ind w:left="4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法定（授权）代表人</w:t>
      </w:r>
      <w:r>
        <w:rPr>
          <w:rFonts w:hint="eastAsia" w:asciiTheme="minorEastAsia" w:hAnsiTheme="minorEastAsia" w:eastAsiaTheme="minorEastAsia" w:cstheme="minorEastAsia"/>
          <w:color w:val="auto"/>
          <w:spacing w:val="-18"/>
          <w:sz w:val="24"/>
          <w:szCs w:val="24"/>
        </w:rPr>
        <w:t>：</w:t>
      </w:r>
      <w:r>
        <w:rPr>
          <w:rFonts w:hint="eastAsia" w:asciiTheme="minorEastAsia" w:hAnsiTheme="minorEastAsia" w:eastAsiaTheme="minorEastAsia" w:cstheme="minorEastAsia"/>
          <w:color w:val="auto"/>
          <w:spacing w:val="6"/>
          <w:sz w:val="24"/>
          <w:szCs w:val="24"/>
          <w:u w:val="single" w:color="auto"/>
        </w:rPr>
        <w:t xml:space="preserve">                   </w:t>
      </w:r>
      <w:r>
        <w:rPr>
          <w:rFonts w:hint="eastAsia" w:asciiTheme="minorEastAsia" w:hAnsiTheme="minorEastAsia" w:eastAsiaTheme="minorEastAsia" w:cstheme="minorEastAsia"/>
          <w:color w:val="auto"/>
          <w:spacing w:val="-18"/>
          <w:sz w:val="24"/>
          <w:szCs w:val="24"/>
          <w:u w:val="single" w:color="auto"/>
        </w:rPr>
        <w:t>（</w:t>
      </w:r>
      <w:r>
        <w:rPr>
          <w:rFonts w:hint="eastAsia" w:asciiTheme="minorEastAsia" w:hAnsiTheme="minorEastAsia" w:eastAsiaTheme="minorEastAsia" w:cstheme="minorEastAsia"/>
          <w:color w:val="auto"/>
          <w:spacing w:val="2"/>
          <w:sz w:val="24"/>
          <w:szCs w:val="24"/>
          <w:u w:val="single" w:color="auto"/>
        </w:rPr>
        <w:t>签章）</w:t>
      </w:r>
    </w:p>
    <w:p w14:paraId="1004C3AA">
      <w:pPr>
        <w:pStyle w:val="5"/>
        <w:spacing w:before="312" w:line="219" w:lineRule="auto"/>
        <w:ind w:left="488"/>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签订日期：</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106"/>
          <w:sz w:val="24"/>
          <w:szCs w:val="24"/>
        </w:rPr>
        <w:t xml:space="preserve"> </w:t>
      </w:r>
      <w:r>
        <w:rPr>
          <w:rFonts w:hint="eastAsia" w:asciiTheme="minorEastAsia" w:hAnsiTheme="minorEastAsia" w:eastAsiaTheme="minorEastAsia" w:cstheme="minorEastAsia"/>
          <w:color w:val="auto"/>
          <w:spacing w:val="-2"/>
          <w:sz w:val="24"/>
          <w:szCs w:val="24"/>
        </w:rPr>
        <w:t>年</w:t>
      </w:r>
      <w:r>
        <w:rPr>
          <w:rFonts w:hint="eastAsia" w:asciiTheme="minorEastAsia" w:hAnsiTheme="minorEastAsia" w:eastAsiaTheme="minorEastAsia" w:cstheme="minorEastAsia"/>
          <w:color w:val="auto"/>
          <w:spacing w:val="-2"/>
          <w:sz w:val="24"/>
          <w:szCs w:val="24"/>
          <w:u w:val="single" w:color="auto"/>
        </w:rPr>
        <w:t xml:space="preserve">    </w:t>
      </w:r>
      <w:r>
        <w:rPr>
          <w:rFonts w:hint="eastAsia" w:asciiTheme="minorEastAsia" w:hAnsiTheme="minorEastAsia" w:eastAsiaTheme="minorEastAsia" w:cstheme="minorEastAsia"/>
          <w:color w:val="auto"/>
          <w:spacing w:val="-104"/>
          <w:sz w:val="24"/>
          <w:szCs w:val="24"/>
        </w:rPr>
        <w:t xml:space="preserve"> </w:t>
      </w:r>
      <w:r>
        <w:rPr>
          <w:rFonts w:hint="eastAsia" w:asciiTheme="minorEastAsia" w:hAnsiTheme="minorEastAsia" w:eastAsiaTheme="minorEastAsia" w:cstheme="minorEastAsia"/>
          <w:color w:val="auto"/>
          <w:spacing w:val="-2"/>
          <w:sz w:val="24"/>
          <w:szCs w:val="24"/>
        </w:rPr>
        <w:t>月</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67"/>
          <w:sz w:val="24"/>
          <w:szCs w:val="24"/>
        </w:rPr>
        <w:t xml:space="preserve"> </w:t>
      </w:r>
      <w:r>
        <w:rPr>
          <w:rFonts w:hint="eastAsia" w:asciiTheme="minorEastAsia" w:hAnsiTheme="minorEastAsia" w:eastAsiaTheme="minorEastAsia" w:cstheme="minorEastAsia"/>
          <w:color w:val="auto"/>
          <w:spacing w:val="-2"/>
          <w:sz w:val="24"/>
          <w:szCs w:val="24"/>
        </w:rPr>
        <w:t>日</w:t>
      </w:r>
    </w:p>
    <w:p w14:paraId="0E7E1241">
      <w:pPr>
        <w:rPr>
          <w:rFonts w:hint="eastAsia" w:asciiTheme="minorEastAsia" w:hAnsiTheme="minorEastAsia" w:eastAsiaTheme="minorEastAsia" w:cstheme="minorEastAsia"/>
          <w:color w:val="auto"/>
        </w:rPr>
      </w:pPr>
    </w:p>
    <w:sectPr>
      <w:pgSz w:w="11906" w:h="16838"/>
      <w:pgMar w:top="1208" w:right="1417" w:bottom="1111" w:left="1417" w:header="845" w:footer="901" w:gutter="0"/>
      <w:pgNumType w:fmt="decimal"/>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0727C">
    <w:pPr>
      <w:pStyle w:val="5"/>
      <w:spacing w:line="209" w:lineRule="auto"/>
      <w:ind w:left="67"/>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37CA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22B37CA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r>
      <w:rPr>
        <w:spacing w:val="-11"/>
        <w:sz w:val="18"/>
        <w:szCs w:val="18"/>
      </w:rPr>
      <w:t>·</w:t>
    </w:r>
    <w:r>
      <w:rPr>
        <w:spacing w:val="2"/>
        <w:sz w:val="1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76404">
    <w:pPr>
      <w:pStyle w:val="5"/>
      <w:spacing w:line="209" w:lineRule="auto"/>
      <w:ind w:left="67"/>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617F8">
                          <w:pPr>
                            <w:pStyle w:val="7"/>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1DA617F8">
                    <w:pPr>
                      <w:pStyle w:val="7"/>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r>
      <w:rPr>
        <w:spacing w:val="-11"/>
        <w:sz w:val="18"/>
        <w:szCs w:val="18"/>
      </w:rPr>
      <w:t>·</w:t>
    </w:r>
    <w:r>
      <w:rPr>
        <w:spacing w:val="2"/>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C1F17">
    <w:pPr>
      <w:pStyle w:val="5"/>
      <w:spacing w:before="55" w:line="228" w:lineRule="auto"/>
      <w:ind w:left="6"/>
      <w:jc w:val="right"/>
      <w:rPr>
        <w:rFonts w:hint="eastAsia" w:eastAsia="宋体"/>
        <w:sz w:val="20"/>
        <w:szCs w:val="20"/>
        <w:lang w:eastAsia="zh-CN"/>
      </w:rPr>
    </w:pPr>
    <w:r>
      <mc:AlternateContent>
        <mc:Choice Requires="wps">
          <w:drawing>
            <wp:anchor distT="0" distB="0" distL="114300" distR="114300" simplePos="0" relativeHeight="251659264" behindDoc="0" locked="0" layoutInCell="0" allowOverlap="1">
              <wp:simplePos x="0" y="0"/>
              <wp:positionH relativeFrom="page">
                <wp:posOffset>899795</wp:posOffset>
              </wp:positionH>
              <wp:positionV relativeFrom="page">
                <wp:posOffset>725170</wp:posOffset>
              </wp:positionV>
              <wp:extent cx="5761355" cy="6350"/>
              <wp:effectExtent l="0" t="0" r="0" b="0"/>
              <wp:wrapNone/>
              <wp:docPr id="1" name="任意多边形 1"/>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0"/>
                            </a:moveTo>
                            <a:lnTo>
                              <a:pt x="9072" y="0"/>
                            </a:lnTo>
                            <a:lnTo>
                              <a:pt x="9072"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85pt;margin-top:57.1pt;height:0.5pt;width:453.65pt;mso-position-horizontal-relative:page;mso-position-vertical-relative:page;z-index:251659264;mso-width-relative:page;mso-height-relative:page;" fillcolor="#000000" filled="t" stroked="f" coordsize="9072,10" o:allowincell="f" o:gfxdata="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T4MQO2QAAAAwBAAAPAAAAAAAAAAEA&#10;IAAAACIAAABkcnMvZG93bnJldi54bWxQSwECFAAUAAAACACHTuJAXN54Fg4CAAB5BAAADgAAAAAA&#10;AAABACAAAAAoAQAAZHJzL2Uyb0RvYy54bWxQSwUGAAAAAAYABgBZAQAAqAUAAAAA&#10;" path="m0,0l9072,0,9072,9,0,9,0,0xe">
              <v:fill on="t" focussize="0,0"/>
              <v:stroke on="f"/>
              <v:imagedata o:title=""/>
              <o:lock v:ext="edit" aspectratio="f"/>
            </v:shape>
          </w:pict>
        </mc:Fallback>
      </mc:AlternateContent>
    </w:r>
    <w:r>
      <w:rPr>
        <w:spacing w:val="6"/>
        <w:sz w:val="20"/>
        <w:szCs w:val="20"/>
      </w:rPr>
      <w:t xml:space="preserve">                                                </w:t>
    </w:r>
    <w:r>
      <w:rPr>
        <w:spacing w:val="5"/>
        <w:sz w:val="20"/>
        <w:szCs w:val="20"/>
      </w:rPr>
      <w:t xml:space="preserve">   </w:t>
    </w:r>
    <w:r>
      <w:rPr>
        <w:rFonts w:hint="eastAsia"/>
        <w:sz w:val="20"/>
        <w:szCs w:val="20"/>
        <w:lang w:eastAsia="zh-CN"/>
      </w:rPr>
      <w:t>[HNZY-2025-37]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9E6EB"/>
    <w:multiLevelType w:val="singleLevel"/>
    <w:tmpl w:val="04B9E6EB"/>
    <w:lvl w:ilvl="0" w:tentative="0">
      <w:start w:val="10"/>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revisionView w:markup="0"/>
  <w:documentProtection w:enforcement="0"/>
  <w:defaultTabStop w:val="420"/>
  <w:drawingGridHorizontalSpacing w:val="210"/>
  <w:drawingGridVerticalSpacing w:val="99999990"/>
  <w:displayHorizontalDrawingGridEvery w:val="1"/>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141E5"/>
    <w:rsid w:val="00A67D58"/>
    <w:rsid w:val="011F2520"/>
    <w:rsid w:val="015957E2"/>
    <w:rsid w:val="01FB0577"/>
    <w:rsid w:val="01FF50C7"/>
    <w:rsid w:val="03B9241B"/>
    <w:rsid w:val="0B4B540D"/>
    <w:rsid w:val="0C9D2C31"/>
    <w:rsid w:val="0DA40D73"/>
    <w:rsid w:val="12D270D2"/>
    <w:rsid w:val="16225C7A"/>
    <w:rsid w:val="1A1C7252"/>
    <w:rsid w:val="1BEF6221"/>
    <w:rsid w:val="1DBE2102"/>
    <w:rsid w:val="1E3A7AA3"/>
    <w:rsid w:val="1E556FC1"/>
    <w:rsid w:val="235C54BC"/>
    <w:rsid w:val="25196944"/>
    <w:rsid w:val="25E37A27"/>
    <w:rsid w:val="262257F7"/>
    <w:rsid w:val="2C281F72"/>
    <w:rsid w:val="2C643CC4"/>
    <w:rsid w:val="30297EDA"/>
    <w:rsid w:val="33A45AC9"/>
    <w:rsid w:val="33EA00E6"/>
    <w:rsid w:val="371141E5"/>
    <w:rsid w:val="39667E4C"/>
    <w:rsid w:val="3A0A7DA9"/>
    <w:rsid w:val="3FA118B4"/>
    <w:rsid w:val="41F65F68"/>
    <w:rsid w:val="49900B72"/>
    <w:rsid w:val="4A45195C"/>
    <w:rsid w:val="4CC4274E"/>
    <w:rsid w:val="4CF17B79"/>
    <w:rsid w:val="50E353C3"/>
    <w:rsid w:val="54A0435F"/>
    <w:rsid w:val="54F2448F"/>
    <w:rsid w:val="56B440F1"/>
    <w:rsid w:val="57844525"/>
    <w:rsid w:val="5862192B"/>
    <w:rsid w:val="58712912"/>
    <w:rsid w:val="590B3A67"/>
    <w:rsid w:val="5AA73C74"/>
    <w:rsid w:val="5ADC040F"/>
    <w:rsid w:val="5FE03B66"/>
    <w:rsid w:val="60447BA0"/>
    <w:rsid w:val="610745EC"/>
    <w:rsid w:val="633839B4"/>
    <w:rsid w:val="643E149E"/>
    <w:rsid w:val="68952F83"/>
    <w:rsid w:val="68EF52A4"/>
    <w:rsid w:val="694F2539"/>
    <w:rsid w:val="6BBB7313"/>
    <w:rsid w:val="6CDE3BFC"/>
    <w:rsid w:val="6FB95E7D"/>
    <w:rsid w:val="707E12C5"/>
    <w:rsid w:val="72D45379"/>
    <w:rsid w:val="75043FE6"/>
    <w:rsid w:val="77351E5A"/>
    <w:rsid w:val="7A0B185B"/>
    <w:rsid w:val="7B914333"/>
    <w:rsid w:val="7F9D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9"/>
    <w:pPr>
      <w:keepNext/>
      <w:keepLines/>
      <w:tabs>
        <w:tab w:val="left" w:pos="0"/>
      </w:tabs>
      <w:spacing w:before="260" w:after="260" w:line="416" w:lineRule="auto"/>
      <w:ind w:left="181" w:leftChars="86"/>
      <w:jc w:val="center"/>
      <w:outlineLvl w:val="2"/>
    </w:pPr>
    <w:rPr>
      <w:rFonts w:ascii="Calibri" w:hAnsi="Calibri" w:eastAsia="仿宋" w:cs="Times New Roman"/>
      <w:b/>
      <w:bCs/>
      <w:sz w:val="30"/>
      <w:szCs w:val="32"/>
    </w:rPr>
  </w:style>
  <w:style w:type="paragraph" w:styleId="3">
    <w:name w:val="heading 4"/>
    <w:basedOn w:val="1"/>
    <w:next w:val="1"/>
    <w:unhideWhenUsed/>
    <w:qFormat/>
    <w:uiPriority w:val="0"/>
    <w:pPr>
      <w:spacing w:before="280" w:after="290" w:line="377" w:lineRule="auto"/>
      <w:ind w:firstLine="880"/>
      <w:outlineLvl w:val="3"/>
    </w:pPr>
    <w:rPr>
      <w:rFonts w:eastAsia="仿宋" w:asciiTheme="majorHAnsi" w:hAnsiTheme="majorHAnsi" w:cstheme="majorBidi"/>
      <w:bCs/>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rFonts w:ascii="Times New Roman" w:hAnsi="Times New Roman"/>
      <w:szCs w:val="20"/>
    </w:rPr>
  </w:style>
  <w:style w:type="paragraph" w:styleId="5">
    <w:name w:val="Body Text"/>
    <w:basedOn w:val="1"/>
    <w:qFormat/>
    <w:uiPriority w:val="0"/>
    <w:rPr>
      <w:rFonts w:ascii="宋体" w:hAnsi="宋体" w:eastAsia="宋体" w:cs="宋体"/>
      <w:sz w:val="24"/>
      <w:szCs w:val="71"/>
    </w:rPr>
  </w:style>
  <w:style w:type="paragraph" w:styleId="6">
    <w:name w:val="Body Text Indent"/>
    <w:basedOn w:val="1"/>
    <w:unhideWhenUsed/>
    <w:qFormat/>
    <w:uiPriority w:val="99"/>
    <w:pPr>
      <w:spacing w:before="100" w:beforeAutospacing="1" w:after="120"/>
      <w:ind w:left="420" w:leftChars="200"/>
    </w:pPr>
    <w:rPr>
      <w:rFonts w:ascii="Calibri" w:hAnsi="Calibri" w:eastAsia="仿宋" w:cs="Times New Roman"/>
      <w:kern w:val="0"/>
      <w:sz w:val="20"/>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6"/>
    <w:unhideWhenUsed/>
    <w:qFormat/>
    <w:uiPriority w:val="99"/>
    <w:pPr>
      <w:spacing w:before="0" w:beforeAutospacing="0" w:after="0"/>
      <w:ind w:left="0" w:leftChars="0"/>
      <w:jc w:val="right"/>
    </w:pPr>
    <w:rPr>
      <w:rFonts w:ascii="Times New Roman" w:hAnsi="Times New Roman"/>
      <w:sz w:val="24"/>
      <w:szCs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Table Text"/>
    <w:basedOn w:val="1"/>
    <w:semiHidden/>
    <w:qFormat/>
    <w:uiPriority w:val="0"/>
    <w:rPr>
      <w:rFonts w:ascii="宋体" w:hAnsi="宋体" w:eastAsia="宋体" w:cs="宋体"/>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character" w:customStyle="1" w:styleId="15">
    <w:name w:val="font41"/>
    <w:basedOn w:val="12"/>
    <w:qFormat/>
    <w:uiPriority w:val="0"/>
    <w:rPr>
      <w:rFonts w:hint="default" w:ascii="Times New Roman" w:hAnsi="Times New Roman" w:cs="Times New Roman"/>
      <w:color w:val="000000"/>
      <w:sz w:val="18"/>
      <w:szCs w:val="18"/>
      <w:u w:val="none"/>
    </w:rPr>
  </w:style>
  <w:style w:type="character" w:customStyle="1" w:styleId="16">
    <w:name w:val="font91"/>
    <w:basedOn w:val="12"/>
    <w:qFormat/>
    <w:uiPriority w:val="0"/>
    <w:rPr>
      <w:rFonts w:hint="eastAsia" w:ascii="仿宋_GB2312" w:eastAsia="仿宋_GB2312" w:cs="仿宋_GB2312"/>
      <w:color w:val="000000"/>
      <w:sz w:val="18"/>
      <w:szCs w:val="18"/>
      <w:u w:val="none"/>
    </w:rPr>
  </w:style>
  <w:style w:type="character" w:customStyle="1" w:styleId="17">
    <w:name w:val="font71"/>
    <w:basedOn w:val="12"/>
    <w:qFormat/>
    <w:uiPriority w:val="0"/>
    <w:rPr>
      <w:rFonts w:hint="default" w:ascii="Times New Roman" w:hAnsi="Times New Roman" w:cs="Times New Roman"/>
      <w:b/>
      <w:bCs/>
      <w:color w:val="000000"/>
      <w:sz w:val="22"/>
      <w:szCs w:val="22"/>
      <w:u w:val="none"/>
    </w:rPr>
  </w:style>
  <w:style w:type="character" w:customStyle="1" w:styleId="18">
    <w:name w:val="font81"/>
    <w:basedOn w:val="12"/>
    <w:qFormat/>
    <w:uiPriority w:val="0"/>
    <w:rPr>
      <w:rFonts w:hint="default" w:ascii="Times New Roman" w:hAnsi="Times New Roman" w:cs="Times New Roman"/>
      <w:b/>
      <w:bCs/>
      <w:color w:val="000000"/>
      <w:sz w:val="22"/>
      <w:szCs w:val="22"/>
      <w:u w:val="none"/>
      <w:vertAlign w:val="superscript"/>
    </w:rPr>
  </w:style>
  <w:style w:type="character" w:customStyle="1" w:styleId="19">
    <w:name w:val="font31"/>
    <w:basedOn w:val="12"/>
    <w:qFormat/>
    <w:uiPriority w:val="0"/>
    <w:rPr>
      <w:rFonts w:hint="default" w:ascii="Times New Roman" w:hAnsi="Times New Roman" w:cs="Times New Roman"/>
      <w:color w:val="000000"/>
      <w:sz w:val="22"/>
      <w:szCs w:val="22"/>
      <w:u w:val="none"/>
    </w:rPr>
  </w:style>
  <w:style w:type="paragraph" w:customStyle="1" w:styleId="20">
    <w:name w:val="列出段落1"/>
    <w:basedOn w:val="1"/>
    <w:qFormat/>
    <w:uiPriority w:val="99"/>
    <w:pPr>
      <w:ind w:firstLine="420" w:firstLineChars="200"/>
    </w:pPr>
    <w:rPr>
      <w:rFonts w:ascii="Calibri" w:hAnsi="Calibri" w:eastAsia="仿宋" w:cs="黑体"/>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2667</Words>
  <Characters>3003</Characters>
  <Lines>0</Lines>
  <Paragraphs>0</Paragraphs>
  <TotalTime>12</TotalTime>
  <ScaleCrop>false</ScaleCrop>
  <LinksUpToDate>false</LinksUpToDate>
  <CharactersWithSpaces>3093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2025-08-27T01:43:00Z</dcterms:created>
  <dc:creator>张益达</dc:creator>
  <cp:lastModifiedBy>羅</cp:lastModifiedBy>
  <cp:lastPrinted>2025-09-04T01:52:00Z</cp:lastPrinted>
  <dcterms:modified xsi:type="dcterms:W3CDTF">2025-09-29T09:11:29Z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F6B635DB3D4A451D894489A01F3ACECE_13</vt:lpwstr>
  </property>
  <property fmtid="{D5CDD505-2E9C-101B-9397-08002B2CF9AE}" pid="4" name="KSOTemplateDocerSaveRecord">
    <vt:lpwstr>eyJoZGlkIjoiMmE0M2MzYjMyMTMyMTQxNTAyYWQzN2I4NjA1MjQ3ZTEiLCJ1c2VySWQiOiIyNjQ5MzI5NzEifQ==</vt:lpwstr>
  </property>
</Properties>
</file>