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D45A3">
      <w:pPr>
        <w:bidi w:val="0"/>
        <w:jc w:val="center"/>
        <w:rPr>
          <w:rFonts w:hint="default"/>
          <w:color w:val="auto"/>
          <w:lang w:val="en-US" w:eastAsia="zh-CN"/>
        </w:rPr>
      </w:pPr>
      <w:bookmarkStart w:id="0" w:name="_Toc118195151"/>
      <w:bookmarkStart w:id="1" w:name="_Toc124063768"/>
      <w:bookmarkStart w:id="2" w:name="_Toc14027395"/>
      <w:bookmarkStart w:id="3" w:name="_Toc10086"/>
      <w:bookmarkStart w:id="4" w:name="_Toc4871"/>
      <w:bookmarkStart w:id="5" w:name="_Toc11681"/>
      <w:bookmarkStart w:id="6" w:name="_Toc16798"/>
      <w:bookmarkStart w:id="7" w:name="_Toc22466"/>
      <w:bookmarkStart w:id="8" w:name="_Toc24295"/>
      <w:bookmarkStart w:id="9" w:name="_Toc19263"/>
      <w:bookmarkStart w:id="10" w:name="_Toc115099978"/>
      <w:bookmarkStart w:id="11" w:name="_Toc6730"/>
      <w:bookmarkStart w:id="12" w:name="_Toc612"/>
      <w:bookmarkStart w:id="13" w:name="_Toc14489"/>
      <w:bookmarkStart w:id="14" w:name="_Toc27107"/>
      <w:bookmarkStart w:id="15" w:name="_Toc8402"/>
      <w:bookmarkStart w:id="16" w:name="_Toc13371"/>
      <w:bookmarkStart w:id="17" w:name="_Toc24557"/>
      <w:bookmarkStart w:id="18" w:name="_Toc18127"/>
      <w:bookmarkStart w:id="19" w:name="_Toc129354127"/>
      <w:bookmarkStart w:id="20" w:name="_Toc7882"/>
      <w:bookmarkStart w:id="21" w:name="_Toc207"/>
      <w:r>
        <w:rPr>
          <w:rFonts w:hint="eastAsia"/>
          <w:color w:val="auto"/>
          <w:lang w:val="en-US" w:eastAsia="zh-CN"/>
        </w:rPr>
        <w:t>第三章采购需求</w:t>
      </w:r>
    </w:p>
    <w:p w14:paraId="1AB1D49B">
      <w:pPr>
        <w:bidi w:val="0"/>
        <w:spacing w:line="360" w:lineRule="auto"/>
        <w:jc w:val="both"/>
        <w:rPr>
          <w:rFonts w:hint="eastAsia"/>
          <w:color w:val="auto"/>
          <w:sz w:val="28"/>
          <w:szCs w:val="28"/>
          <w:lang w:val="en-US" w:eastAsia="zh-CN"/>
        </w:rPr>
      </w:pPr>
      <w:r>
        <w:rPr>
          <w:rFonts w:hint="eastAsia"/>
          <w:color w:val="auto"/>
          <w:sz w:val="28"/>
          <w:szCs w:val="28"/>
          <w:lang w:val="en-US" w:eastAsia="zh-CN"/>
        </w:rPr>
        <w:t>一、项目概况</w:t>
      </w:r>
    </w:p>
    <w:p w14:paraId="3BA63AF9">
      <w:pPr>
        <w:spacing w:line="360" w:lineRule="auto"/>
        <w:ind w:firstLine="560" w:firstLineChars="200"/>
        <w:jc w:val="left"/>
        <w:rPr>
          <w:rFonts w:hint="eastAsia" w:ascii="仿宋" w:hAnsi="仿宋" w:eastAsia="仿宋" w:cs="Times New Roman"/>
          <w:i w:val="0"/>
          <w:iCs/>
          <w:color w:val="auto"/>
          <w:sz w:val="28"/>
          <w:szCs w:val="28"/>
          <w:u w:val="single"/>
          <w:lang w:eastAsia="zh-CN"/>
        </w:rPr>
      </w:pPr>
      <w:r>
        <w:rPr>
          <w:rFonts w:hint="eastAsia" w:ascii="仿宋" w:hAnsi="仿宋" w:eastAsia="仿宋" w:cs="Times New Roman"/>
          <w:i w:val="0"/>
          <w:iCs/>
          <w:color w:val="auto"/>
          <w:sz w:val="28"/>
          <w:szCs w:val="28"/>
          <w:u w:val="single"/>
          <w:lang w:val="en-US" w:eastAsia="zh-CN"/>
        </w:rPr>
        <w:t xml:space="preserve">1、项目名称：海口市美兰区乡镇环卫项目 </w:t>
      </w:r>
    </w:p>
    <w:p w14:paraId="7C1ADA8D">
      <w:pPr>
        <w:spacing w:line="360" w:lineRule="auto"/>
        <w:ind w:firstLine="560" w:firstLineChars="200"/>
        <w:jc w:val="left"/>
        <w:rPr>
          <w:rFonts w:hint="eastAsia" w:ascii="仿宋_GB2312" w:hAnsi="黑体" w:eastAsia="仿宋_GB2312"/>
          <w:i w:val="0"/>
          <w:iCs/>
          <w:color w:val="auto"/>
          <w:sz w:val="28"/>
          <w:szCs w:val="28"/>
          <w:u w:val="single"/>
        </w:rPr>
      </w:pPr>
      <w:r>
        <w:rPr>
          <w:rFonts w:hint="eastAsia" w:ascii="仿宋_GB2312" w:hAnsi="黑体" w:eastAsia="仿宋_GB2312"/>
          <w:i w:val="0"/>
          <w:iCs/>
          <w:color w:val="auto"/>
          <w:sz w:val="28"/>
          <w:szCs w:val="28"/>
          <w:u w:val="single"/>
        </w:rPr>
        <w:t>2.预算金额：125141700.00元，投标综合单价或</w:t>
      </w:r>
      <w:r>
        <w:rPr>
          <w:rFonts w:hint="eastAsia" w:hAnsi="黑体"/>
          <w:i w:val="0"/>
          <w:iCs/>
          <w:color w:val="auto"/>
          <w:sz w:val="28"/>
          <w:szCs w:val="28"/>
          <w:u w:val="single"/>
          <w:lang w:val="en-US" w:eastAsia="zh-CN"/>
        </w:rPr>
        <w:t>最高限价</w:t>
      </w:r>
      <w:r>
        <w:rPr>
          <w:rFonts w:hint="eastAsia" w:ascii="仿宋_GB2312" w:hAnsi="黑体" w:eastAsia="仿宋_GB2312"/>
          <w:i w:val="0"/>
          <w:iCs/>
          <w:color w:val="auto"/>
          <w:sz w:val="28"/>
          <w:szCs w:val="28"/>
          <w:u w:val="single"/>
        </w:rPr>
        <w:t>超出采购预算的视为无效投标。</w:t>
      </w:r>
    </w:p>
    <w:p w14:paraId="563F361F">
      <w:pPr>
        <w:numPr>
          <w:ilvl w:val="0"/>
          <w:numId w:val="0"/>
        </w:numPr>
        <w:spacing w:line="360" w:lineRule="auto"/>
        <w:ind w:firstLine="560" w:firstLineChars="200"/>
        <w:jc w:val="left"/>
        <w:rPr>
          <w:rFonts w:hint="default" w:hAnsi="黑体"/>
          <w:i w:val="0"/>
          <w:iCs/>
          <w:color w:val="auto"/>
          <w:sz w:val="28"/>
          <w:szCs w:val="28"/>
          <w:u w:val="single"/>
          <w:lang w:val="en-US" w:eastAsia="zh-CN"/>
        </w:rPr>
      </w:pPr>
      <w:r>
        <w:rPr>
          <w:rFonts w:hint="eastAsia" w:hAnsi="黑体"/>
          <w:i w:val="0"/>
          <w:iCs/>
          <w:color w:val="auto"/>
          <w:sz w:val="28"/>
          <w:szCs w:val="28"/>
          <w:u w:val="single"/>
          <w:lang w:val="en-US" w:eastAsia="zh-CN"/>
        </w:rPr>
        <w:t>3.最高限价：</w:t>
      </w:r>
      <w:r>
        <w:rPr>
          <w:rFonts w:hint="eastAsia" w:ascii="仿宋_GB2312" w:hAnsi="楷体" w:eastAsia="仿宋_GB2312"/>
          <w:color w:val="auto"/>
          <w:sz w:val="28"/>
          <w:szCs w:val="28"/>
          <w:u w:val="single"/>
        </w:rPr>
        <w:t>125141607</w:t>
      </w:r>
      <w:r>
        <w:rPr>
          <w:rFonts w:hint="eastAsia" w:hAnsi="楷体"/>
          <w:color w:val="auto"/>
          <w:sz w:val="28"/>
          <w:szCs w:val="28"/>
          <w:u w:val="single"/>
          <w:lang w:val="en-US" w:eastAsia="zh-CN"/>
        </w:rPr>
        <w:t>.03元</w:t>
      </w:r>
    </w:p>
    <w:p w14:paraId="3777E0AA">
      <w:pPr>
        <w:numPr>
          <w:ilvl w:val="0"/>
          <w:numId w:val="0"/>
        </w:numPr>
        <w:spacing w:line="360" w:lineRule="auto"/>
        <w:ind w:firstLine="560" w:firstLineChars="200"/>
        <w:jc w:val="left"/>
        <w:rPr>
          <w:rFonts w:hint="eastAsia" w:hAnsi="黑体"/>
          <w:i w:val="0"/>
          <w:iCs/>
          <w:color w:val="auto"/>
          <w:sz w:val="28"/>
          <w:szCs w:val="28"/>
          <w:u w:val="single"/>
          <w:lang w:val="en-US" w:eastAsia="zh-CN"/>
        </w:rPr>
      </w:pPr>
      <w:r>
        <w:rPr>
          <w:rFonts w:hint="eastAsia" w:hAnsi="黑体"/>
          <w:i w:val="0"/>
          <w:iCs/>
          <w:color w:val="auto"/>
          <w:sz w:val="28"/>
          <w:szCs w:val="28"/>
          <w:u w:val="single"/>
          <w:lang w:val="en-US" w:eastAsia="zh-CN"/>
        </w:rPr>
        <w:t>4.项目背景：</w:t>
      </w:r>
    </w:p>
    <w:p w14:paraId="52C2AC0D">
      <w:pPr>
        <w:numPr>
          <w:ilvl w:val="0"/>
          <w:numId w:val="0"/>
        </w:numPr>
        <w:spacing w:line="360" w:lineRule="auto"/>
        <w:ind w:firstLine="560" w:firstLineChars="200"/>
        <w:jc w:val="left"/>
        <w:rPr>
          <w:rFonts w:hint="eastAsia" w:hAnsi="黑体"/>
          <w:i w:val="0"/>
          <w:iCs/>
          <w:color w:val="auto"/>
          <w:sz w:val="28"/>
          <w:szCs w:val="28"/>
          <w:u w:val="single"/>
          <w:lang w:val="en-US" w:eastAsia="zh-CN"/>
        </w:rPr>
      </w:pPr>
      <w:r>
        <w:rPr>
          <w:rFonts w:hint="eastAsia" w:hAnsi="黑体"/>
          <w:i w:val="0"/>
          <w:iCs/>
          <w:color w:val="auto"/>
          <w:sz w:val="28"/>
          <w:szCs w:val="28"/>
          <w:u w:val="single"/>
          <w:lang w:val="en-US" w:eastAsia="zh-CN"/>
        </w:rPr>
        <w:t>为贯彻落实2023年国务院政府工作报告中提出的“贯彻以人民为中心的发展思想，持续增加民生投入，着力保基本、兜底线、促公平，提升公共服务水平，推进基本公共服务均等化，在发展中不断增进民生福祉”的要求、积极响应海口市市委市政府的工作号召，通过对完全市场化、政府完全自管等二种模式的财政资金使用效益和优缺点进行充分比对，同时结合海口市美兰区乡镇环卫项目（海口市美兰区乡镇环卫一体化项目）的实际开展情况以及实际需求，拟通过政府采购服务方式选定的镇墟环卫企业，通过本项目的实施，旨在实现杜绝环境卫生管理的“死角”或盲区的目标，创新环境卫生管理机制，将责任落实到位，巩固美兰区的整体水平和市容环境质量。</w:t>
      </w:r>
    </w:p>
    <w:p w14:paraId="22843B1D">
      <w:pPr>
        <w:pStyle w:val="2"/>
        <w:spacing w:line="360" w:lineRule="auto"/>
        <w:rPr>
          <w:rFonts w:hint="eastAsia"/>
          <w:color w:val="auto"/>
          <w:sz w:val="28"/>
          <w:szCs w:val="28"/>
          <w:lang w:val="en-US" w:eastAsia="zh-CN"/>
        </w:rPr>
      </w:pPr>
      <w:r>
        <w:rPr>
          <w:rFonts w:hint="eastAsia" w:hAnsi="黑体"/>
          <w:i w:val="0"/>
          <w:iCs/>
          <w:color w:val="auto"/>
          <w:sz w:val="28"/>
          <w:szCs w:val="28"/>
          <w:u w:val="single"/>
          <w:lang w:val="en-US" w:eastAsia="zh-CN"/>
        </w:rPr>
        <w:t>备注：海口市美兰区乡镇环卫项目与海口市美兰区乡镇环卫一体化项目为同一项目</w:t>
      </w:r>
    </w:p>
    <w:p w14:paraId="51D6214F">
      <w:pPr>
        <w:bidi w:val="0"/>
        <w:spacing w:line="360" w:lineRule="auto"/>
        <w:rPr>
          <w:rFonts w:hint="eastAsia"/>
          <w:color w:val="auto"/>
          <w:sz w:val="28"/>
          <w:szCs w:val="28"/>
          <w:lang w:val="en-US" w:eastAsia="zh-CN"/>
        </w:rPr>
      </w:pPr>
      <w:r>
        <w:rPr>
          <w:rFonts w:hint="eastAsia"/>
          <w:color w:val="auto"/>
          <w:sz w:val="28"/>
          <w:szCs w:val="28"/>
          <w:lang w:val="en-US" w:eastAsia="zh-CN"/>
        </w:rPr>
        <w:t>二、道路及公共区域清扫保洁</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hint="eastAsia"/>
          <w:color w:val="auto"/>
          <w:sz w:val="28"/>
          <w:szCs w:val="28"/>
          <w:lang w:val="en-US" w:eastAsia="zh-CN"/>
        </w:rPr>
        <w:t>：</w:t>
      </w:r>
    </w:p>
    <w:p w14:paraId="50E2BA38">
      <w:pPr>
        <w:bidi w:val="0"/>
        <w:spacing w:line="360" w:lineRule="auto"/>
        <w:rPr>
          <w:rFonts w:hint="eastAsia"/>
          <w:color w:val="auto"/>
          <w:sz w:val="28"/>
          <w:szCs w:val="28"/>
          <w:lang w:val="en-US" w:eastAsia="zh-CN"/>
        </w:rPr>
      </w:pPr>
      <w:bookmarkStart w:id="22" w:name="_Toc14027396"/>
      <w:bookmarkStart w:id="23" w:name="_Toc23091"/>
      <w:bookmarkStart w:id="24" w:name="_Toc24374"/>
      <w:bookmarkStart w:id="25" w:name="_Toc31319"/>
      <w:bookmarkStart w:id="26" w:name="_Toc21697"/>
      <w:bookmarkStart w:id="27" w:name="_Toc24449"/>
      <w:bookmarkStart w:id="28" w:name="_Toc12594"/>
      <w:bookmarkStart w:id="29" w:name="_Toc31416"/>
      <w:bookmarkStart w:id="30" w:name="_Toc14046"/>
      <w:bookmarkStart w:id="31" w:name="_Toc162431553"/>
      <w:bookmarkStart w:id="32" w:name="_Toc26482"/>
      <w:bookmarkStart w:id="33" w:name="_Toc1349"/>
      <w:bookmarkStart w:id="34" w:name="_Toc30720"/>
      <w:bookmarkStart w:id="35" w:name="_Toc23544"/>
      <w:bookmarkStart w:id="36" w:name="_Toc12700"/>
      <w:bookmarkStart w:id="37" w:name="_Toc1284"/>
      <w:bookmarkStart w:id="38" w:name="_Toc25802"/>
      <w:bookmarkStart w:id="39" w:name="_Toc17748"/>
      <w:bookmarkStart w:id="40" w:name="_Toc12581"/>
      <w:bookmarkStart w:id="41" w:name="_Toc15387"/>
      <w:bookmarkStart w:id="42" w:name="_Toc20617"/>
      <w:bookmarkStart w:id="43" w:name="_Hlk10553743"/>
      <w:r>
        <w:rPr>
          <w:rFonts w:hint="eastAsia"/>
          <w:color w:val="auto"/>
          <w:sz w:val="28"/>
          <w:szCs w:val="28"/>
          <w:lang w:val="en-US" w:eastAsia="zh-CN"/>
        </w:rPr>
        <w:t>（一）作业范围</w:t>
      </w:r>
      <w:bookmarkEnd w:id="22"/>
      <w:r>
        <w:rPr>
          <w:rFonts w:hint="eastAsia"/>
          <w:color w:val="auto"/>
          <w:sz w:val="28"/>
          <w:szCs w:val="28"/>
          <w:lang w:val="en-US" w:eastAsia="zh-CN"/>
        </w:rPr>
        <w:t>及面积</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0320FCA">
      <w:pPr>
        <w:pStyle w:val="8"/>
        <w:spacing w:line="360" w:lineRule="auto"/>
        <w:ind w:firstLine="560"/>
        <w:rPr>
          <w:rFonts w:hint="eastAsia" w:ascii="仿宋_GB2312" w:hAnsi="黑体" w:eastAsia="仿宋_GB2312" w:cs="Times New Roman"/>
          <w:b w:val="0"/>
          <w:bCs w:val="0"/>
          <w:i w:val="0"/>
          <w:iCs/>
          <w:color w:val="auto"/>
          <w:kern w:val="2"/>
          <w:sz w:val="28"/>
          <w:szCs w:val="28"/>
          <w:u w:val="none"/>
          <w:lang w:val="en-US" w:eastAsia="zh-CN" w:bidi="ar-SA"/>
        </w:rPr>
      </w:pPr>
      <w:r>
        <w:rPr>
          <w:rFonts w:hint="eastAsia" w:ascii="仿宋_GB2312" w:hAnsi="黑体" w:eastAsia="仿宋_GB2312" w:cs="Times New Roman"/>
          <w:b w:val="0"/>
          <w:bCs w:val="0"/>
          <w:i w:val="0"/>
          <w:iCs/>
          <w:color w:val="auto"/>
          <w:kern w:val="2"/>
          <w:sz w:val="28"/>
          <w:szCs w:val="28"/>
          <w:u w:val="none"/>
          <w:lang w:val="en-US" w:eastAsia="zh-CN" w:bidi="ar-SA"/>
        </w:rPr>
        <w:t>1、作业范围</w:t>
      </w:r>
    </w:p>
    <w:p w14:paraId="4DD7E6AE">
      <w:pPr>
        <w:pStyle w:val="8"/>
        <w:spacing w:line="360" w:lineRule="auto"/>
        <w:ind w:firstLine="560"/>
        <w:rPr>
          <w:rFonts w:hint="eastAsia" w:ascii="仿宋_GB2312" w:hAnsi="黑体" w:eastAsia="仿宋_GB2312" w:cs="Times New Roman"/>
          <w:b w:val="0"/>
          <w:bCs w:val="0"/>
          <w:i w:val="0"/>
          <w:iCs/>
          <w:color w:val="auto"/>
          <w:kern w:val="2"/>
          <w:sz w:val="28"/>
          <w:szCs w:val="28"/>
          <w:u w:val="none"/>
          <w:lang w:val="en-US" w:eastAsia="zh-CN" w:bidi="ar-SA"/>
        </w:rPr>
      </w:pPr>
      <w:bookmarkStart w:id="44" w:name="_Hlk163461174"/>
      <w:r>
        <w:rPr>
          <w:rFonts w:hint="eastAsia" w:ascii="仿宋_GB2312" w:hAnsi="黑体" w:eastAsia="仿宋_GB2312" w:cs="Times New Roman"/>
          <w:b w:val="0"/>
          <w:bCs w:val="0"/>
          <w:i w:val="0"/>
          <w:iCs/>
          <w:color w:val="auto"/>
          <w:kern w:val="2"/>
          <w:sz w:val="28"/>
          <w:szCs w:val="28"/>
          <w:u w:val="none"/>
          <w:lang w:val="en-US" w:eastAsia="zh-CN" w:bidi="ar-SA"/>
        </w:rPr>
        <w:t>海口市美兰区灵山镇、演丰镇、三江镇（不含三江居）、大致坡镇在内镇墟范围内的主要交通干道、“墙到墙”、绿化以及所辖村村通道路的清扫保洁，从而形成范围内全覆盖的环卫作业。</w:t>
      </w:r>
    </w:p>
    <w:bookmarkEnd w:id="44"/>
    <w:p w14:paraId="34DF17B6">
      <w:pPr>
        <w:pStyle w:val="8"/>
        <w:spacing w:line="360" w:lineRule="auto"/>
        <w:ind w:firstLine="560"/>
        <w:rPr>
          <w:rFonts w:hint="eastAsia" w:ascii="仿宋_GB2312" w:hAnsi="黑体" w:eastAsia="仿宋_GB2312" w:cs="Times New Roman"/>
          <w:b w:val="0"/>
          <w:bCs w:val="0"/>
          <w:i w:val="0"/>
          <w:iCs/>
          <w:color w:val="auto"/>
          <w:kern w:val="2"/>
          <w:sz w:val="28"/>
          <w:szCs w:val="28"/>
          <w:u w:val="none"/>
          <w:lang w:val="en-US" w:eastAsia="zh-CN" w:bidi="ar-SA"/>
        </w:rPr>
      </w:pPr>
      <w:r>
        <w:rPr>
          <w:rFonts w:hint="eastAsia" w:ascii="仿宋_GB2312" w:hAnsi="黑体" w:eastAsia="仿宋_GB2312" w:cs="Times New Roman"/>
          <w:b w:val="0"/>
          <w:bCs w:val="0"/>
          <w:i w:val="0"/>
          <w:iCs/>
          <w:color w:val="auto"/>
          <w:kern w:val="2"/>
          <w:sz w:val="28"/>
          <w:szCs w:val="28"/>
          <w:u w:val="none"/>
          <w:lang w:val="en-US" w:eastAsia="zh-CN" w:bidi="ar-SA"/>
        </w:rPr>
        <w:t>2、作业面积</w:t>
      </w:r>
    </w:p>
    <w:p w14:paraId="30B0E2BF">
      <w:pPr>
        <w:pStyle w:val="8"/>
        <w:spacing w:line="360" w:lineRule="auto"/>
        <w:ind w:firstLine="560"/>
        <w:rPr>
          <w:rFonts w:hint="eastAsia" w:ascii="仿宋_GB2312" w:hAnsi="黑体" w:eastAsia="仿宋_GB2312" w:cs="Times New Roman"/>
          <w:b w:val="0"/>
          <w:bCs w:val="0"/>
          <w:i w:val="0"/>
          <w:iCs/>
          <w:color w:val="auto"/>
          <w:kern w:val="2"/>
          <w:sz w:val="28"/>
          <w:szCs w:val="28"/>
          <w:u w:val="none"/>
          <w:lang w:val="en-US" w:eastAsia="zh-CN" w:bidi="ar-SA"/>
        </w:rPr>
      </w:pPr>
      <w:r>
        <w:rPr>
          <w:rFonts w:hint="eastAsia" w:ascii="仿宋_GB2312" w:hAnsi="黑体" w:eastAsia="仿宋_GB2312" w:cs="Times New Roman"/>
          <w:b w:val="0"/>
          <w:bCs w:val="0"/>
          <w:i w:val="0"/>
          <w:iCs/>
          <w:color w:val="auto"/>
          <w:kern w:val="2"/>
          <w:sz w:val="28"/>
          <w:szCs w:val="28"/>
          <w:u w:val="none"/>
          <w:lang w:val="en-US" w:eastAsia="zh-CN" w:bidi="ar-SA"/>
        </w:rPr>
        <w:t>道路及公共区域的清扫保洁面积共计初始面积为4557218.99㎡，新增面积为384740.88㎡，核减面积1958㎡，合计面积为4940001.87㎡，其中：初始面积—镇墟道路761397.24㎡、村村通道路2863449.26㎡、绿化面积1115.80㎡、“墙到墙”面积899743.91㎡、罗牛山场部和三江社区居委会的龙窝村面积31512.78㎡；新增镇墟道路面积190600.40㎡，新增（加宽）村村通道路112056.38㎡，新增保税区空港片区道路面积30992.60㎡，新增保税区空港片区其他面积51091.50㎡，共计为384740.88㎡；核减村村通道路1958㎡。</w:t>
      </w:r>
    </w:p>
    <w:p w14:paraId="3FF90114">
      <w:pPr>
        <w:pStyle w:val="8"/>
        <w:spacing w:line="360" w:lineRule="auto"/>
        <w:ind w:firstLine="560"/>
        <w:rPr>
          <w:rFonts w:hint="eastAsia" w:ascii="仿宋_GB2312" w:hAnsi="黑体" w:eastAsia="仿宋_GB2312" w:cs="Times New Roman"/>
          <w:b w:val="0"/>
          <w:bCs w:val="0"/>
          <w:i w:val="0"/>
          <w:iCs/>
          <w:color w:val="auto"/>
          <w:kern w:val="2"/>
          <w:sz w:val="32"/>
          <w:szCs w:val="32"/>
          <w:u w:val="none"/>
          <w:lang w:val="en-US" w:eastAsia="zh-CN" w:bidi="ar-SA"/>
        </w:rPr>
      </w:pPr>
      <w:r>
        <w:rPr>
          <w:rFonts w:hint="eastAsia" w:ascii="仿宋_GB2312" w:hAnsi="黑体" w:eastAsia="仿宋_GB2312" w:cs="Times New Roman"/>
          <w:b w:val="0"/>
          <w:bCs w:val="0"/>
          <w:i w:val="0"/>
          <w:iCs/>
          <w:color w:val="auto"/>
          <w:kern w:val="2"/>
          <w:sz w:val="28"/>
          <w:szCs w:val="28"/>
          <w:u w:val="none"/>
          <w:lang w:val="en-US" w:eastAsia="zh-CN" w:bidi="ar-SA"/>
        </w:rPr>
        <w:t>（面积增减以测绘报告为准）详见下表：</w:t>
      </w:r>
    </w:p>
    <w:bookmarkEnd w:id="43"/>
    <w:p w14:paraId="59420572">
      <w:pPr>
        <w:rPr>
          <w:rFonts w:hint="eastAsia" w:ascii="仿宋" w:hAnsi="仿宋" w:eastAsia="仿宋" w:cs="仿宋"/>
          <w:b/>
          <w:color w:val="auto"/>
          <w:sz w:val="28"/>
          <w:szCs w:val="28"/>
          <w:highlight w:val="none"/>
          <w:u w:val="none"/>
        </w:rPr>
      </w:pPr>
      <w:r>
        <w:rPr>
          <w:rFonts w:hint="eastAsia" w:ascii="仿宋" w:hAnsi="仿宋" w:eastAsia="仿宋" w:cs="仿宋"/>
          <w:b/>
          <w:color w:val="auto"/>
          <w:sz w:val="28"/>
          <w:szCs w:val="28"/>
          <w:highlight w:val="none"/>
          <w:u w:val="none"/>
        </w:rPr>
        <w:br w:type="page"/>
      </w:r>
    </w:p>
    <w:p w14:paraId="00EC5EFB">
      <w:pPr>
        <w:ind w:firstLine="562" w:firstLineChars="20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附表1-1 </w:t>
      </w:r>
      <w:r>
        <w:rPr>
          <w:rFonts w:hint="eastAsia" w:ascii="仿宋" w:hAnsi="仿宋" w:eastAsia="仿宋" w:cs="仿宋"/>
          <w:b/>
          <w:color w:val="auto"/>
          <w:sz w:val="28"/>
          <w:szCs w:val="28"/>
          <w:highlight w:val="none"/>
          <w:lang w:eastAsia="zh-CN"/>
        </w:rPr>
        <w:t>镇墟市场化</w:t>
      </w:r>
      <w:r>
        <w:rPr>
          <w:rFonts w:hint="eastAsia" w:ascii="仿宋" w:hAnsi="仿宋" w:eastAsia="仿宋" w:cs="仿宋"/>
          <w:b/>
          <w:color w:val="auto"/>
          <w:sz w:val="28"/>
          <w:szCs w:val="28"/>
          <w:highlight w:val="none"/>
        </w:rPr>
        <w:t>的作业面积统计表</w:t>
      </w:r>
    </w:p>
    <w:p w14:paraId="5B6E4C7E">
      <w:pPr>
        <w:pStyle w:val="5"/>
        <w:rPr>
          <w:color w:val="auto"/>
          <w:highlight w:val="none"/>
        </w:rPr>
      </w:pPr>
      <w:r>
        <w:rPr>
          <w:rFonts w:hint="eastAsia"/>
          <w:color w:val="auto"/>
          <w:highlight w:val="none"/>
        </w:rPr>
        <w:t>单位：㎡</w:t>
      </w:r>
    </w:p>
    <w:tbl>
      <w:tblPr>
        <w:tblStyle w:val="6"/>
        <w:tblW w:w="8680" w:type="dxa"/>
        <w:jc w:val="center"/>
        <w:tblLayout w:type="fixed"/>
        <w:tblCellMar>
          <w:top w:w="0" w:type="dxa"/>
          <w:left w:w="108" w:type="dxa"/>
          <w:bottom w:w="0" w:type="dxa"/>
          <w:right w:w="108" w:type="dxa"/>
        </w:tblCellMar>
      </w:tblPr>
      <w:tblGrid>
        <w:gridCol w:w="1671"/>
        <w:gridCol w:w="3343"/>
        <w:gridCol w:w="3666"/>
      </w:tblGrid>
      <w:tr w14:paraId="35CAB37B">
        <w:tblPrEx>
          <w:tblCellMar>
            <w:top w:w="0" w:type="dxa"/>
            <w:left w:w="108" w:type="dxa"/>
            <w:bottom w:w="0" w:type="dxa"/>
            <w:right w:w="108" w:type="dxa"/>
          </w:tblCellMar>
        </w:tblPrEx>
        <w:trPr>
          <w:trHeight w:val="578" w:hRule="atLeast"/>
          <w:tblHeader/>
          <w:jc w:val="center"/>
        </w:trPr>
        <w:tc>
          <w:tcPr>
            <w:tcW w:w="167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790D23">
            <w:pPr>
              <w:widowControl/>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3343" w:type="dxa"/>
            <w:tcBorders>
              <w:top w:val="single" w:color="000000" w:sz="8" w:space="0"/>
              <w:left w:val="single" w:color="000000" w:sz="8" w:space="0"/>
              <w:bottom w:val="single" w:color="000000" w:sz="8" w:space="0"/>
              <w:right w:val="single" w:color="auto" w:sz="4" w:space="0"/>
            </w:tcBorders>
            <w:shd w:val="clear" w:color="auto" w:fill="auto"/>
            <w:vAlign w:val="center"/>
          </w:tcPr>
          <w:p w14:paraId="7E3358CE">
            <w:pPr>
              <w:widowControl/>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类别</w:t>
            </w:r>
          </w:p>
        </w:tc>
        <w:tc>
          <w:tcPr>
            <w:tcW w:w="3666" w:type="dxa"/>
            <w:tcBorders>
              <w:top w:val="single" w:color="auto" w:sz="4" w:space="0"/>
              <w:left w:val="single" w:color="auto" w:sz="4" w:space="0"/>
              <w:bottom w:val="single" w:color="auto" w:sz="4" w:space="0"/>
              <w:right w:val="single" w:color="auto" w:sz="4" w:space="0"/>
            </w:tcBorders>
            <w:vAlign w:val="center"/>
          </w:tcPr>
          <w:p w14:paraId="3940A89F">
            <w:pPr>
              <w:widowControl/>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作业面积</w:t>
            </w:r>
          </w:p>
        </w:tc>
      </w:tr>
      <w:tr w14:paraId="74A8AA87">
        <w:tblPrEx>
          <w:tblCellMar>
            <w:top w:w="0" w:type="dxa"/>
            <w:left w:w="108" w:type="dxa"/>
            <w:bottom w:w="0" w:type="dxa"/>
            <w:right w:w="108" w:type="dxa"/>
          </w:tblCellMar>
        </w:tblPrEx>
        <w:trPr>
          <w:trHeight w:val="578" w:hRule="atLeast"/>
          <w:jc w:val="center"/>
        </w:trPr>
        <w:tc>
          <w:tcPr>
            <w:tcW w:w="1671" w:type="dxa"/>
            <w:tcBorders>
              <w:top w:val="nil"/>
              <w:left w:val="single" w:color="000000" w:sz="8" w:space="0"/>
              <w:bottom w:val="single" w:color="000000" w:sz="8" w:space="0"/>
              <w:right w:val="single" w:color="000000" w:sz="8" w:space="0"/>
            </w:tcBorders>
            <w:shd w:val="clear" w:color="auto" w:fill="auto"/>
            <w:vAlign w:val="center"/>
          </w:tcPr>
          <w:p w14:paraId="2B2BE562">
            <w:pPr>
              <w:widowControl/>
              <w:jc w:val="center"/>
              <w:textAlignment w:val="center"/>
              <w:rPr>
                <w:rFonts w:hint="eastAsia" w:ascii="仿宋" w:hAnsi="仿宋" w:eastAsia="仿宋" w:cs="仿宋"/>
                <w:color w:val="auto"/>
                <w:sz w:val="24"/>
                <w:szCs w:val="24"/>
                <w:highlight w:val="none"/>
              </w:rPr>
            </w:pPr>
            <w:r>
              <w:rPr>
                <w:rFonts w:ascii="仿宋" w:hAnsi="仿宋" w:eastAsia="仿宋" w:cs="仿宋"/>
                <w:color w:val="auto"/>
                <w:kern w:val="0"/>
                <w:sz w:val="24"/>
                <w:szCs w:val="24"/>
                <w:highlight w:val="none"/>
                <w:lang w:bidi="ar"/>
              </w:rPr>
              <w:t>1</w:t>
            </w:r>
          </w:p>
        </w:tc>
        <w:tc>
          <w:tcPr>
            <w:tcW w:w="3343" w:type="dxa"/>
            <w:tcBorders>
              <w:top w:val="nil"/>
              <w:left w:val="single" w:color="000000" w:sz="8" w:space="0"/>
              <w:bottom w:val="single" w:color="000000" w:sz="8" w:space="0"/>
              <w:right w:val="single" w:color="auto" w:sz="4" w:space="0"/>
            </w:tcBorders>
            <w:shd w:val="clear" w:color="auto" w:fill="auto"/>
            <w:vAlign w:val="center"/>
          </w:tcPr>
          <w:p w14:paraId="315C3D94">
            <w:pPr>
              <w:widowControl/>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镇墟道路面积</w:t>
            </w:r>
          </w:p>
        </w:tc>
        <w:tc>
          <w:tcPr>
            <w:tcW w:w="3666" w:type="dxa"/>
            <w:tcBorders>
              <w:top w:val="single" w:color="auto" w:sz="4" w:space="0"/>
              <w:left w:val="single" w:color="auto" w:sz="4" w:space="0"/>
              <w:bottom w:val="single" w:color="auto" w:sz="4" w:space="0"/>
              <w:right w:val="single" w:color="auto" w:sz="4" w:space="0"/>
            </w:tcBorders>
            <w:vAlign w:val="center"/>
          </w:tcPr>
          <w:p w14:paraId="5D509888">
            <w:pPr>
              <w:widowControl/>
              <w:jc w:val="center"/>
              <w:textAlignment w:val="center"/>
              <w:rPr>
                <w:rFonts w:hint="eastAsia" w:ascii="仿宋" w:hAnsi="仿宋" w:eastAsia="仿宋" w:cs="仿宋"/>
                <w:color w:val="auto"/>
                <w:sz w:val="24"/>
                <w:szCs w:val="24"/>
                <w:highlight w:val="none"/>
              </w:rPr>
            </w:pPr>
            <w:r>
              <w:rPr>
                <w:rFonts w:ascii="仿宋" w:hAnsi="仿宋" w:eastAsia="仿宋"/>
                <w:color w:val="auto"/>
                <w:sz w:val="24"/>
                <w:szCs w:val="24"/>
                <w:highlight w:val="none"/>
              </w:rPr>
              <w:t>761397.24</w:t>
            </w:r>
          </w:p>
        </w:tc>
      </w:tr>
      <w:tr w14:paraId="7F490171">
        <w:tblPrEx>
          <w:tblCellMar>
            <w:top w:w="0" w:type="dxa"/>
            <w:left w:w="108" w:type="dxa"/>
            <w:bottom w:w="0" w:type="dxa"/>
            <w:right w:w="108" w:type="dxa"/>
          </w:tblCellMar>
        </w:tblPrEx>
        <w:trPr>
          <w:trHeight w:val="578" w:hRule="atLeast"/>
          <w:jc w:val="center"/>
        </w:trPr>
        <w:tc>
          <w:tcPr>
            <w:tcW w:w="1671" w:type="dxa"/>
            <w:tcBorders>
              <w:top w:val="nil"/>
              <w:left w:val="single" w:color="000000" w:sz="8" w:space="0"/>
              <w:bottom w:val="single" w:color="000000" w:sz="8" w:space="0"/>
              <w:right w:val="single" w:color="000000" w:sz="8" w:space="0"/>
            </w:tcBorders>
            <w:shd w:val="clear" w:color="auto" w:fill="auto"/>
            <w:vAlign w:val="center"/>
          </w:tcPr>
          <w:p w14:paraId="16C57CDE">
            <w:pPr>
              <w:widowControl/>
              <w:jc w:val="center"/>
              <w:textAlignment w:val="center"/>
              <w:rPr>
                <w:rFonts w:hint="eastAsia" w:ascii="仿宋" w:hAnsi="仿宋" w:eastAsia="仿宋" w:cs="仿宋"/>
                <w:color w:val="auto"/>
                <w:kern w:val="0"/>
                <w:sz w:val="24"/>
                <w:szCs w:val="24"/>
                <w:highlight w:val="none"/>
                <w:lang w:bidi="ar"/>
              </w:rPr>
            </w:pPr>
            <w:r>
              <w:rPr>
                <w:rFonts w:ascii="仿宋" w:hAnsi="仿宋" w:eastAsia="仿宋" w:cs="仿宋"/>
                <w:color w:val="auto"/>
                <w:kern w:val="0"/>
                <w:sz w:val="24"/>
                <w:szCs w:val="24"/>
                <w:highlight w:val="none"/>
                <w:lang w:bidi="ar"/>
              </w:rPr>
              <w:t>2</w:t>
            </w:r>
          </w:p>
        </w:tc>
        <w:tc>
          <w:tcPr>
            <w:tcW w:w="3343" w:type="dxa"/>
            <w:tcBorders>
              <w:top w:val="nil"/>
              <w:left w:val="single" w:color="000000" w:sz="8" w:space="0"/>
              <w:bottom w:val="single" w:color="000000" w:sz="8" w:space="0"/>
              <w:right w:val="single" w:color="auto" w:sz="4" w:space="0"/>
            </w:tcBorders>
            <w:shd w:val="clear" w:color="auto" w:fill="auto"/>
            <w:vAlign w:val="center"/>
          </w:tcPr>
          <w:p w14:paraId="74DD87FC">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村村通道路面积</w:t>
            </w:r>
          </w:p>
        </w:tc>
        <w:tc>
          <w:tcPr>
            <w:tcW w:w="3666" w:type="dxa"/>
            <w:tcBorders>
              <w:top w:val="single" w:color="auto" w:sz="4" w:space="0"/>
              <w:left w:val="single" w:color="auto" w:sz="4" w:space="0"/>
              <w:bottom w:val="single" w:color="auto" w:sz="4" w:space="0"/>
              <w:right w:val="single" w:color="auto" w:sz="4" w:space="0"/>
            </w:tcBorders>
            <w:vAlign w:val="center"/>
          </w:tcPr>
          <w:p w14:paraId="5EB9BF9A">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olor w:val="auto"/>
                <w:sz w:val="24"/>
                <w:szCs w:val="24"/>
                <w:highlight w:val="none"/>
              </w:rPr>
              <w:t>2863449.26</w:t>
            </w:r>
          </w:p>
        </w:tc>
      </w:tr>
      <w:tr w14:paraId="5110B4E2">
        <w:tblPrEx>
          <w:tblCellMar>
            <w:top w:w="0" w:type="dxa"/>
            <w:left w:w="108" w:type="dxa"/>
            <w:bottom w:w="0" w:type="dxa"/>
            <w:right w:w="108" w:type="dxa"/>
          </w:tblCellMar>
        </w:tblPrEx>
        <w:trPr>
          <w:trHeight w:val="578" w:hRule="atLeast"/>
          <w:jc w:val="center"/>
        </w:trPr>
        <w:tc>
          <w:tcPr>
            <w:tcW w:w="1671" w:type="dxa"/>
            <w:tcBorders>
              <w:top w:val="nil"/>
              <w:left w:val="single" w:color="000000" w:sz="8" w:space="0"/>
              <w:bottom w:val="single" w:color="000000" w:sz="8" w:space="0"/>
              <w:right w:val="single" w:color="000000" w:sz="8" w:space="0"/>
            </w:tcBorders>
            <w:shd w:val="clear" w:color="auto" w:fill="auto"/>
            <w:vAlign w:val="center"/>
          </w:tcPr>
          <w:p w14:paraId="78A77501">
            <w:pPr>
              <w:widowControl/>
              <w:jc w:val="center"/>
              <w:textAlignment w:val="center"/>
              <w:rPr>
                <w:rFonts w:hint="eastAsia" w:ascii="仿宋" w:hAnsi="仿宋" w:eastAsia="仿宋" w:cs="仿宋"/>
                <w:color w:val="auto"/>
                <w:sz w:val="24"/>
                <w:szCs w:val="24"/>
                <w:highlight w:val="none"/>
              </w:rPr>
            </w:pPr>
            <w:r>
              <w:rPr>
                <w:rFonts w:ascii="仿宋" w:hAnsi="仿宋" w:eastAsia="仿宋" w:cs="仿宋"/>
                <w:color w:val="auto"/>
                <w:kern w:val="0"/>
                <w:sz w:val="24"/>
                <w:szCs w:val="24"/>
                <w:highlight w:val="none"/>
                <w:lang w:bidi="ar"/>
              </w:rPr>
              <w:t>3</w:t>
            </w:r>
          </w:p>
        </w:tc>
        <w:tc>
          <w:tcPr>
            <w:tcW w:w="3343" w:type="dxa"/>
            <w:tcBorders>
              <w:top w:val="nil"/>
              <w:left w:val="single" w:color="000000" w:sz="8" w:space="0"/>
              <w:bottom w:val="single" w:color="000000" w:sz="8" w:space="0"/>
              <w:right w:val="single" w:color="000000" w:sz="8" w:space="0"/>
            </w:tcBorders>
            <w:shd w:val="clear" w:color="auto" w:fill="auto"/>
            <w:vAlign w:val="center"/>
          </w:tcPr>
          <w:p w14:paraId="3B698DB4">
            <w:pPr>
              <w:widowControl/>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绿化面积</w:t>
            </w:r>
          </w:p>
        </w:tc>
        <w:tc>
          <w:tcPr>
            <w:tcW w:w="3666" w:type="dxa"/>
            <w:tcBorders>
              <w:top w:val="nil"/>
              <w:left w:val="single" w:color="000000" w:sz="8" w:space="0"/>
              <w:bottom w:val="single" w:color="000000" w:sz="8" w:space="0"/>
              <w:right w:val="single" w:color="000000" w:sz="8" w:space="0"/>
            </w:tcBorders>
            <w:vAlign w:val="center"/>
          </w:tcPr>
          <w:p w14:paraId="272AF303">
            <w:pPr>
              <w:widowControl/>
              <w:jc w:val="center"/>
              <w:textAlignment w:val="center"/>
              <w:rPr>
                <w:rFonts w:hint="eastAsia" w:ascii="仿宋" w:hAnsi="仿宋" w:eastAsia="仿宋" w:cs="仿宋"/>
                <w:color w:val="auto"/>
                <w:sz w:val="24"/>
                <w:szCs w:val="24"/>
                <w:highlight w:val="none"/>
              </w:rPr>
            </w:pPr>
            <w:r>
              <w:rPr>
                <w:rFonts w:ascii="仿宋" w:hAnsi="仿宋" w:eastAsia="仿宋" w:cs="仿宋"/>
                <w:color w:val="auto"/>
                <w:kern w:val="0"/>
                <w:sz w:val="24"/>
                <w:szCs w:val="24"/>
                <w:highlight w:val="none"/>
                <w:lang w:bidi="ar"/>
              </w:rPr>
              <w:t>1115.80</w:t>
            </w:r>
          </w:p>
        </w:tc>
      </w:tr>
      <w:tr w14:paraId="5F47875F">
        <w:tblPrEx>
          <w:tblCellMar>
            <w:top w:w="0" w:type="dxa"/>
            <w:left w:w="108" w:type="dxa"/>
            <w:bottom w:w="0" w:type="dxa"/>
            <w:right w:w="108" w:type="dxa"/>
          </w:tblCellMar>
        </w:tblPrEx>
        <w:trPr>
          <w:trHeight w:val="578" w:hRule="atLeast"/>
          <w:jc w:val="center"/>
        </w:trPr>
        <w:tc>
          <w:tcPr>
            <w:tcW w:w="1671" w:type="dxa"/>
            <w:tcBorders>
              <w:top w:val="nil"/>
              <w:left w:val="single" w:color="000000" w:sz="8" w:space="0"/>
              <w:bottom w:val="single" w:color="auto" w:sz="4" w:space="0"/>
              <w:right w:val="single" w:color="000000" w:sz="8" w:space="0"/>
            </w:tcBorders>
            <w:shd w:val="clear" w:color="auto" w:fill="auto"/>
            <w:vAlign w:val="center"/>
          </w:tcPr>
          <w:p w14:paraId="0BEF8ABB">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4</w:t>
            </w:r>
          </w:p>
        </w:tc>
        <w:tc>
          <w:tcPr>
            <w:tcW w:w="3343" w:type="dxa"/>
            <w:tcBorders>
              <w:top w:val="nil"/>
              <w:left w:val="single" w:color="000000" w:sz="8" w:space="0"/>
              <w:bottom w:val="single" w:color="auto" w:sz="4" w:space="0"/>
              <w:right w:val="single" w:color="000000" w:sz="8" w:space="0"/>
            </w:tcBorders>
            <w:shd w:val="clear" w:color="auto" w:fill="auto"/>
            <w:vAlign w:val="center"/>
          </w:tcPr>
          <w:p w14:paraId="2ED5802E">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“墙到墙”面积</w:t>
            </w:r>
          </w:p>
        </w:tc>
        <w:tc>
          <w:tcPr>
            <w:tcW w:w="3666" w:type="dxa"/>
            <w:tcBorders>
              <w:top w:val="nil"/>
              <w:left w:val="single" w:color="000000" w:sz="8" w:space="0"/>
              <w:bottom w:val="single" w:color="auto" w:sz="4" w:space="0"/>
              <w:right w:val="single" w:color="000000" w:sz="8" w:space="0"/>
            </w:tcBorders>
            <w:vAlign w:val="center"/>
          </w:tcPr>
          <w:p w14:paraId="6A2FBC47">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olor w:val="auto"/>
                <w:sz w:val="24"/>
                <w:szCs w:val="24"/>
                <w:highlight w:val="none"/>
              </w:rPr>
              <w:t>899743.91</w:t>
            </w:r>
          </w:p>
        </w:tc>
      </w:tr>
      <w:tr w14:paraId="77C030A8">
        <w:tblPrEx>
          <w:tblCellMar>
            <w:top w:w="0" w:type="dxa"/>
            <w:left w:w="108" w:type="dxa"/>
            <w:bottom w:w="0" w:type="dxa"/>
            <w:right w:w="108" w:type="dxa"/>
          </w:tblCellMar>
        </w:tblPrEx>
        <w:trPr>
          <w:trHeight w:val="578" w:hRule="atLeast"/>
          <w:jc w:val="center"/>
        </w:trPr>
        <w:tc>
          <w:tcPr>
            <w:tcW w:w="1671" w:type="dxa"/>
            <w:tcBorders>
              <w:top w:val="nil"/>
              <w:left w:val="single" w:color="000000" w:sz="8" w:space="0"/>
              <w:bottom w:val="single" w:color="auto" w:sz="4" w:space="0"/>
              <w:right w:val="single" w:color="000000" w:sz="8" w:space="0"/>
            </w:tcBorders>
            <w:shd w:val="clear" w:color="auto" w:fill="auto"/>
            <w:vAlign w:val="center"/>
          </w:tcPr>
          <w:p w14:paraId="26ADB136">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5</w:t>
            </w:r>
          </w:p>
        </w:tc>
        <w:tc>
          <w:tcPr>
            <w:tcW w:w="3343" w:type="dxa"/>
            <w:tcBorders>
              <w:top w:val="nil"/>
              <w:left w:val="single" w:color="000000" w:sz="8" w:space="0"/>
              <w:bottom w:val="single" w:color="auto" w:sz="4" w:space="0"/>
              <w:right w:val="single" w:color="000000" w:sz="8" w:space="0"/>
            </w:tcBorders>
            <w:shd w:val="clear" w:color="auto" w:fill="auto"/>
            <w:vAlign w:val="center"/>
          </w:tcPr>
          <w:p w14:paraId="7D85C2C0">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罗牛山场部和三江社区居委会的龙窝村</w:t>
            </w:r>
          </w:p>
        </w:tc>
        <w:tc>
          <w:tcPr>
            <w:tcW w:w="3666" w:type="dxa"/>
            <w:tcBorders>
              <w:top w:val="nil"/>
              <w:left w:val="single" w:color="000000" w:sz="8" w:space="0"/>
              <w:bottom w:val="single" w:color="auto" w:sz="4" w:space="0"/>
              <w:right w:val="single" w:color="000000" w:sz="8" w:space="0"/>
            </w:tcBorders>
            <w:vAlign w:val="center"/>
          </w:tcPr>
          <w:p w14:paraId="6D1E133E">
            <w:pPr>
              <w:widowControl/>
              <w:jc w:val="center"/>
              <w:textAlignment w:val="center"/>
              <w:rPr>
                <w:rFonts w:hint="eastAsia" w:ascii="仿宋" w:hAnsi="仿宋" w:eastAsia="仿宋"/>
                <w:color w:val="auto"/>
                <w:sz w:val="24"/>
                <w:szCs w:val="24"/>
                <w:highlight w:val="none"/>
              </w:rPr>
            </w:pPr>
            <w:r>
              <w:rPr>
                <w:rFonts w:hint="eastAsia" w:ascii="仿宋" w:hAnsi="仿宋" w:eastAsia="仿宋"/>
                <w:color w:val="auto"/>
                <w:sz w:val="24"/>
                <w:szCs w:val="24"/>
                <w:highlight w:val="none"/>
              </w:rPr>
              <w:t>31512.78</w:t>
            </w:r>
          </w:p>
        </w:tc>
      </w:tr>
      <w:tr w14:paraId="4CE0ECCA">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4C67250C">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6</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63696E3C">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小计1</w:t>
            </w:r>
          </w:p>
        </w:tc>
        <w:tc>
          <w:tcPr>
            <w:tcW w:w="3666" w:type="dxa"/>
            <w:tcBorders>
              <w:top w:val="single" w:color="auto" w:sz="4" w:space="0"/>
              <w:left w:val="single" w:color="auto" w:sz="4" w:space="0"/>
              <w:bottom w:val="single" w:color="auto" w:sz="4" w:space="0"/>
              <w:right w:val="single" w:color="auto" w:sz="4" w:space="0"/>
            </w:tcBorders>
            <w:noWrap/>
            <w:vAlign w:val="center"/>
          </w:tcPr>
          <w:p w14:paraId="50D4ED9B">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4557218.99</w:t>
            </w:r>
          </w:p>
        </w:tc>
      </w:tr>
      <w:tr w14:paraId="5FEFD1E1">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1B5ACA77">
            <w:pPr>
              <w:widowControl/>
              <w:jc w:val="center"/>
              <w:textAlignment w:val="center"/>
              <w:rPr>
                <w:rFonts w:hint="eastAsia" w:ascii="仿宋" w:hAnsi="仿宋" w:eastAsia="仿宋" w:cs="仿宋"/>
                <w:b w:val="0"/>
                <w:bCs w:val="0"/>
                <w:color w:val="auto"/>
                <w:kern w:val="0"/>
                <w:sz w:val="24"/>
                <w:szCs w:val="24"/>
                <w:highlight w:val="none"/>
                <w:lang w:bidi="ar"/>
              </w:rPr>
            </w:pPr>
            <w:r>
              <w:rPr>
                <w:rFonts w:hint="eastAsia" w:ascii="仿宋" w:hAnsi="仿宋" w:eastAsia="仿宋" w:cs="仿宋"/>
                <w:b w:val="0"/>
                <w:bCs w:val="0"/>
                <w:color w:val="auto"/>
                <w:kern w:val="0"/>
                <w:sz w:val="24"/>
                <w:szCs w:val="24"/>
                <w:highlight w:val="none"/>
                <w:lang w:bidi="ar"/>
              </w:rPr>
              <w:t>7</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5CA34D46">
            <w:pPr>
              <w:widowControl/>
              <w:jc w:val="center"/>
              <w:textAlignment w:val="center"/>
              <w:rPr>
                <w:rFonts w:hint="eastAsia" w:ascii="仿宋" w:hAnsi="仿宋" w:eastAsia="仿宋" w:cs="仿宋"/>
                <w:b/>
                <w:bCs/>
                <w:color w:val="auto"/>
                <w:kern w:val="0"/>
                <w:sz w:val="24"/>
                <w:szCs w:val="24"/>
                <w:highlight w:val="none"/>
                <w:lang w:bidi="ar"/>
              </w:rPr>
            </w:pPr>
            <w:r>
              <w:rPr>
                <w:rFonts w:hint="eastAsia" w:ascii="仿宋" w:hAnsi="仿宋" w:eastAsia="仿宋" w:cs="仿宋"/>
                <w:color w:val="auto"/>
                <w:kern w:val="0"/>
                <w:sz w:val="24"/>
                <w:szCs w:val="24"/>
                <w:highlight w:val="none"/>
                <w:lang w:bidi="ar"/>
              </w:rPr>
              <w:t>新增镇墟道路面积</w:t>
            </w:r>
          </w:p>
        </w:tc>
        <w:tc>
          <w:tcPr>
            <w:tcW w:w="3666" w:type="dxa"/>
            <w:tcBorders>
              <w:top w:val="single" w:color="auto" w:sz="4" w:space="0"/>
              <w:left w:val="single" w:color="auto" w:sz="4" w:space="0"/>
              <w:bottom w:val="single" w:color="auto" w:sz="4" w:space="0"/>
              <w:right w:val="single" w:color="auto" w:sz="4" w:space="0"/>
            </w:tcBorders>
            <w:noWrap/>
            <w:vAlign w:val="center"/>
          </w:tcPr>
          <w:p w14:paraId="23583B91">
            <w:pPr>
              <w:widowControl/>
              <w:jc w:val="center"/>
              <w:textAlignment w:val="center"/>
              <w:rPr>
                <w:rFonts w:hint="eastAsia" w:ascii="仿宋" w:hAnsi="仿宋" w:eastAsia="仿宋"/>
                <w:b/>
                <w:bCs/>
                <w:color w:val="auto"/>
                <w:sz w:val="24"/>
                <w:szCs w:val="24"/>
                <w:highlight w:val="none"/>
                <w:lang w:eastAsia="zh-CN"/>
              </w:rPr>
            </w:pPr>
            <w:r>
              <w:rPr>
                <w:rFonts w:hint="eastAsia" w:ascii="仿宋" w:hAnsi="仿宋" w:eastAsia="仿宋"/>
                <w:color w:val="auto"/>
                <w:sz w:val="24"/>
                <w:szCs w:val="24"/>
                <w:highlight w:val="none"/>
                <w:lang w:eastAsia="zh-CN"/>
              </w:rPr>
              <w:t>190600.40</w:t>
            </w:r>
          </w:p>
        </w:tc>
      </w:tr>
      <w:tr w14:paraId="0985A10D">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11FB0195">
            <w:pPr>
              <w:widowControl/>
              <w:jc w:val="center"/>
              <w:textAlignment w:val="center"/>
              <w:rPr>
                <w:rFonts w:hint="eastAsia" w:ascii="仿宋" w:hAnsi="仿宋" w:eastAsia="仿宋" w:cs="仿宋"/>
                <w:b w:val="0"/>
                <w:bCs w:val="0"/>
                <w:color w:val="auto"/>
                <w:kern w:val="0"/>
                <w:sz w:val="24"/>
                <w:szCs w:val="24"/>
                <w:highlight w:val="none"/>
                <w:lang w:bidi="ar"/>
              </w:rPr>
            </w:pPr>
            <w:r>
              <w:rPr>
                <w:rFonts w:hint="eastAsia" w:ascii="仿宋" w:hAnsi="仿宋" w:eastAsia="仿宋" w:cs="仿宋"/>
                <w:b w:val="0"/>
                <w:bCs w:val="0"/>
                <w:color w:val="auto"/>
                <w:kern w:val="0"/>
                <w:sz w:val="24"/>
                <w:szCs w:val="24"/>
                <w:highlight w:val="none"/>
                <w:lang w:bidi="ar"/>
              </w:rPr>
              <w:t>8</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698556D4">
            <w:pPr>
              <w:widowControl/>
              <w:jc w:val="center"/>
              <w:textAlignment w:val="center"/>
              <w:rPr>
                <w:rFonts w:hint="eastAsia" w:ascii="仿宋" w:hAnsi="仿宋" w:eastAsia="仿宋" w:cs="仿宋"/>
                <w:b/>
                <w:bCs/>
                <w:color w:val="auto"/>
                <w:kern w:val="0"/>
                <w:sz w:val="24"/>
                <w:szCs w:val="24"/>
                <w:highlight w:val="none"/>
                <w:lang w:bidi="ar"/>
              </w:rPr>
            </w:pPr>
            <w:r>
              <w:rPr>
                <w:rFonts w:hint="eastAsia" w:ascii="仿宋" w:hAnsi="仿宋" w:eastAsia="仿宋" w:cs="仿宋"/>
                <w:color w:val="auto"/>
                <w:kern w:val="0"/>
                <w:sz w:val="24"/>
                <w:szCs w:val="24"/>
                <w:highlight w:val="none"/>
                <w:lang w:bidi="ar"/>
              </w:rPr>
              <w:t>新增（加宽）村村通道路</w:t>
            </w:r>
          </w:p>
        </w:tc>
        <w:tc>
          <w:tcPr>
            <w:tcW w:w="3666" w:type="dxa"/>
            <w:tcBorders>
              <w:top w:val="single" w:color="auto" w:sz="4" w:space="0"/>
              <w:left w:val="single" w:color="auto" w:sz="4" w:space="0"/>
              <w:bottom w:val="single" w:color="auto" w:sz="4" w:space="0"/>
              <w:right w:val="single" w:color="auto" w:sz="4" w:space="0"/>
            </w:tcBorders>
            <w:noWrap/>
            <w:vAlign w:val="center"/>
          </w:tcPr>
          <w:p w14:paraId="302C45C8">
            <w:pPr>
              <w:widowControl/>
              <w:jc w:val="center"/>
              <w:textAlignment w:val="center"/>
              <w:rPr>
                <w:rFonts w:hint="eastAsia" w:ascii="仿宋" w:hAnsi="仿宋" w:eastAsia="仿宋"/>
                <w:b/>
                <w:bCs/>
                <w:color w:val="auto"/>
                <w:sz w:val="24"/>
                <w:szCs w:val="24"/>
                <w:highlight w:val="none"/>
              </w:rPr>
            </w:pPr>
            <w:r>
              <w:rPr>
                <w:rFonts w:hint="eastAsia" w:ascii="仿宋" w:hAnsi="仿宋" w:eastAsia="仿宋"/>
                <w:color w:val="auto"/>
                <w:sz w:val="24"/>
                <w:szCs w:val="24"/>
                <w:highlight w:val="none"/>
              </w:rPr>
              <w:t>112056.38</w:t>
            </w:r>
          </w:p>
        </w:tc>
      </w:tr>
      <w:tr w14:paraId="1B9864BA">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2214B90C">
            <w:pPr>
              <w:widowControl/>
              <w:jc w:val="center"/>
              <w:textAlignment w:val="center"/>
              <w:rPr>
                <w:rFonts w:hint="eastAsia" w:ascii="仿宋" w:hAnsi="仿宋" w:eastAsia="仿宋" w:cs="仿宋"/>
                <w:b w:val="0"/>
                <w:bCs w:val="0"/>
                <w:color w:val="auto"/>
                <w:kern w:val="0"/>
                <w:sz w:val="24"/>
                <w:szCs w:val="24"/>
                <w:highlight w:val="none"/>
                <w:lang w:bidi="ar"/>
              </w:rPr>
            </w:pPr>
            <w:r>
              <w:rPr>
                <w:rFonts w:hint="eastAsia" w:ascii="仿宋" w:hAnsi="仿宋" w:eastAsia="仿宋" w:cs="仿宋"/>
                <w:b w:val="0"/>
                <w:bCs w:val="0"/>
                <w:color w:val="auto"/>
                <w:kern w:val="0"/>
                <w:sz w:val="24"/>
                <w:szCs w:val="24"/>
                <w:highlight w:val="none"/>
                <w:lang w:bidi="ar"/>
              </w:rPr>
              <w:t>9</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19864A42">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新增保税区空港片区道路面积</w:t>
            </w:r>
          </w:p>
        </w:tc>
        <w:tc>
          <w:tcPr>
            <w:tcW w:w="3666" w:type="dxa"/>
            <w:tcBorders>
              <w:top w:val="single" w:color="auto" w:sz="4" w:space="0"/>
              <w:left w:val="single" w:color="auto" w:sz="4" w:space="0"/>
              <w:bottom w:val="single" w:color="auto" w:sz="4" w:space="0"/>
              <w:right w:val="single" w:color="auto" w:sz="4" w:space="0"/>
            </w:tcBorders>
            <w:noWrap/>
            <w:vAlign w:val="center"/>
          </w:tcPr>
          <w:p w14:paraId="77133030">
            <w:pPr>
              <w:widowControl/>
              <w:jc w:val="center"/>
              <w:textAlignment w:val="center"/>
              <w:rPr>
                <w:rFonts w:hint="eastAsia" w:ascii="仿宋" w:hAnsi="仿宋" w:eastAsia="仿宋"/>
                <w:color w:val="auto"/>
                <w:sz w:val="24"/>
                <w:szCs w:val="24"/>
                <w:highlight w:val="none"/>
              </w:rPr>
            </w:pPr>
            <w:r>
              <w:rPr>
                <w:rFonts w:hint="eastAsia" w:ascii="仿宋" w:hAnsi="仿宋" w:eastAsia="仿宋"/>
                <w:color w:val="auto"/>
                <w:sz w:val="24"/>
                <w:szCs w:val="24"/>
                <w:highlight w:val="none"/>
              </w:rPr>
              <w:t>30992.60</w:t>
            </w:r>
          </w:p>
        </w:tc>
      </w:tr>
      <w:tr w14:paraId="31A1B881">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4CB64672">
            <w:pPr>
              <w:widowControl/>
              <w:jc w:val="center"/>
              <w:textAlignment w:val="center"/>
              <w:rPr>
                <w:rFonts w:hint="eastAsia" w:ascii="仿宋" w:hAnsi="仿宋" w:eastAsia="仿宋" w:cs="仿宋"/>
                <w:b w:val="0"/>
                <w:bCs w:val="0"/>
                <w:color w:val="auto"/>
                <w:kern w:val="0"/>
                <w:sz w:val="24"/>
                <w:szCs w:val="24"/>
                <w:highlight w:val="none"/>
                <w:lang w:bidi="ar"/>
              </w:rPr>
            </w:pPr>
            <w:r>
              <w:rPr>
                <w:rFonts w:hint="eastAsia" w:ascii="仿宋" w:hAnsi="仿宋" w:eastAsia="仿宋" w:cs="仿宋"/>
                <w:b w:val="0"/>
                <w:bCs w:val="0"/>
                <w:color w:val="auto"/>
                <w:kern w:val="0"/>
                <w:sz w:val="24"/>
                <w:szCs w:val="24"/>
                <w:highlight w:val="none"/>
                <w:lang w:bidi="ar"/>
              </w:rPr>
              <w:t>10</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193416A4">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新增保税区空港片区其他面积</w:t>
            </w:r>
          </w:p>
        </w:tc>
        <w:tc>
          <w:tcPr>
            <w:tcW w:w="3666" w:type="dxa"/>
            <w:tcBorders>
              <w:top w:val="single" w:color="auto" w:sz="4" w:space="0"/>
              <w:left w:val="single" w:color="auto" w:sz="4" w:space="0"/>
              <w:bottom w:val="single" w:color="auto" w:sz="4" w:space="0"/>
              <w:right w:val="single" w:color="auto" w:sz="4" w:space="0"/>
            </w:tcBorders>
            <w:noWrap/>
            <w:vAlign w:val="center"/>
          </w:tcPr>
          <w:p w14:paraId="34D0FD4D">
            <w:pPr>
              <w:widowControl/>
              <w:jc w:val="center"/>
              <w:textAlignment w:val="center"/>
              <w:rPr>
                <w:rFonts w:hint="eastAsia" w:ascii="仿宋" w:hAnsi="仿宋" w:eastAsia="仿宋"/>
                <w:color w:val="auto"/>
                <w:sz w:val="24"/>
                <w:szCs w:val="24"/>
                <w:highlight w:val="none"/>
              </w:rPr>
            </w:pPr>
            <w:r>
              <w:rPr>
                <w:rFonts w:hint="eastAsia" w:ascii="仿宋" w:hAnsi="仿宋" w:eastAsia="仿宋"/>
                <w:color w:val="auto"/>
                <w:sz w:val="24"/>
                <w:szCs w:val="24"/>
                <w:highlight w:val="none"/>
              </w:rPr>
              <w:t>51091.50</w:t>
            </w:r>
          </w:p>
        </w:tc>
      </w:tr>
      <w:tr w14:paraId="46C4A7ED">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39E89146">
            <w:pPr>
              <w:widowControl/>
              <w:jc w:val="center"/>
              <w:textAlignment w:val="center"/>
              <w:rPr>
                <w:rFonts w:hint="eastAsia" w:ascii="仿宋" w:hAnsi="仿宋" w:eastAsia="仿宋" w:cs="仿宋"/>
                <w:b w:val="0"/>
                <w:bCs w:val="0"/>
                <w:color w:val="auto"/>
                <w:kern w:val="0"/>
                <w:sz w:val="24"/>
                <w:szCs w:val="24"/>
                <w:highlight w:val="none"/>
                <w:lang w:bidi="ar"/>
              </w:rPr>
            </w:pPr>
            <w:r>
              <w:rPr>
                <w:rFonts w:hint="eastAsia" w:ascii="仿宋" w:hAnsi="仿宋" w:eastAsia="仿宋" w:cs="仿宋"/>
                <w:b w:val="0"/>
                <w:bCs w:val="0"/>
                <w:color w:val="auto"/>
                <w:kern w:val="0"/>
                <w:sz w:val="24"/>
                <w:szCs w:val="24"/>
                <w:highlight w:val="none"/>
                <w:lang w:bidi="ar"/>
              </w:rPr>
              <w:t>11</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1E8543A6">
            <w:pPr>
              <w:widowControl/>
              <w:jc w:val="center"/>
              <w:textAlignment w:val="center"/>
              <w:rPr>
                <w:rFonts w:hint="eastAsia" w:ascii="仿宋" w:hAnsi="仿宋" w:eastAsia="仿宋" w:cs="仿宋"/>
                <w:b/>
                <w:bCs/>
                <w:color w:val="auto"/>
                <w:kern w:val="0"/>
                <w:sz w:val="24"/>
                <w:szCs w:val="24"/>
                <w:highlight w:val="none"/>
                <w:lang w:bidi="ar"/>
              </w:rPr>
            </w:pPr>
            <w:r>
              <w:rPr>
                <w:rFonts w:hint="eastAsia" w:ascii="仿宋" w:hAnsi="仿宋" w:eastAsia="仿宋" w:cs="仿宋"/>
                <w:color w:val="auto"/>
                <w:kern w:val="0"/>
                <w:sz w:val="24"/>
                <w:szCs w:val="24"/>
                <w:highlight w:val="none"/>
                <w:lang w:bidi="ar"/>
              </w:rPr>
              <w:t>小计2</w:t>
            </w:r>
          </w:p>
        </w:tc>
        <w:tc>
          <w:tcPr>
            <w:tcW w:w="3666" w:type="dxa"/>
            <w:tcBorders>
              <w:top w:val="single" w:color="auto" w:sz="4" w:space="0"/>
              <w:left w:val="single" w:color="auto" w:sz="4" w:space="0"/>
              <w:bottom w:val="single" w:color="auto" w:sz="4" w:space="0"/>
              <w:right w:val="single" w:color="auto" w:sz="4" w:space="0"/>
            </w:tcBorders>
            <w:noWrap/>
            <w:vAlign w:val="center"/>
          </w:tcPr>
          <w:p w14:paraId="0D6FF30D">
            <w:pPr>
              <w:widowControl/>
              <w:jc w:val="center"/>
              <w:textAlignment w:val="center"/>
              <w:rPr>
                <w:rFonts w:hint="eastAsia" w:ascii="仿宋" w:hAnsi="仿宋" w:eastAsia="仿宋"/>
                <w:b/>
                <w:bCs/>
                <w:color w:val="auto"/>
                <w:sz w:val="24"/>
                <w:szCs w:val="24"/>
                <w:highlight w:val="none"/>
                <w:lang w:eastAsia="zh-CN"/>
              </w:rPr>
            </w:pPr>
            <w:r>
              <w:rPr>
                <w:rFonts w:hint="eastAsia" w:ascii="仿宋" w:hAnsi="仿宋" w:eastAsia="仿宋" w:cs="仿宋"/>
                <w:color w:val="auto"/>
                <w:kern w:val="0"/>
                <w:sz w:val="24"/>
                <w:szCs w:val="24"/>
                <w:highlight w:val="none"/>
                <w:lang w:eastAsia="zh-CN" w:bidi="ar"/>
              </w:rPr>
              <w:t>384740.88</w:t>
            </w:r>
          </w:p>
        </w:tc>
      </w:tr>
      <w:tr w14:paraId="5F4680D0">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14D0D6C2">
            <w:pPr>
              <w:widowControl/>
              <w:jc w:val="center"/>
              <w:textAlignment w:val="center"/>
              <w:rPr>
                <w:rFonts w:hint="eastAsia" w:ascii="仿宋" w:hAnsi="仿宋" w:eastAsia="仿宋" w:cs="仿宋"/>
                <w:b w:val="0"/>
                <w:bCs w:val="0"/>
                <w:color w:val="auto"/>
                <w:kern w:val="0"/>
                <w:sz w:val="24"/>
                <w:szCs w:val="24"/>
                <w:highlight w:val="none"/>
                <w:lang w:bidi="ar"/>
              </w:rPr>
            </w:pPr>
            <w:r>
              <w:rPr>
                <w:rFonts w:hint="eastAsia" w:ascii="仿宋" w:hAnsi="仿宋" w:eastAsia="仿宋" w:cs="仿宋"/>
                <w:b w:val="0"/>
                <w:bCs w:val="0"/>
                <w:color w:val="auto"/>
                <w:kern w:val="0"/>
                <w:sz w:val="24"/>
                <w:szCs w:val="24"/>
                <w:highlight w:val="none"/>
                <w:lang w:bidi="ar"/>
              </w:rPr>
              <w:t>12</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5A9B2DF8">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核减村村通道路</w:t>
            </w:r>
          </w:p>
        </w:tc>
        <w:tc>
          <w:tcPr>
            <w:tcW w:w="3666" w:type="dxa"/>
            <w:tcBorders>
              <w:top w:val="single" w:color="auto" w:sz="4" w:space="0"/>
              <w:left w:val="single" w:color="auto" w:sz="4" w:space="0"/>
              <w:bottom w:val="single" w:color="auto" w:sz="4" w:space="0"/>
              <w:right w:val="single" w:color="auto" w:sz="4" w:space="0"/>
            </w:tcBorders>
            <w:noWrap/>
            <w:vAlign w:val="center"/>
          </w:tcPr>
          <w:p w14:paraId="4D6B829D">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1958</w:t>
            </w:r>
          </w:p>
        </w:tc>
      </w:tr>
      <w:tr w14:paraId="491AA688">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0A98BB9D">
            <w:pPr>
              <w:widowControl/>
              <w:jc w:val="center"/>
              <w:textAlignment w:val="center"/>
              <w:rPr>
                <w:rFonts w:hint="eastAsia" w:ascii="仿宋" w:hAnsi="仿宋" w:eastAsia="仿宋" w:cs="仿宋"/>
                <w:b w:val="0"/>
                <w:bCs w:val="0"/>
                <w:color w:val="auto"/>
                <w:kern w:val="0"/>
                <w:sz w:val="24"/>
                <w:szCs w:val="24"/>
                <w:highlight w:val="none"/>
                <w:lang w:bidi="ar"/>
              </w:rPr>
            </w:pPr>
            <w:r>
              <w:rPr>
                <w:rFonts w:hint="eastAsia" w:ascii="仿宋" w:hAnsi="仿宋" w:eastAsia="仿宋" w:cs="仿宋"/>
                <w:b w:val="0"/>
                <w:bCs w:val="0"/>
                <w:color w:val="auto"/>
                <w:kern w:val="0"/>
                <w:sz w:val="24"/>
                <w:szCs w:val="24"/>
                <w:highlight w:val="none"/>
                <w:lang w:bidi="ar"/>
              </w:rPr>
              <w:t>13</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75967FC1">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小计3</w:t>
            </w:r>
          </w:p>
        </w:tc>
        <w:tc>
          <w:tcPr>
            <w:tcW w:w="3666" w:type="dxa"/>
            <w:tcBorders>
              <w:top w:val="single" w:color="auto" w:sz="4" w:space="0"/>
              <w:left w:val="single" w:color="auto" w:sz="4" w:space="0"/>
              <w:bottom w:val="single" w:color="auto" w:sz="4" w:space="0"/>
              <w:right w:val="single" w:color="auto" w:sz="4" w:space="0"/>
            </w:tcBorders>
            <w:noWrap/>
            <w:vAlign w:val="center"/>
          </w:tcPr>
          <w:p w14:paraId="3F4CAD44">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1958</w:t>
            </w:r>
          </w:p>
        </w:tc>
      </w:tr>
      <w:tr w14:paraId="10C6697A">
        <w:tblPrEx>
          <w:tblCellMar>
            <w:top w:w="0" w:type="dxa"/>
            <w:left w:w="108" w:type="dxa"/>
            <w:bottom w:w="0" w:type="dxa"/>
            <w:right w:w="108" w:type="dxa"/>
          </w:tblCellMar>
        </w:tblPrEx>
        <w:trPr>
          <w:trHeight w:val="578" w:hRule="atLeast"/>
          <w:jc w:val="center"/>
        </w:trPr>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14:paraId="7FFC847F">
            <w:pPr>
              <w:widowControl/>
              <w:jc w:val="center"/>
              <w:textAlignment w:val="center"/>
              <w:rPr>
                <w:rFonts w:hint="eastAsia"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14</w:t>
            </w:r>
          </w:p>
        </w:tc>
        <w:tc>
          <w:tcPr>
            <w:tcW w:w="3343" w:type="dxa"/>
            <w:tcBorders>
              <w:top w:val="single" w:color="auto" w:sz="4" w:space="0"/>
              <w:left w:val="single" w:color="auto" w:sz="4" w:space="0"/>
              <w:bottom w:val="single" w:color="auto" w:sz="4" w:space="0"/>
              <w:right w:val="single" w:color="auto" w:sz="4" w:space="0"/>
            </w:tcBorders>
            <w:shd w:val="clear" w:color="auto" w:fill="auto"/>
            <w:vAlign w:val="center"/>
          </w:tcPr>
          <w:p w14:paraId="259E6119">
            <w:pPr>
              <w:widowControl/>
              <w:jc w:val="center"/>
              <w:textAlignment w:val="center"/>
              <w:rPr>
                <w:rFonts w:hint="eastAsia"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合</w:t>
            </w:r>
            <w:r>
              <w:rPr>
                <w:rFonts w:ascii="仿宋" w:hAnsi="仿宋" w:eastAsia="仿宋" w:cs="仿宋"/>
                <w:b/>
                <w:bCs/>
                <w:color w:val="auto"/>
                <w:kern w:val="0"/>
                <w:sz w:val="24"/>
                <w:szCs w:val="24"/>
                <w:highlight w:val="none"/>
                <w:lang w:bidi="ar"/>
              </w:rPr>
              <w:t xml:space="preserve"> </w:t>
            </w:r>
            <w:r>
              <w:rPr>
                <w:rFonts w:hint="eastAsia" w:ascii="仿宋" w:hAnsi="仿宋" w:eastAsia="仿宋" w:cs="仿宋"/>
                <w:b/>
                <w:bCs/>
                <w:color w:val="auto"/>
                <w:kern w:val="0"/>
                <w:sz w:val="24"/>
                <w:szCs w:val="24"/>
                <w:highlight w:val="none"/>
                <w:lang w:bidi="ar"/>
              </w:rPr>
              <w:t>计</w:t>
            </w:r>
          </w:p>
        </w:tc>
        <w:tc>
          <w:tcPr>
            <w:tcW w:w="3666" w:type="dxa"/>
            <w:tcBorders>
              <w:top w:val="single" w:color="auto" w:sz="4" w:space="0"/>
              <w:left w:val="single" w:color="auto" w:sz="4" w:space="0"/>
              <w:bottom w:val="single" w:color="auto" w:sz="4" w:space="0"/>
              <w:right w:val="single" w:color="auto" w:sz="4" w:space="0"/>
            </w:tcBorders>
            <w:noWrap/>
            <w:vAlign w:val="center"/>
          </w:tcPr>
          <w:p w14:paraId="1E07B580">
            <w:pPr>
              <w:widowControl/>
              <w:jc w:val="center"/>
              <w:textAlignment w:val="center"/>
              <w:rPr>
                <w:rFonts w:hint="eastAsia" w:ascii="仿宋" w:hAnsi="仿宋" w:eastAsia="仿宋"/>
                <w:b/>
                <w:bCs/>
                <w:color w:val="auto"/>
                <w:sz w:val="24"/>
                <w:szCs w:val="24"/>
                <w:highlight w:val="none"/>
                <w:lang w:eastAsia="zh-CN"/>
              </w:rPr>
            </w:pPr>
            <w:r>
              <w:rPr>
                <w:rFonts w:hint="eastAsia" w:ascii="仿宋" w:hAnsi="仿宋" w:eastAsia="仿宋"/>
                <w:b/>
                <w:bCs/>
                <w:color w:val="auto"/>
                <w:sz w:val="24"/>
                <w:szCs w:val="24"/>
                <w:highlight w:val="none"/>
                <w:lang w:eastAsia="zh-CN"/>
              </w:rPr>
              <w:t>4940001.87</w:t>
            </w:r>
          </w:p>
        </w:tc>
      </w:tr>
    </w:tbl>
    <w:p w14:paraId="154065E6">
      <w:pPr>
        <w:pStyle w:val="8"/>
        <w:spacing w:line="360" w:lineRule="auto"/>
        <w:ind w:firstLine="0" w:firstLineChars="0"/>
        <w:rPr>
          <w:rFonts w:hint="eastAsia" w:ascii="仿宋" w:hAnsi="仿宋" w:cs="仿宋"/>
          <w:color w:val="auto"/>
          <w:szCs w:val="28"/>
          <w:highlight w:val="none"/>
        </w:rPr>
      </w:pPr>
      <w:r>
        <w:rPr>
          <w:rFonts w:hint="eastAsia" w:ascii="仿宋" w:hAnsi="仿宋" w:cs="仿宋"/>
          <w:color w:val="auto"/>
          <w:szCs w:val="28"/>
          <w:highlight w:val="none"/>
        </w:rPr>
        <w:t>注：1、各镇作业面积、各条道路起止点以测绘报告为准。</w:t>
      </w:r>
    </w:p>
    <w:p w14:paraId="5855BB4E">
      <w:pPr>
        <w:pStyle w:val="8"/>
        <w:spacing w:line="360" w:lineRule="auto"/>
        <w:ind w:firstLine="480" w:firstLineChars="200"/>
        <w:rPr>
          <w:rFonts w:hint="eastAsia" w:ascii="仿宋" w:hAnsi="仿宋" w:cs="仿宋"/>
          <w:color w:val="auto"/>
          <w:szCs w:val="28"/>
          <w:highlight w:val="none"/>
        </w:rPr>
      </w:pPr>
      <w:r>
        <w:rPr>
          <w:rFonts w:hint="eastAsia" w:ascii="仿宋" w:hAnsi="仿宋" w:cs="仿宋"/>
          <w:color w:val="auto"/>
          <w:szCs w:val="28"/>
          <w:highlight w:val="none"/>
        </w:rPr>
        <w:t>2、测算范围说明（具体以测绘报告为准）：</w:t>
      </w:r>
    </w:p>
    <w:p w14:paraId="61A6CDFD">
      <w:pPr>
        <w:pStyle w:val="8"/>
        <w:spacing w:line="360" w:lineRule="auto"/>
        <w:ind w:firstLine="0" w:firstLineChars="0"/>
        <w:rPr>
          <w:rFonts w:hint="eastAsia" w:ascii="仿宋" w:hAnsi="仿宋" w:cs="仿宋"/>
          <w:color w:val="auto"/>
          <w:szCs w:val="28"/>
          <w:highlight w:val="none"/>
        </w:rPr>
      </w:pPr>
      <w:r>
        <w:rPr>
          <w:rFonts w:hint="eastAsia" w:ascii="仿宋" w:hAnsi="仿宋" w:cs="仿宋"/>
          <w:color w:val="auto"/>
          <w:szCs w:val="28"/>
          <w:highlight w:val="none"/>
        </w:rPr>
        <w:t>（</w:t>
      </w:r>
      <w:r>
        <w:rPr>
          <w:rFonts w:ascii="仿宋" w:hAnsi="仿宋" w:cs="仿宋"/>
          <w:color w:val="auto"/>
          <w:szCs w:val="28"/>
          <w:highlight w:val="none"/>
        </w:rPr>
        <w:t>1）道路路面面积测量（包括镇墟内主要交通干道需保洁的区域）；</w:t>
      </w:r>
    </w:p>
    <w:p w14:paraId="64E65FEB">
      <w:pPr>
        <w:pStyle w:val="8"/>
        <w:spacing w:line="360" w:lineRule="auto"/>
        <w:ind w:firstLine="0" w:firstLineChars="0"/>
        <w:rPr>
          <w:rFonts w:hint="eastAsia" w:ascii="仿宋" w:hAnsi="仿宋" w:cs="仿宋"/>
          <w:color w:val="auto"/>
          <w:szCs w:val="28"/>
          <w:highlight w:val="none"/>
        </w:rPr>
      </w:pPr>
      <w:r>
        <w:rPr>
          <w:rFonts w:hint="eastAsia" w:ascii="仿宋" w:hAnsi="仿宋" w:cs="仿宋"/>
          <w:color w:val="auto"/>
          <w:szCs w:val="28"/>
          <w:highlight w:val="none"/>
        </w:rPr>
        <w:t>（</w:t>
      </w:r>
      <w:r>
        <w:rPr>
          <w:rFonts w:ascii="仿宋" w:hAnsi="仿宋" w:cs="仿宋"/>
          <w:color w:val="auto"/>
          <w:szCs w:val="28"/>
          <w:highlight w:val="none"/>
        </w:rPr>
        <w:t>2）墙到墙面积测量（以道路边界线向道路两侧第一排建筑物区域，包括广场、停车场、人行道及人行道到建筑物滴水线的范围；建筑物至建筑物的公共区域；道路与道路之间的无建筑物、无其他设施设备的公共区域）；</w:t>
      </w:r>
    </w:p>
    <w:p w14:paraId="225F4961">
      <w:pPr>
        <w:pStyle w:val="8"/>
        <w:spacing w:line="360" w:lineRule="auto"/>
        <w:ind w:firstLine="0" w:firstLineChars="0"/>
        <w:rPr>
          <w:rFonts w:hint="eastAsia" w:ascii="仿宋" w:hAnsi="仿宋" w:cs="仿宋"/>
          <w:color w:val="auto"/>
          <w:szCs w:val="28"/>
          <w:highlight w:val="none"/>
        </w:rPr>
      </w:pPr>
      <w:r>
        <w:rPr>
          <w:rFonts w:hint="eastAsia" w:ascii="仿宋" w:hAnsi="仿宋" w:cs="仿宋"/>
          <w:color w:val="auto"/>
          <w:szCs w:val="28"/>
          <w:highlight w:val="none"/>
        </w:rPr>
        <w:t>（</w:t>
      </w:r>
      <w:r>
        <w:rPr>
          <w:rFonts w:ascii="仿宋" w:hAnsi="仿宋" w:cs="仿宋"/>
          <w:color w:val="auto"/>
          <w:szCs w:val="28"/>
          <w:highlight w:val="none"/>
        </w:rPr>
        <w:t>3）绿化面积测量；</w:t>
      </w:r>
    </w:p>
    <w:p w14:paraId="4EEE6535">
      <w:pPr>
        <w:pStyle w:val="8"/>
        <w:spacing w:line="360" w:lineRule="auto"/>
        <w:ind w:firstLine="480" w:firstLineChars="200"/>
        <w:rPr>
          <w:rFonts w:hint="eastAsia" w:ascii="仿宋" w:hAnsi="仿宋" w:cs="仿宋"/>
          <w:b/>
          <w:bCs/>
          <w:color w:val="auto"/>
          <w:sz w:val="28"/>
          <w:szCs w:val="28"/>
          <w:highlight w:val="none"/>
        </w:rPr>
      </w:pPr>
      <w:bookmarkStart w:id="45" w:name="_Toc17328"/>
      <w:bookmarkStart w:id="46" w:name="_Toc8236"/>
      <w:bookmarkStart w:id="47" w:name="_Toc8821"/>
      <w:bookmarkStart w:id="48" w:name="_Toc14304"/>
      <w:bookmarkStart w:id="49" w:name="_Toc7291"/>
      <w:bookmarkStart w:id="50" w:name="_Toc31062"/>
      <w:bookmarkStart w:id="51" w:name="_Toc162431554"/>
      <w:bookmarkStart w:id="52" w:name="_Toc15337"/>
      <w:bookmarkStart w:id="53" w:name="_Toc30584"/>
      <w:bookmarkStart w:id="54" w:name="_Toc5970"/>
      <w:bookmarkStart w:id="55" w:name="_Toc10842"/>
      <w:bookmarkStart w:id="56" w:name="_Toc29448"/>
      <w:bookmarkStart w:id="57" w:name="_Toc1740"/>
      <w:r>
        <w:rPr>
          <w:rFonts w:hint="eastAsia" w:ascii="仿宋" w:hAnsi="仿宋" w:cs="仿宋"/>
          <w:b w:val="0"/>
          <w:bCs w:val="0"/>
          <w:color w:val="auto"/>
          <w:sz w:val="24"/>
          <w:szCs w:val="28"/>
          <w:highlight w:val="none"/>
          <w:lang w:val="en-US" w:eastAsia="zh-CN"/>
        </w:rPr>
        <w:t>3、删除原测绘报告中桂经路环卫保洁作业面积56894.4㎡，原归属</w:t>
      </w:r>
      <w:r>
        <w:rPr>
          <w:rFonts w:hint="eastAsia" w:ascii="仿宋" w:hAnsi="仿宋" w:cs="仿宋"/>
          <w:color w:val="auto"/>
          <w:szCs w:val="28"/>
          <w:highlight w:val="none"/>
        </w:rPr>
        <w:t>新增镇墟道路</w:t>
      </w:r>
      <w:r>
        <w:rPr>
          <w:rFonts w:hint="eastAsia" w:ascii="仿宋" w:hAnsi="仿宋" w:cs="仿宋"/>
          <w:b w:val="0"/>
          <w:bCs w:val="0"/>
          <w:color w:val="auto"/>
          <w:sz w:val="24"/>
          <w:szCs w:val="28"/>
          <w:highlight w:val="none"/>
          <w:lang w:val="en-US" w:eastAsia="zh-CN"/>
        </w:rPr>
        <w:t>作业面积，原</w:t>
      </w:r>
      <w:r>
        <w:rPr>
          <w:rFonts w:hint="eastAsia" w:ascii="仿宋" w:hAnsi="仿宋" w:cs="仿宋"/>
          <w:color w:val="auto"/>
          <w:szCs w:val="28"/>
          <w:highlight w:val="none"/>
        </w:rPr>
        <w:t>新增镇墟道路</w:t>
      </w:r>
      <w:r>
        <w:rPr>
          <w:rFonts w:hint="eastAsia" w:ascii="仿宋" w:hAnsi="仿宋" w:cs="仿宋"/>
          <w:b w:val="0"/>
          <w:bCs w:val="0"/>
          <w:color w:val="auto"/>
          <w:sz w:val="24"/>
          <w:szCs w:val="28"/>
          <w:highlight w:val="none"/>
          <w:lang w:val="en-US" w:eastAsia="zh-CN"/>
        </w:rPr>
        <w:t>面积为</w:t>
      </w:r>
      <w:r>
        <w:rPr>
          <w:rFonts w:hint="eastAsia" w:ascii="仿宋" w:hAnsi="仿宋" w:cs="仿宋"/>
          <w:color w:val="auto"/>
          <w:szCs w:val="28"/>
          <w:highlight w:val="none"/>
        </w:rPr>
        <w:t>247494.80</w:t>
      </w:r>
      <w:r>
        <w:rPr>
          <w:rFonts w:hint="eastAsia" w:ascii="仿宋" w:hAnsi="仿宋" w:cs="仿宋"/>
          <w:b w:val="0"/>
          <w:bCs w:val="0"/>
          <w:color w:val="auto"/>
          <w:sz w:val="24"/>
          <w:szCs w:val="28"/>
          <w:highlight w:val="none"/>
          <w:lang w:val="en-US" w:eastAsia="zh-CN"/>
        </w:rPr>
        <w:t>㎡，核减后</w:t>
      </w:r>
      <w:r>
        <w:rPr>
          <w:rFonts w:hint="eastAsia" w:ascii="仿宋" w:hAnsi="仿宋" w:cs="仿宋"/>
          <w:color w:val="auto"/>
          <w:szCs w:val="28"/>
          <w:highlight w:val="none"/>
        </w:rPr>
        <w:t>新增镇墟道路</w:t>
      </w:r>
      <w:r>
        <w:rPr>
          <w:rFonts w:hint="eastAsia" w:ascii="仿宋" w:hAnsi="仿宋" w:cs="仿宋"/>
          <w:b w:val="0"/>
          <w:bCs w:val="0"/>
          <w:color w:val="auto"/>
          <w:sz w:val="24"/>
          <w:szCs w:val="28"/>
          <w:highlight w:val="none"/>
          <w:lang w:val="en-US" w:eastAsia="zh-CN"/>
        </w:rPr>
        <w:t>面积为</w:t>
      </w:r>
      <w:r>
        <w:rPr>
          <w:rFonts w:hint="eastAsia" w:ascii="仿宋" w:hAnsi="仿宋" w:cs="仿宋"/>
          <w:color w:val="auto"/>
          <w:szCs w:val="28"/>
          <w:highlight w:val="none"/>
        </w:rPr>
        <w:t>190600.40</w:t>
      </w:r>
      <w:r>
        <w:rPr>
          <w:rFonts w:hint="eastAsia" w:ascii="仿宋" w:hAnsi="仿宋" w:cs="仿宋"/>
          <w:b w:val="0"/>
          <w:bCs w:val="0"/>
          <w:color w:val="auto"/>
          <w:sz w:val="24"/>
          <w:szCs w:val="28"/>
          <w:highlight w:val="none"/>
          <w:lang w:val="en-US" w:eastAsia="zh-CN"/>
        </w:rPr>
        <w:t>㎡。</w:t>
      </w:r>
    </w:p>
    <w:p w14:paraId="28F8B2FC">
      <w:pPr>
        <w:pStyle w:val="8"/>
        <w:spacing w:line="360" w:lineRule="auto"/>
        <w:ind w:firstLine="562"/>
        <w:outlineLvl w:val="2"/>
        <w:rPr>
          <w:rFonts w:hint="eastAsia" w:ascii="仿宋" w:hAnsi="仿宋" w:eastAsia="仿宋" w:cs="Times New Roman"/>
          <w:i w:val="0"/>
          <w:iCs/>
          <w:color w:val="auto"/>
          <w:kern w:val="2"/>
          <w:sz w:val="28"/>
          <w:szCs w:val="28"/>
          <w:u w:val="none"/>
          <w:lang w:val="en-US" w:eastAsia="zh-CN" w:bidi="ar-SA"/>
        </w:rPr>
      </w:pPr>
      <w:bookmarkStart w:id="58" w:name="_Toc12363"/>
      <w:bookmarkStart w:id="59" w:name="_Toc1356"/>
      <w:bookmarkStart w:id="60" w:name="_Toc13862"/>
      <w:bookmarkStart w:id="61" w:name="_Toc13593"/>
      <w:bookmarkStart w:id="62" w:name="_Toc20547"/>
      <w:bookmarkStart w:id="63" w:name="_Toc22413"/>
      <w:bookmarkStart w:id="64" w:name="_Toc30067"/>
      <w:r>
        <w:rPr>
          <w:rFonts w:hint="eastAsia" w:ascii="仿宋" w:hAnsi="仿宋" w:eastAsia="仿宋" w:cs="Times New Roman"/>
          <w:i w:val="0"/>
          <w:iCs/>
          <w:color w:val="auto"/>
          <w:kern w:val="2"/>
          <w:sz w:val="28"/>
          <w:szCs w:val="28"/>
          <w:u w:val="none"/>
          <w:lang w:val="en-US" w:eastAsia="zh-CN" w:bidi="ar-SA"/>
        </w:rPr>
        <w:t>3、作业内容</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E5587B2">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（1）实施范围内主次街道道路路中心至两侧建筑物墙根（包括车行道、人行道、绿化带等）、背街小巷、公共场所的</w:t>
      </w:r>
      <w:bookmarkStart w:id="65" w:name="_Hlk155359600"/>
      <w:r>
        <w:rPr>
          <w:rFonts w:hint="eastAsia" w:ascii="仿宋" w:hAnsi="仿宋" w:eastAsia="仿宋" w:cs="Times New Roman"/>
          <w:i w:val="0"/>
          <w:iCs/>
          <w:color w:val="auto"/>
          <w:kern w:val="2"/>
          <w:sz w:val="28"/>
          <w:szCs w:val="28"/>
          <w:u w:val="none"/>
          <w:lang w:val="en-US" w:eastAsia="zh-CN" w:bidi="ar-SA"/>
        </w:rPr>
        <w:t>清扫、清洗、保洁、洒水降尘</w:t>
      </w:r>
      <w:bookmarkEnd w:id="65"/>
      <w:r>
        <w:rPr>
          <w:rFonts w:hint="eastAsia" w:ascii="仿宋" w:hAnsi="仿宋" w:eastAsia="仿宋" w:cs="Times New Roman"/>
          <w:i w:val="0"/>
          <w:iCs/>
          <w:color w:val="auto"/>
          <w:kern w:val="2"/>
          <w:sz w:val="28"/>
          <w:szCs w:val="28"/>
          <w:u w:val="none"/>
          <w:lang w:val="en-US" w:eastAsia="zh-CN" w:bidi="ar-SA"/>
        </w:rPr>
        <w:t>；</w:t>
      </w:r>
    </w:p>
    <w:p w14:paraId="6DD24122">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（2）道路“墙到墙”之间所有建（构）筑物2米以下范围内乱张贴和乱涂写的清理和保洁；</w:t>
      </w:r>
    </w:p>
    <w:p w14:paraId="7FA981CB">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（3）道路两侧建（构）筑物范围内垃圾桶、果皮箱等垃圾收集容器的清掏、保洁、维护及日常管理；</w:t>
      </w:r>
    </w:p>
    <w:p w14:paraId="17CC9EDF">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（4）路名牌、指路牌、交通护栏等以及路灯杆、交通指示牌杆等2米以下部分的清洗保洁及雨水篦子的清掏；</w:t>
      </w:r>
    </w:p>
    <w:p w14:paraId="45861BE8">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（5）环卫机械化作业所需清扫、洗扫、保洁、洒水、冲洗车辆的配置、更新、维护及日常管理；</w:t>
      </w:r>
    </w:p>
    <w:p w14:paraId="5C4661B1">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（6）村村通道路保洁包含道路路沿两侧可视范围的路面整洁。</w:t>
      </w:r>
    </w:p>
    <w:p w14:paraId="5643D7F4">
      <w:pPr>
        <w:pStyle w:val="8"/>
        <w:spacing w:line="360" w:lineRule="auto"/>
        <w:ind w:firstLine="562"/>
        <w:outlineLvl w:val="2"/>
        <w:rPr>
          <w:rFonts w:hint="eastAsia" w:ascii="仿宋" w:hAnsi="仿宋" w:eastAsia="仿宋" w:cs="Times New Roman"/>
          <w:i w:val="0"/>
          <w:iCs/>
          <w:color w:val="auto"/>
          <w:kern w:val="2"/>
          <w:sz w:val="28"/>
          <w:szCs w:val="28"/>
          <w:u w:val="none"/>
          <w:lang w:val="en-US" w:eastAsia="zh-CN" w:bidi="ar-SA"/>
        </w:rPr>
      </w:pPr>
      <w:bookmarkStart w:id="66" w:name="_Toc3675"/>
      <w:bookmarkStart w:id="67" w:name="_Toc1912"/>
      <w:bookmarkStart w:id="68" w:name="_Toc31592"/>
      <w:bookmarkStart w:id="69" w:name="_Toc631"/>
      <w:bookmarkStart w:id="70" w:name="_Toc162431555"/>
      <w:bookmarkStart w:id="71" w:name="_Toc10816"/>
      <w:bookmarkStart w:id="72" w:name="_Toc26885"/>
      <w:bookmarkStart w:id="73" w:name="_Toc8109"/>
      <w:bookmarkStart w:id="74" w:name="_Toc27651"/>
      <w:bookmarkStart w:id="75" w:name="_Toc96"/>
      <w:bookmarkStart w:id="76" w:name="_Toc5857"/>
      <w:bookmarkStart w:id="77" w:name="_Toc23491"/>
      <w:bookmarkStart w:id="78" w:name="_Toc6828"/>
      <w:bookmarkStart w:id="79" w:name="_Toc10990"/>
      <w:bookmarkStart w:id="80" w:name="_Toc1727"/>
      <w:bookmarkStart w:id="81" w:name="_Toc4338"/>
      <w:bookmarkStart w:id="82" w:name="_Toc25135"/>
      <w:bookmarkStart w:id="83" w:name="_Toc85"/>
      <w:bookmarkStart w:id="84" w:name="_Toc17156"/>
      <w:bookmarkStart w:id="85" w:name="_Toc5811"/>
      <w:r>
        <w:rPr>
          <w:rFonts w:hint="eastAsia" w:ascii="仿宋" w:hAnsi="仿宋" w:eastAsia="仿宋" w:cs="Times New Roman"/>
          <w:i w:val="0"/>
          <w:iCs/>
          <w:color w:val="auto"/>
          <w:kern w:val="2"/>
          <w:sz w:val="28"/>
          <w:szCs w:val="28"/>
          <w:u w:val="none"/>
          <w:lang w:val="en-US" w:eastAsia="zh-CN" w:bidi="ar-SA"/>
        </w:rPr>
        <w:t>4、作业要求</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EAE601E">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①道路清扫保洁作业要求</w:t>
      </w:r>
    </w:p>
    <w:p w14:paraId="62A97962">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（1）作业方式：“普扫+保洁+冲洗”相结合并以机械化为主、人工为辅的方式进行道路清扫保洁，其中冲洗作业根据旱季和雨季灵活调配冲洗频次。</w:t>
      </w:r>
    </w:p>
    <w:p w14:paraId="492FA5E8">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（2）普扫时间及频次</w:t>
      </w:r>
    </w:p>
    <w:p w14:paraId="3F53819A">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镇墟道路为机械清扫，镇墟范围内的绿化带、墙到墙、水沟为人工清扫。</w:t>
      </w:r>
    </w:p>
    <w:p w14:paraId="3C1A4100">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1）人工清扫</w:t>
      </w:r>
    </w:p>
    <w:p w14:paraId="0AD8FA3B">
      <w:pPr>
        <w:pStyle w:val="2"/>
        <w:spacing w:line="360" w:lineRule="auto"/>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道路内绿化带、墙到墙、水沟：5:00至8:00、15：00至18: 00，每天普扫一轮；</w:t>
      </w:r>
    </w:p>
    <w:p w14:paraId="670DBE57">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2）机械化清扫</w:t>
      </w:r>
    </w:p>
    <w:p w14:paraId="18F0A0CF">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镇墟部分（镇墟道路），每天不低于一次；</w:t>
      </w:r>
    </w:p>
    <w:p w14:paraId="14A25400">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村村通道路，每周一次：</w:t>
      </w:r>
    </w:p>
    <w:p w14:paraId="40B8FB75">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上午：夏季3:00-6:00，冬季4:00-7:00，下午14:30-17:30；</w:t>
      </w:r>
    </w:p>
    <w:p w14:paraId="101C7B0B">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（3）保洁时间</w:t>
      </w:r>
    </w:p>
    <w:p w14:paraId="2F8BD4EF">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镇墟部分（镇墟道路）：7:00-12:00；14：00-19:00，保洁时间不低于10小时，在此时间段内合理调整安排工作；</w:t>
      </w:r>
    </w:p>
    <w:p w14:paraId="1C13BA6B">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（4）冲洗时间及频次</w:t>
      </w:r>
    </w:p>
    <w:p w14:paraId="75BBC840">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冲洗时间：夏季3:00-6:00，冬季4:00-7:00，下午14:30-17:30；</w:t>
      </w:r>
    </w:p>
    <w:p w14:paraId="15088124">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镇墟部分（镇墟道路）：每天冲洗不低于一次。</w:t>
      </w:r>
    </w:p>
    <w:p w14:paraId="72350090">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（5）洒水时间及频次</w:t>
      </w:r>
    </w:p>
    <w:p w14:paraId="27D2B807">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镇墟部分（镇墟道路）：每天洒水不低于一遍；洒水时间：3:00-6:00。</w:t>
      </w:r>
    </w:p>
    <w:p w14:paraId="12A8C9D4">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（6）保洁作业人员和车辆要求</w:t>
      </w:r>
    </w:p>
    <w:p w14:paraId="11391FD8">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1）保洁作业人员</w:t>
      </w:r>
    </w:p>
    <w:p w14:paraId="618517FB">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①保洁作业人员应安全作业，配备安全防护用品；</w:t>
      </w:r>
    </w:p>
    <w:p w14:paraId="48F78014">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②保洁作业人员应统一工作服装，服装要色调明快、醒目，穿戴应整齐、干净；</w:t>
      </w:r>
    </w:p>
    <w:p w14:paraId="38A50591">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③清扫作业时严格按规定使用清扫保洁工具和设备，清扫工具、设备存放在隐蔽位置，不得影响市容。</w:t>
      </w:r>
    </w:p>
    <w:p w14:paraId="1162154F">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2）保洁作业车辆</w:t>
      </w:r>
    </w:p>
    <w:p w14:paraId="550D0F86">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①保洁作业车辆应配挂安全标志牌；</w:t>
      </w:r>
    </w:p>
    <w:p w14:paraId="435DA41A">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②保洁作业车辆作业完毕，车箱内达到无残留垃圾杂物，干净整洁；</w:t>
      </w:r>
    </w:p>
    <w:p w14:paraId="2EACF96C">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③保洁作业车辆应定期油饰和维修，保持完好无损。</w:t>
      </w:r>
    </w:p>
    <w:p w14:paraId="2EA4B43F">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②道路清扫保洁质量要求</w:t>
      </w:r>
    </w:p>
    <w:p w14:paraId="755B89A6">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（1）总体要求</w:t>
      </w:r>
    </w:p>
    <w:p w14:paraId="30CA17AC">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主次街道、人行道、路面、边沟、树池、绿化带等整洁，路面见本色；道路两侧墙到墙之间应无积存垃圾、人畜粪便、砖头、石头、树叶、树枝和废弃物等；道路两侧墙到墙之间所有构筑物和构件2米以下范围内应无乱张贴和乱涂写等；路段上的砖头瓦块、垃圾堆、无主建筑垃圾、无主大件垃圾、滴洒漏污物等应及时组织清理。路沿石边及人行道、树池杂草应及时清理；垃圾要倒入指定收集地点，不准随意倾倒，禁止露天焚烧垃圾。辖区清扫保洁范围内与居委会、小区物业、单位等有交叉争议的地方（包括但不限于垃圾收集点、无主生活垃圾），由镇墟环卫企业负责清扫保洁。</w:t>
      </w:r>
    </w:p>
    <w:p w14:paraId="03C34025">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②道路清扫保洁质量要求</w:t>
      </w:r>
    </w:p>
    <w:p w14:paraId="2D7C8DE9">
      <w:pPr>
        <w:spacing w:line="360" w:lineRule="auto"/>
        <w:ind w:firstLine="560" w:firstLineChars="200"/>
        <w:contextualSpacing/>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1）路面基本无漏收垃圾，不得往道路两侧倾倒或直扫，也不得扫入河道或下水道；</w:t>
      </w:r>
    </w:p>
    <w:p w14:paraId="6086AD51">
      <w:pPr>
        <w:bidi w:val="0"/>
        <w:spacing w:line="360" w:lineRule="auto"/>
        <w:rPr>
          <w:rFonts w:hint="eastAsia"/>
          <w:color w:val="auto"/>
          <w:sz w:val="28"/>
          <w:szCs w:val="28"/>
          <w:lang w:val="en-US" w:eastAsia="zh-CN"/>
        </w:rPr>
      </w:pPr>
      <w:r>
        <w:rPr>
          <w:rFonts w:hint="eastAsia" w:ascii="仿宋" w:hAnsi="仿宋" w:eastAsia="仿宋" w:cs="Times New Roman"/>
          <w:i w:val="0"/>
          <w:iCs/>
          <w:color w:val="auto"/>
          <w:kern w:val="2"/>
          <w:sz w:val="28"/>
          <w:szCs w:val="28"/>
          <w:u w:val="none"/>
          <w:lang w:val="en-US" w:eastAsia="zh-CN" w:bidi="ar-SA"/>
        </w:rPr>
        <w:t>2）道路两旁至墙边或滴水处内（含道路两旁可视范围内）做到无生活垃圾、无主建筑垃圾、废弃物等，确保道路环</w:t>
      </w:r>
      <w:r>
        <w:rPr>
          <w:rFonts w:hint="eastAsia"/>
          <w:color w:val="auto"/>
          <w:sz w:val="28"/>
          <w:szCs w:val="28"/>
          <w:lang w:val="en-US" w:eastAsia="zh-CN"/>
        </w:rPr>
        <w:t>境整洁。</w:t>
      </w:r>
    </w:p>
    <w:p w14:paraId="5F2F3A49">
      <w:pPr>
        <w:bidi w:val="0"/>
        <w:spacing w:line="360" w:lineRule="auto"/>
        <w:rPr>
          <w:rFonts w:hint="eastAsia"/>
          <w:b/>
          <w:bCs/>
          <w:color w:val="auto"/>
          <w:sz w:val="28"/>
          <w:szCs w:val="28"/>
          <w:lang w:val="en-US" w:eastAsia="zh-CN"/>
        </w:rPr>
      </w:pPr>
      <w:bookmarkStart w:id="86" w:name="_Toc12832"/>
      <w:bookmarkStart w:id="87" w:name="_Toc10890"/>
      <w:bookmarkStart w:id="88" w:name="_Toc15273"/>
      <w:bookmarkStart w:id="89" w:name="_Toc3153"/>
      <w:bookmarkStart w:id="90" w:name="_Toc16568"/>
      <w:bookmarkStart w:id="91" w:name="_Toc11572"/>
      <w:bookmarkStart w:id="92" w:name="_Toc12656"/>
      <w:bookmarkStart w:id="93" w:name="_Toc24901"/>
      <w:bookmarkStart w:id="94" w:name="_Toc124063769"/>
      <w:bookmarkStart w:id="95" w:name="_Toc31960"/>
      <w:bookmarkStart w:id="96" w:name="_Toc14027399"/>
      <w:bookmarkStart w:id="97" w:name="_Toc129354128"/>
      <w:bookmarkStart w:id="98" w:name="_Toc118195152"/>
      <w:bookmarkStart w:id="99" w:name="_Toc17019"/>
      <w:bookmarkStart w:id="100" w:name="_Toc115099979"/>
      <w:bookmarkStart w:id="101" w:name="_Toc24711"/>
      <w:bookmarkStart w:id="102" w:name="_Toc27858"/>
      <w:bookmarkStart w:id="103" w:name="_Toc7160"/>
      <w:bookmarkStart w:id="104" w:name="_Toc10926"/>
      <w:bookmarkStart w:id="105" w:name="_Toc28365"/>
      <w:bookmarkStart w:id="106" w:name="_Toc29542"/>
      <w:bookmarkStart w:id="107" w:name="_Toc5303"/>
      <w:r>
        <w:rPr>
          <w:rFonts w:hint="eastAsia"/>
          <w:b/>
          <w:bCs/>
          <w:color w:val="auto"/>
          <w:sz w:val="28"/>
          <w:szCs w:val="28"/>
          <w:lang w:val="en-US" w:eastAsia="zh-CN"/>
        </w:rPr>
        <w:t>三、生活垃圾收集清运</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EBA8310">
      <w:pPr>
        <w:bidi w:val="0"/>
        <w:spacing w:line="360" w:lineRule="auto"/>
        <w:rPr>
          <w:rFonts w:hint="eastAsia"/>
          <w:color w:val="auto"/>
          <w:sz w:val="28"/>
          <w:szCs w:val="28"/>
          <w:lang w:val="en-US" w:eastAsia="zh-CN"/>
        </w:rPr>
      </w:pPr>
      <w:bookmarkStart w:id="108" w:name="_Toc5714"/>
      <w:bookmarkStart w:id="109" w:name="_Toc3545"/>
      <w:bookmarkStart w:id="110" w:name="_Toc31789"/>
      <w:bookmarkStart w:id="111" w:name="_Toc21429"/>
      <w:bookmarkStart w:id="112" w:name="_Toc162431557"/>
      <w:bookmarkStart w:id="113" w:name="_Toc11283"/>
      <w:bookmarkStart w:id="114" w:name="_Toc16246"/>
      <w:bookmarkStart w:id="115" w:name="_Toc26016"/>
      <w:bookmarkStart w:id="116" w:name="_Toc14027400"/>
      <w:bookmarkStart w:id="117" w:name="_Toc23188"/>
      <w:bookmarkStart w:id="118" w:name="_Toc11748"/>
      <w:bookmarkStart w:id="119" w:name="_Toc221"/>
      <w:bookmarkStart w:id="120" w:name="_Toc30450"/>
      <w:bookmarkStart w:id="121" w:name="_Toc31216"/>
      <w:bookmarkStart w:id="122" w:name="_Toc27539"/>
      <w:bookmarkStart w:id="123" w:name="_Toc17282"/>
      <w:bookmarkStart w:id="124" w:name="_Toc27165"/>
      <w:bookmarkStart w:id="125" w:name="_Toc28633"/>
      <w:bookmarkStart w:id="126" w:name="_Toc25130"/>
      <w:bookmarkStart w:id="127" w:name="_Toc26284"/>
      <w:bookmarkStart w:id="128" w:name="_Toc3653"/>
      <w:r>
        <w:rPr>
          <w:rFonts w:hint="eastAsia"/>
          <w:color w:val="auto"/>
          <w:sz w:val="28"/>
          <w:szCs w:val="28"/>
          <w:lang w:val="en-US" w:eastAsia="zh-CN"/>
        </w:rPr>
        <w:t>（一）作业范围</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E13A66E">
      <w:pPr>
        <w:spacing w:line="360" w:lineRule="auto"/>
        <w:ind w:firstLine="63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将各镇辖区内（含镇墟及农村）的生活垃圾收集并全密闭运输。作业范围内生活垃圾清运量约240吨/日（以每日实际计量结果为准），运输至指定地点，最终以区环卫局指定结果为准。</w:t>
      </w:r>
    </w:p>
    <w:p w14:paraId="600E813F">
      <w:pPr>
        <w:pStyle w:val="8"/>
        <w:spacing w:line="360" w:lineRule="auto"/>
        <w:ind w:firstLine="562"/>
        <w:outlineLvl w:val="2"/>
        <w:rPr>
          <w:rFonts w:hint="eastAsia" w:ascii="仿宋" w:hAnsi="仿宋" w:eastAsia="仿宋" w:cs="Times New Roman"/>
          <w:i w:val="0"/>
          <w:iCs/>
          <w:color w:val="auto"/>
          <w:kern w:val="2"/>
          <w:sz w:val="28"/>
          <w:szCs w:val="28"/>
          <w:u w:val="none"/>
          <w:lang w:val="en-US" w:eastAsia="zh-CN" w:bidi="ar-SA"/>
        </w:rPr>
      </w:pPr>
      <w:bookmarkStart w:id="129" w:name="_Toc1971"/>
      <w:bookmarkStart w:id="130" w:name="_Toc14027401"/>
      <w:bookmarkStart w:id="131" w:name="_Toc22557"/>
      <w:bookmarkStart w:id="132" w:name="_Toc18013"/>
      <w:bookmarkStart w:id="133" w:name="_Toc23092"/>
      <w:bookmarkStart w:id="134" w:name="_Toc3333"/>
      <w:bookmarkStart w:id="135" w:name="_Toc22485"/>
      <w:bookmarkStart w:id="136" w:name="_Toc8042"/>
      <w:bookmarkStart w:id="137" w:name="_Toc3843"/>
      <w:bookmarkStart w:id="138" w:name="_Toc13030"/>
      <w:bookmarkStart w:id="139" w:name="_Toc20732"/>
      <w:bookmarkStart w:id="140" w:name="_Toc4290"/>
      <w:bookmarkStart w:id="141" w:name="_Toc29342"/>
      <w:bookmarkStart w:id="142" w:name="_Toc31598"/>
      <w:bookmarkStart w:id="143" w:name="_Toc4056"/>
      <w:bookmarkStart w:id="144" w:name="_Toc14270"/>
      <w:bookmarkStart w:id="145" w:name="_Toc21420"/>
      <w:bookmarkStart w:id="146" w:name="_Toc6849"/>
      <w:bookmarkStart w:id="147" w:name="_Toc162431558"/>
      <w:bookmarkStart w:id="148" w:name="_Toc11391"/>
      <w:bookmarkStart w:id="149" w:name="_Toc23643"/>
      <w:r>
        <w:rPr>
          <w:rFonts w:hint="eastAsia" w:ascii="仿宋" w:hAnsi="仿宋" w:eastAsia="仿宋" w:cs="Times New Roman"/>
          <w:i w:val="0"/>
          <w:iCs/>
          <w:color w:val="auto"/>
          <w:kern w:val="2"/>
          <w:sz w:val="28"/>
          <w:szCs w:val="28"/>
          <w:u w:val="none"/>
          <w:lang w:val="en-US" w:eastAsia="zh-CN" w:bidi="ar-SA"/>
        </w:rPr>
        <w:t>（二）作业内容</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32BF904">
      <w:pPr>
        <w:spacing w:line="360" w:lineRule="auto"/>
        <w:ind w:firstLine="63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1、道路清扫作业和沿街垃圾收集容器清掏所产生生活垃圾的收集、清运；</w:t>
      </w:r>
    </w:p>
    <w:p w14:paraId="7C3F3CCE">
      <w:pPr>
        <w:spacing w:line="360" w:lineRule="auto"/>
        <w:ind w:firstLine="63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2、实施范围内产生生活垃圾的收集、清运；</w:t>
      </w:r>
    </w:p>
    <w:p w14:paraId="0675156B">
      <w:pPr>
        <w:spacing w:line="360" w:lineRule="auto"/>
        <w:ind w:firstLine="63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3、实施范围内无主生活垃圾的收集、清运；</w:t>
      </w:r>
    </w:p>
    <w:p w14:paraId="09C47E69">
      <w:pPr>
        <w:spacing w:line="360" w:lineRule="auto"/>
        <w:ind w:firstLine="63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4、实施范围配置生活垃圾桶配置、更新、维护及日常管理；</w:t>
      </w:r>
    </w:p>
    <w:p w14:paraId="5D09F565">
      <w:pPr>
        <w:spacing w:line="360" w:lineRule="auto"/>
        <w:ind w:firstLine="63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5、实施范围垃圾收运车辆的配置、更新、维护及日常管理。</w:t>
      </w:r>
    </w:p>
    <w:p w14:paraId="5CD216DB">
      <w:pPr>
        <w:pStyle w:val="8"/>
        <w:spacing w:line="360" w:lineRule="auto"/>
        <w:ind w:firstLine="562"/>
        <w:outlineLvl w:val="2"/>
        <w:rPr>
          <w:rFonts w:hint="eastAsia" w:ascii="仿宋" w:hAnsi="仿宋" w:eastAsia="仿宋" w:cs="Times New Roman"/>
          <w:i w:val="0"/>
          <w:iCs/>
          <w:color w:val="auto"/>
          <w:kern w:val="2"/>
          <w:sz w:val="28"/>
          <w:szCs w:val="28"/>
          <w:u w:val="none"/>
          <w:lang w:val="en-US" w:eastAsia="zh-CN" w:bidi="ar-SA"/>
        </w:rPr>
      </w:pPr>
      <w:bookmarkStart w:id="150" w:name="_Toc11834"/>
      <w:bookmarkStart w:id="151" w:name="_Toc11318"/>
      <w:bookmarkStart w:id="152" w:name="_Toc4965"/>
      <w:bookmarkStart w:id="153" w:name="_Toc15862"/>
      <w:bookmarkStart w:id="154" w:name="_Toc2445"/>
      <w:bookmarkStart w:id="155" w:name="_Toc18044"/>
      <w:bookmarkStart w:id="156" w:name="_Toc26040"/>
      <w:bookmarkStart w:id="157" w:name="_Toc14027402"/>
      <w:bookmarkStart w:id="158" w:name="_Toc19757"/>
      <w:bookmarkStart w:id="159" w:name="_Toc162431559"/>
      <w:bookmarkStart w:id="160" w:name="_Toc1749"/>
      <w:bookmarkStart w:id="161" w:name="_Toc32412"/>
      <w:bookmarkStart w:id="162" w:name="_Toc7201"/>
      <w:bookmarkStart w:id="163" w:name="_Toc30798"/>
      <w:bookmarkStart w:id="164" w:name="_Toc31861"/>
      <w:bookmarkStart w:id="165" w:name="_Toc27103"/>
      <w:bookmarkStart w:id="166" w:name="_Toc10298"/>
      <w:bookmarkStart w:id="167" w:name="_Toc9613"/>
      <w:bookmarkStart w:id="168" w:name="_Toc24978"/>
      <w:bookmarkStart w:id="169" w:name="_Toc13557"/>
      <w:bookmarkStart w:id="170" w:name="_Toc1569"/>
      <w:r>
        <w:rPr>
          <w:rFonts w:hint="eastAsia" w:ascii="仿宋" w:hAnsi="仿宋" w:eastAsia="仿宋" w:cs="Times New Roman"/>
          <w:i w:val="0"/>
          <w:iCs/>
          <w:color w:val="auto"/>
          <w:kern w:val="2"/>
          <w:sz w:val="28"/>
          <w:szCs w:val="28"/>
          <w:u w:val="none"/>
          <w:lang w:val="en-US" w:eastAsia="zh-CN" w:bidi="ar-SA"/>
        </w:rPr>
        <w:t>（三）作业要求</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28E9A2F">
      <w:pPr>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1、收集作业</w:t>
      </w:r>
    </w:p>
    <w:p w14:paraId="3828C73F">
      <w:pPr>
        <w:pStyle w:val="2"/>
        <w:spacing w:line="360" w:lineRule="auto"/>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（1）垃圾的收集工作，应做到定时定点、日产日清，不得堆积、滞留污染城市环境；</w:t>
      </w:r>
    </w:p>
    <w:p w14:paraId="20E9DD55">
      <w:pPr>
        <w:pStyle w:val="2"/>
        <w:spacing w:line="360" w:lineRule="auto"/>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（2）垃圾收集车辆应定点定时，摆放整齐，方便居民投放。收集点及周围5m内应整洁，无散落、存留垃圾和污水；</w:t>
      </w:r>
    </w:p>
    <w:p w14:paraId="77A168F7">
      <w:pPr>
        <w:pStyle w:val="2"/>
        <w:spacing w:line="360" w:lineRule="auto"/>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（3）垃圾收集采取密闭方式，垃圾收集容器应无残缺、破损，封闭性好，外体干净，构筑物内外墙面不得有明显积尘、污迹；</w:t>
      </w:r>
    </w:p>
    <w:p w14:paraId="0292992C">
      <w:pPr>
        <w:pStyle w:val="2"/>
        <w:spacing w:line="360" w:lineRule="auto"/>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（4）垃圾收集站（点）应定期喷洒消毒、灭蚊蝇药物等，在可视范围内，苍蝇应少于3只/次，并无活鼠等；</w:t>
      </w:r>
    </w:p>
    <w:p w14:paraId="48892D6A">
      <w:pPr>
        <w:pStyle w:val="2"/>
        <w:spacing w:line="360" w:lineRule="auto"/>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（5）垃圾收集容器应设置在单位红线内不影响观瞻的隐蔽位置；</w:t>
      </w:r>
    </w:p>
    <w:p w14:paraId="1B3E50E3">
      <w:pPr>
        <w:pStyle w:val="2"/>
        <w:spacing w:line="360" w:lineRule="auto"/>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（6）居民的生活垃圾应每日清除，无堆积；单位的生活垃圾应按时清除，无积压，不腐烂发臭；废旧家具、家用电器等大件垃圾应按指定地点存放，定期清除。生活垃圾日清运率应达到100%；</w:t>
      </w:r>
    </w:p>
    <w:p w14:paraId="2002A0FB">
      <w:pPr>
        <w:pStyle w:val="2"/>
        <w:spacing w:line="360" w:lineRule="auto"/>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（7）收集运输过程应无遗漏、无撒漏、无渗滤液滴漏，垃圾收集车向垃圾转运站运或终端处理场所送垃圾的过程应覆盖密闭，实行“垃圾不落地”作业，避免造成二次污染；</w:t>
      </w:r>
    </w:p>
    <w:p w14:paraId="4602207A">
      <w:pPr>
        <w:pStyle w:val="2"/>
        <w:spacing w:line="360" w:lineRule="auto"/>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（8）地面清扫的垃圾应及时分类收集和运输，不遗漏，不得堆放在路边；</w:t>
      </w:r>
    </w:p>
    <w:p w14:paraId="03EBDEDB">
      <w:pPr>
        <w:pStyle w:val="2"/>
        <w:spacing w:line="360" w:lineRule="auto"/>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（9）辖区内无主生活垃圾应及时收集和运输。</w:t>
      </w:r>
    </w:p>
    <w:p w14:paraId="5B763E57">
      <w:pPr>
        <w:pStyle w:val="2"/>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2、运输作业</w:t>
      </w:r>
    </w:p>
    <w:p w14:paraId="121CEEC3">
      <w:pPr>
        <w:pStyle w:val="2"/>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（1）生活垃圾应采取密闭、专车方式进行运输，禁止敞开式运输垃圾；</w:t>
      </w:r>
    </w:p>
    <w:p w14:paraId="5F6254CB">
      <w:pPr>
        <w:pStyle w:val="2"/>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（2）在垃圾运输过程中无垃圾扬、撒、拖挂和污水滴漏；</w:t>
      </w:r>
    </w:p>
    <w:p w14:paraId="4B332235">
      <w:pPr>
        <w:pStyle w:val="2"/>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1）垃圾压缩车应加装污水收集装置，在垃圾转运站装运垃圾时，应将污水箱的排污口打开，将污水排放干净，出站前再将排污水口关上，防止沿途洒漏。</w:t>
      </w:r>
    </w:p>
    <w:p w14:paraId="73A0D516">
      <w:pPr>
        <w:pStyle w:val="2"/>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2）在垃圾焚烧厂卸完垃圾后，应将污水箱的污水排放干净，并对车辆进行清洗。</w:t>
      </w:r>
    </w:p>
    <w:p w14:paraId="7440C8BE">
      <w:pPr>
        <w:pStyle w:val="2"/>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3）经常检查车辆密封构件，集装箱式垃圾车应定期更换密封条，确保完好，不洒漏污水。</w:t>
      </w:r>
    </w:p>
    <w:p w14:paraId="42CE2066">
      <w:pPr>
        <w:pStyle w:val="2"/>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（3）运输垃圾应尽量避开上下班高峰期，装卸垃圾符合作业要求，不得乱倒、乱卸、乱抛垃圾，在居民住宅附近的垃圾站装运垃圾时，应尽量避免扰民；</w:t>
      </w:r>
    </w:p>
    <w:p w14:paraId="7A35EF85">
      <w:pPr>
        <w:pStyle w:val="2"/>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（4）垃圾运输车辆应车容整洁，车体外部无污物、灰垢。车况良好，车牌号码完整，车门喷印清晰的单位名称，车顶无乱焊铁架等现象；</w:t>
      </w:r>
    </w:p>
    <w:p w14:paraId="7D25CB74">
      <w:pPr>
        <w:pStyle w:val="2"/>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（5）垃圾装运量应以车辆的额定荷载和有效容积为限，不得超重、超高运输；</w:t>
      </w:r>
    </w:p>
    <w:p w14:paraId="67BB1D4E">
      <w:pPr>
        <w:bidi w:val="0"/>
        <w:spacing w:line="360" w:lineRule="auto"/>
        <w:ind w:firstLine="560" w:firstLineChars="200"/>
        <w:rPr>
          <w:rFonts w:hint="eastAsia"/>
          <w:color w:val="auto"/>
          <w:sz w:val="28"/>
          <w:szCs w:val="28"/>
        </w:rPr>
      </w:pPr>
      <w:r>
        <w:rPr>
          <w:rFonts w:hint="eastAsia" w:ascii="仿宋" w:hAnsi="仿宋" w:eastAsia="仿宋" w:cs="Times New Roman"/>
          <w:i w:val="0"/>
          <w:iCs/>
          <w:color w:val="auto"/>
          <w:kern w:val="2"/>
          <w:sz w:val="28"/>
          <w:szCs w:val="28"/>
          <w:u w:val="none"/>
          <w:lang w:val="en-US" w:eastAsia="zh-CN" w:bidi="ar-SA"/>
        </w:rPr>
        <w:t>（6）车辆安全管理达到“四有一无”，即：有安全管理组织，有健全的安全管理制度；有完善的安全检查制度；有</w:t>
      </w:r>
      <w:r>
        <w:rPr>
          <w:rFonts w:hint="eastAsia"/>
          <w:color w:val="auto"/>
          <w:sz w:val="28"/>
          <w:szCs w:val="28"/>
          <w:lang w:val="en-US" w:eastAsia="zh-CN"/>
        </w:rPr>
        <w:t>定期的安全培训制度；无安全事故发生。</w:t>
      </w:r>
    </w:p>
    <w:p w14:paraId="186240CD">
      <w:pPr>
        <w:bidi w:val="0"/>
        <w:spacing w:line="360" w:lineRule="auto"/>
        <w:rPr>
          <w:rFonts w:hint="eastAsia"/>
          <w:b/>
          <w:bCs/>
          <w:color w:val="auto"/>
          <w:sz w:val="28"/>
          <w:szCs w:val="28"/>
        </w:rPr>
      </w:pPr>
      <w:bookmarkStart w:id="171" w:name="_Toc129354129"/>
      <w:bookmarkStart w:id="172" w:name="_Toc22980"/>
      <w:bookmarkStart w:id="173" w:name="_Toc28458"/>
      <w:bookmarkStart w:id="174" w:name="_Toc118195154"/>
      <w:bookmarkStart w:id="175" w:name="_Toc15827"/>
      <w:bookmarkStart w:id="176" w:name="_Toc32233"/>
      <w:bookmarkStart w:id="177" w:name="_Toc28968"/>
      <w:bookmarkStart w:id="178" w:name="_Toc2214"/>
      <w:bookmarkStart w:id="179" w:name="_Toc124063770"/>
      <w:bookmarkStart w:id="180" w:name="_Toc29571"/>
      <w:bookmarkStart w:id="181" w:name="_Toc12968"/>
      <w:bookmarkStart w:id="182" w:name="_Toc16836"/>
      <w:bookmarkStart w:id="183" w:name="_Toc24347"/>
      <w:bookmarkStart w:id="184" w:name="_Toc25730"/>
      <w:bookmarkStart w:id="185" w:name="_Toc15843"/>
      <w:bookmarkStart w:id="186" w:name="_Toc2219"/>
      <w:bookmarkStart w:id="187" w:name="_Toc29599"/>
      <w:bookmarkStart w:id="188" w:name="_Toc19587"/>
      <w:bookmarkStart w:id="189" w:name="_Toc115099981"/>
      <w:bookmarkStart w:id="190" w:name="_Toc20325"/>
      <w:bookmarkStart w:id="191" w:name="_Toc18489"/>
      <w:bookmarkStart w:id="192" w:name="_Toc23593"/>
      <w:bookmarkStart w:id="193" w:name="_Toc28257"/>
      <w:r>
        <w:rPr>
          <w:rFonts w:hint="eastAsia"/>
          <w:b/>
          <w:bCs/>
          <w:color w:val="auto"/>
          <w:sz w:val="28"/>
          <w:szCs w:val="28"/>
          <w:lang w:val="en-US" w:eastAsia="zh-CN"/>
        </w:rPr>
        <w:t>四</w:t>
      </w:r>
      <w:r>
        <w:rPr>
          <w:rFonts w:hint="eastAsia"/>
          <w:b/>
          <w:bCs/>
          <w:color w:val="auto"/>
          <w:sz w:val="28"/>
          <w:szCs w:val="28"/>
        </w:rPr>
        <w:t>、公共厕所运维管理</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42C5569F">
      <w:pPr>
        <w:bidi w:val="0"/>
        <w:spacing w:line="360" w:lineRule="auto"/>
        <w:rPr>
          <w:rFonts w:hint="eastAsia"/>
          <w:color w:val="auto"/>
          <w:sz w:val="28"/>
          <w:szCs w:val="28"/>
        </w:rPr>
      </w:pPr>
      <w:bookmarkStart w:id="194" w:name="_Toc8749"/>
      <w:bookmarkStart w:id="195" w:name="_Toc3063"/>
      <w:bookmarkStart w:id="196" w:name="_Toc646"/>
      <w:bookmarkStart w:id="197" w:name="_Toc9713"/>
      <w:bookmarkStart w:id="198" w:name="_Toc8617"/>
      <w:bookmarkStart w:id="199" w:name="_Toc21353"/>
      <w:bookmarkStart w:id="200" w:name="_Toc16648"/>
      <w:bookmarkStart w:id="201" w:name="_Toc3623"/>
      <w:bookmarkStart w:id="202" w:name="_Toc24323"/>
      <w:bookmarkStart w:id="203" w:name="_Toc22419"/>
      <w:bookmarkStart w:id="204" w:name="_Toc7900"/>
      <w:bookmarkStart w:id="205" w:name="_Toc162431561"/>
      <w:bookmarkStart w:id="206" w:name="_Toc23197"/>
      <w:bookmarkStart w:id="207" w:name="_Toc19126"/>
      <w:bookmarkStart w:id="208" w:name="_Toc2254"/>
      <w:bookmarkStart w:id="209" w:name="_Toc9339"/>
      <w:bookmarkStart w:id="210" w:name="_Toc15526"/>
      <w:bookmarkStart w:id="211" w:name="_Toc17836"/>
      <w:bookmarkStart w:id="212" w:name="_Toc23298"/>
      <w:bookmarkStart w:id="213" w:name="_Toc5465"/>
      <w:r>
        <w:rPr>
          <w:rFonts w:hint="eastAsia"/>
          <w:color w:val="auto"/>
          <w:sz w:val="28"/>
          <w:szCs w:val="28"/>
        </w:rPr>
        <w:t>（一）作业范围</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DC48078">
      <w:pPr>
        <w:pStyle w:val="8"/>
        <w:spacing w:line="360" w:lineRule="auto"/>
        <w:ind w:firstLine="560"/>
        <w:rPr>
          <w:rFonts w:hint="eastAsia" w:ascii="仿宋" w:hAnsi="仿宋" w:eastAsia="仿宋" w:cs="仿宋"/>
          <w:color w:val="auto"/>
          <w:sz w:val="32"/>
          <w:szCs w:val="32"/>
          <w:highlight w:val="none"/>
        </w:rPr>
      </w:pPr>
      <w:r>
        <w:rPr>
          <w:rFonts w:hint="eastAsia" w:ascii="仿宋" w:hAnsi="仿宋" w:eastAsia="仿宋" w:cs="仿宋"/>
          <w:color w:val="auto"/>
          <w:sz w:val="28"/>
          <w:szCs w:val="28"/>
          <w:highlight w:val="none"/>
        </w:rPr>
        <w:t>公共厕所运维管理：镇墟14座，详见下表。</w:t>
      </w:r>
    </w:p>
    <w:p w14:paraId="55E844A0">
      <w:pPr>
        <w:pStyle w:val="8"/>
        <w:spacing w:line="360" w:lineRule="auto"/>
        <w:ind w:firstLine="0" w:firstLineChars="0"/>
        <w:jc w:val="center"/>
        <w:rPr>
          <w:rFonts w:hint="eastAsia" w:ascii="仿宋" w:hAnsi="仿宋" w:cs="仿宋"/>
          <w:b/>
          <w:bCs/>
          <w:color w:val="auto"/>
          <w:sz w:val="28"/>
          <w:szCs w:val="28"/>
          <w:highlight w:val="none"/>
        </w:rPr>
      </w:pPr>
      <w:r>
        <w:rPr>
          <w:rFonts w:hint="eastAsia" w:ascii="仿宋" w:hAnsi="仿宋" w:cs="仿宋"/>
          <w:b/>
          <w:bCs/>
          <w:color w:val="auto"/>
          <w:sz w:val="28"/>
          <w:szCs w:val="28"/>
          <w:highlight w:val="none"/>
        </w:rPr>
        <w:t>附表1</w:t>
      </w:r>
      <w:r>
        <w:rPr>
          <w:rFonts w:ascii="仿宋" w:hAnsi="仿宋" w:cs="仿宋"/>
          <w:b/>
          <w:bCs/>
          <w:color w:val="auto"/>
          <w:sz w:val="28"/>
          <w:szCs w:val="28"/>
          <w:highlight w:val="none"/>
        </w:rPr>
        <w:t>-2</w:t>
      </w:r>
      <w:r>
        <w:rPr>
          <w:rFonts w:hint="eastAsia" w:ascii="仿宋" w:hAnsi="仿宋" w:cs="仿宋"/>
          <w:b/>
          <w:bCs/>
          <w:color w:val="auto"/>
          <w:sz w:val="28"/>
          <w:szCs w:val="28"/>
          <w:highlight w:val="none"/>
        </w:rPr>
        <w:t>公共厕所运营管理数量汇总表</w:t>
      </w:r>
    </w:p>
    <w:p w14:paraId="5DA59068">
      <w:pPr>
        <w:pStyle w:val="8"/>
        <w:spacing w:line="360" w:lineRule="auto"/>
        <w:ind w:firstLine="0" w:firstLineChars="0"/>
        <w:jc w:val="right"/>
        <w:rPr>
          <w:rFonts w:hint="eastAsia" w:ascii="仿宋" w:hAnsi="仿宋" w:cs="仿宋"/>
          <w:b/>
          <w:bCs/>
          <w:color w:val="auto"/>
          <w:szCs w:val="24"/>
          <w:highlight w:val="none"/>
        </w:rPr>
      </w:pPr>
      <w:r>
        <w:rPr>
          <w:rFonts w:hint="eastAsia" w:ascii="仿宋" w:hAnsi="仿宋" w:cs="仿宋"/>
          <w:b/>
          <w:bCs/>
          <w:color w:val="auto"/>
          <w:szCs w:val="24"/>
          <w:highlight w:val="none"/>
        </w:rPr>
        <w:t>单位：座</w:t>
      </w:r>
    </w:p>
    <w:tbl>
      <w:tblPr>
        <w:tblStyle w:val="6"/>
        <w:tblW w:w="8528" w:type="dxa"/>
        <w:tblInd w:w="0" w:type="dxa"/>
        <w:tblLayout w:type="fixed"/>
        <w:tblCellMar>
          <w:top w:w="0" w:type="dxa"/>
          <w:left w:w="108" w:type="dxa"/>
          <w:bottom w:w="0" w:type="dxa"/>
          <w:right w:w="108" w:type="dxa"/>
        </w:tblCellMar>
      </w:tblPr>
      <w:tblGrid>
        <w:gridCol w:w="659"/>
        <w:gridCol w:w="1207"/>
        <w:gridCol w:w="2058"/>
        <w:gridCol w:w="1896"/>
        <w:gridCol w:w="2708"/>
      </w:tblGrid>
      <w:tr w14:paraId="0576093D">
        <w:tblPrEx>
          <w:tblCellMar>
            <w:top w:w="0" w:type="dxa"/>
            <w:left w:w="108" w:type="dxa"/>
            <w:bottom w:w="0" w:type="dxa"/>
            <w:right w:w="108" w:type="dxa"/>
          </w:tblCellMar>
        </w:tblPrEx>
        <w:trPr>
          <w:trHeight w:val="567" w:hRule="atLeast"/>
          <w:tblHeader/>
        </w:trPr>
        <w:tc>
          <w:tcPr>
            <w:tcW w:w="659" w:type="dxa"/>
            <w:tcBorders>
              <w:top w:val="single" w:color="auto" w:sz="4" w:space="0"/>
              <w:left w:val="single" w:color="auto" w:sz="4" w:space="0"/>
              <w:bottom w:val="single" w:color="auto" w:sz="4" w:space="0"/>
              <w:right w:val="single" w:color="auto" w:sz="4" w:space="0"/>
            </w:tcBorders>
            <w:shd w:val="clear" w:color="auto" w:fill="auto"/>
            <w:vAlign w:val="center"/>
          </w:tcPr>
          <w:p w14:paraId="4EBE1580">
            <w:pPr>
              <w:widowControl/>
              <w:jc w:val="center"/>
              <w:rPr>
                <w:rFonts w:hint="eastAsia" w:ascii="仿宋" w:hAnsi="仿宋" w:eastAsia="仿宋" w:cs="宋体"/>
                <w:b/>
                <w:bCs/>
                <w:color w:val="auto"/>
                <w:kern w:val="0"/>
                <w:sz w:val="24"/>
                <w:szCs w:val="24"/>
                <w:highlight w:val="none"/>
              </w:rPr>
            </w:pPr>
            <w:r>
              <w:rPr>
                <w:rFonts w:hint="eastAsia" w:ascii="仿宋" w:hAnsi="仿宋" w:eastAsia="仿宋" w:cs="宋体"/>
                <w:b/>
                <w:bCs/>
                <w:color w:val="auto"/>
                <w:kern w:val="0"/>
                <w:sz w:val="24"/>
                <w:szCs w:val="24"/>
                <w:highlight w:val="none"/>
              </w:rPr>
              <w:t>序号</w:t>
            </w:r>
          </w:p>
        </w:tc>
        <w:tc>
          <w:tcPr>
            <w:tcW w:w="1207" w:type="dxa"/>
            <w:tcBorders>
              <w:top w:val="single" w:color="auto" w:sz="4" w:space="0"/>
              <w:left w:val="nil"/>
              <w:bottom w:val="single" w:color="auto" w:sz="4" w:space="0"/>
              <w:right w:val="single" w:color="auto" w:sz="4" w:space="0"/>
            </w:tcBorders>
            <w:shd w:val="clear" w:color="auto" w:fill="auto"/>
            <w:vAlign w:val="center"/>
          </w:tcPr>
          <w:p w14:paraId="31F8CFDD">
            <w:pPr>
              <w:widowControl/>
              <w:jc w:val="center"/>
              <w:rPr>
                <w:rFonts w:hint="eastAsia" w:ascii="仿宋" w:hAnsi="仿宋" w:eastAsia="仿宋" w:cs="宋体"/>
                <w:b/>
                <w:bCs/>
                <w:color w:val="auto"/>
                <w:kern w:val="0"/>
                <w:sz w:val="24"/>
                <w:szCs w:val="24"/>
                <w:highlight w:val="none"/>
              </w:rPr>
            </w:pPr>
            <w:r>
              <w:rPr>
                <w:rFonts w:hint="eastAsia" w:ascii="仿宋" w:hAnsi="仿宋" w:eastAsia="仿宋" w:cs="宋体"/>
                <w:b/>
                <w:bCs/>
                <w:color w:val="auto"/>
                <w:kern w:val="0"/>
                <w:sz w:val="24"/>
                <w:szCs w:val="24"/>
                <w:highlight w:val="none"/>
              </w:rPr>
              <w:t>镇</w:t>
            </w:r>
          </w:p>
        </w:tc>
        <w:tc>
          <w:tcPr>
            <w:tcW w:w="2058" w:type="dxa"/>
            <w:tcBorders>
              <w:top w:val="single" w:color="auto" w:sz="4" w:space="0"/>
              <w:left w:val="nil"/>
              <w:bottom w:val="single" w:color="auto" w:sz="4" w:space="0"/>
              <w:right w:val="single" w:color="auto" w:sz="4" w:space="0"/>
            </w:tcBorders>
            <w:shd w:val="clear" w:color="auto" w:fill="auto"/>
            <w:vAlign w:val="center"/>
          </w:tcPr>
          <w:p w14:paraId="73369714">
            <w:pPr>
              <w:widowControl/>
              <w:jc w:val="center"/>
              <w:rPr>
                <w:rFonts w:hint="eastAsia" w:ascii="仿宋" w:hAnsi="仿宋" w:eastAsia="仿宋" w:cs="宋体"/>
                <w:b/>
                <w:bCs/>
                <w:color w:val="auto"/>
                <w:kern w:val="0"/>
                <w:sz w:val="24"/>
                <w:szCs w:val="24"/>
                <w:highlight w:val="none"/>
              </w:rPr>
            </w:pPr>
            <w:r>
              <w:rPr>
                <w:rFonts w:hint="eastAsia" w:ascii="仿宋" w:hAnsi="仿宋" w:eastAsia="仿宋" w:cs="宋体"/>
                <w:b/>
                <w:bCs/>
                <w:color w:val="auto"/>
                <w:kern w:val="0"/>
                <w:sz w:val="24"/>
                <w:szCs w:val="24"/>
                <w:highlight w:val="none"/>
              </w:rPr>
              <w:t>公厕名称</w:t>
            </w:r>
          </w:p>
        </w:tc>
        <w:tc>
          <w:tcPr>
            <w:tcW w:w="1896" w:type="dxa"/>
            <w:tcBorders>
              <w:top w:val="single" w:color="auto" w:sz="4" w:space="0"/>
              <w:left w:val="nil"/>
              <w:bottom w:val="single" w:color="auto" w:sz="4" w:space="0"/>
              <w:right w:val="single" w:color="auto" w:sz="4" w:space="0"/>
            </w:tcBorders>
            <w:shd w:val="clear" w:color="auto" w:fill="auto"/>
            <w:vAlign w:val="center"/>
          </w:tcPr>
          <w:p w14:paraId="4F501954">
            <w:pPr>
              <w:widowControl/>
              <w:jc w:val="center"/>
              <w:rPr>
                <w:rFonts w:hint="eastAsia" w:ascii="仿宋" w:hAnsi="仿宋" w:eastAsia="仿宋" w:cs="宋体"/>
                <w:b/>
                <w:bCs/>
                <w:color w:val="auto"/>
                <w:kern w:val="0"/>
                <w:sz w:val="24"/>
                <w:szCs w:val="24"/>
                <w:highlight w:val="none"/>
              </w:rPr>
            </w:pPr>
            <w:r>
              <w:rPr>
                <w:rFonts w:hint="eastAsia" w:ascii="仿宋" w:hAnsi="仿宋" w:eastAsia="仿宋" w:cs="宋体"/>
                <w:b/>
                <w:bCs/>
                <w:color w:val="auto"/>
                <w:kern w:val="0"/>
                <w:sz w:val="24"/>
                <w:szCs w:val="24"/>
                <w:highlight w:val="none"/>
              </w:rPr>
              <w:t>行政村</w:t>
            </w:r>
          </w:p>
        </w:tc>
        <w:tc>
          <w:tcPr>
            <w:tcW w:w="2708" w:type="dxa"/>
            <w:tcBorders>
              <w:top w:val="single" w:color="auto" w:sz="4" w:space="0"/>
              <w:left w:val="nil"/>
              <w:bottom w:val="single" w:color="auto" w:sz="4" w:space="0"/>
              <w:right w:val="single" w:color="auto" w:sz="4" w:space="0"/>
            </w:tcBorders>
            <w:shd w:val="clear" w:color="auto" w:fill="auto"/>
            <w:vAlign w:val="center"/>
          </w:tcPr>
          <w:p w14:paraId="4D69CD2A">
            <w:pPr>
              <w:widowControl/>
              <w:jc w:val="center"/>
              <w:rPr>
                <w:rFonts w:hint="eastAsia" w:ascii="仿宋" w:hAnsi="仿宋" w:eastAsia="仿宋" w:cs="宋体"/>
                <w:b/>
                <w:bCs/>
                <w:color w:val="auto"/>
                <w:kern w:val="0"/>
                <w:sz w:val="24"/>
                <w:szCs w:val="24"/>
                <w:highlight w:val="none"/>
              </w:rPr>
            </w:pPr>
            <w:r>
              <w:rPr>
                <w:rFonts w:hint="eastAsia" w:ascii="仿宋" w:hAnsi="仿宋" w:eastAsia="仿宋" w:cs="宋体"/>
                <w:b/>
                <w:bCs/>
                <w:color w:val="auto"/>
                <w:kern w:val="0"/>
                <w:sz w:val="24"/>
                <w:szCs w:val="24"/>
                <w:highlight w:val="none"/>
              </w:rPr>
              <w:t>建设地点</w:t>
            </w:r>
          </w:p>
        </w:tc>
      </w:tr>
      <w:tr w14:paraId="1024E387">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54EC0719">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1</w:t>
            </w:r>
          </w:p>
        </w:tc>
        <w:tc>
          <w:tcPr>
            <w:tcW w:w="1207" w:type="dxa"/>
            <w:vMerge w:val="restart"/>
            <w:tcBorders>
              <w:top w:val="nil"/>
              <w:left w:val="single" w:color="auto" w:sz="4" w:space="0"/>
              <w:bottom w:val="single" w:color="auto" w:sz="4" w:space="0"/>
              <w:right w:val="single" w:color="auto" w:sz="4" w:space="0"/>
            </w:tcBorders>
            <w:shd w:val="clear" w:color="auto" w:fill="auto"/>
            <w:noWrap/>
            <w:vAlign w:val="center"/>
          </w:tcPr>
          <w:p w14:paraId="2D4BD44F">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灵山镇</w:t>
            </w:r>
          </w:p>
        </w:tc>
        <w:tc>
          <w:tcPr>
            <w:tcW w:w="2058" w:type="dxa"/>
            <w:tcBorders>
              <w:top w:val="nil"/>
              <w:left w:val="nil"/>
              <w:bottom w:val="single" w:color="auto" w:sz="4" w:space="0"/>
              <w:right w:val="single" w:color="auto" w:sz="4" w:space="0"/>
            </w:tcBorders>
            <w:shd w:val="clear" w:color="auto" w:fill="auto"/>
            <w:noWrap/>
            <w:vAlign w:val="center"/>
          </w:tcPr>
          <w:p w14:paraId="2592A625">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爱群公厕</w:t>
            </w:r>
          </w:p>
        </w:tc>
        <w:tc>
          <w:tcPr>
            <w:tcW w:w="1896" w:type="dxa"/>
            <w:tcBorders>
              <w:top w:val="nil"/>
              <w:left w:val="nil"/>
              <w:bottom w:val="single" w:color="auto" w:sz="4" w:space="0"/>
              <w:right w:val="single" w:color="auto" w:sz="4" w:space="0"/>
            </w:tcBorders>
            <w:shd w:val="clear" w:color="auto" w:fill="auto"/>
            <w:noWrap/>
            <w:vAlign w:val="center"/>
          </w:tcPr>
          <w:p w14:paraId="63C9255F">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爱群村委会</w:t>
            </w:r>
          </w:p>
        </w:tc>
        <w:tc>
          <w:tcPr>
            <w:tcW w:w="2708" w:type="dxa"/>
            <w:tcBorders>
              <w:top w:val="nil"/>
              <w:left w:val="nil"/>
              <w:bottom w:val="single" w:color="auto" w:sz="4" w:space="0"/>
              <w:right w:val="single" w:color="auto" w:sz="4" w:space="0"/>
            </w:tcBorders>
            <w:shd w:val="clear" w:color="auto" w:fill="auto"/>
            <w:vAlign w:val="center"/>
          </w:tcPr>
          <w:p w14:paraId="1F4CED9F">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长发村</w:t>
            </w:r>
          </w:p>
        </w:tc>
      </w:tr>
      <w:tr w14:paraId="3A875249">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2B45BE0F">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2</w:t>
            </w:r>
          </w:p>
        </w:tc>
        <w:tc>
          <w:tcPr>
            <w:tcW w:w="1207" w:type="dxa"/>
            <w:vMerge w:val="continue"/>
            <w:tcBorders>
              <w:top w:val="nil"/>
              <w:left w:val="single" w:color="auto" w:sz="4" w:space="0"/>
              <w:bottom w:val="single" w:color="auto" w:sz="4" w:space="0"/>
              <w:right w:val="single" w:color="auto" w:sz="4" w:space="0"/>
            </w:tcBorders>
            <w:vAlign w:val="center"/>
          </w:tcPr>
          <w:p w14:paraId="2F1437B0">
            <w:pPr>
              <w:widowControl/>
              <w:jc w:val="left"/>
              <w:rPr>
                <w:rFonts w:hint="eastAsia" w:ascii="仿宋" w:hAnsi="仿宋" w:eastAsia="仿宋" w:cs="宋体"/>
                <w:color w:val="auto"/>
                <w:kern w:val="0"/>
                <w:sz w:val="24"/>
                <w:szCs w:val="24"/>
                <w:highlight w:val="none"/>
              </w:rPr>
            </w:pPr>
          </w:p>
        </w:tc>
        <w:tc>
          <w:tcPr>
            <w:tcW w:w="2058" w:type="dxa"/>
            <w:tcBorders>
              <w:top w:val="nil"/>
              <w:left w:val="nil"/>
              <w:bottom w:val="single" w:color="auto" w:sz="4" w:space="0"/>
              <w:right w:val="single" w:color="auto" w:sz="4" w:space="0"/>
            </w:tcBorders>
            <w:shd w:val="clear" w:color="auto" w:fill="auto"/>
            <w:noWrap/>
            <w:vAlign w:val="center"/>
          </w:tcPr>
          <w:p w14:paraId="687D7BC1">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东村公厕</w:t>
            </w:r>
          </w:p>
        </w:tc>
        <w:tc>
          <w:tcPr>
            <w:tcW w:w="1896" w:type="dxa"/>
            <w:tcBorders>
              <w:top w:val="nil"/>
              <w:left w:val="nil"/>
              <w:bottom w:val="single" w:color="auto" w:sz="4" w:space="0"/>
              <w:right w:val="single" w:color="auto" w:sz="4" w:space="0"/>
            </w:tcBorders>
            <w:shd w:val="clear" w:color="auto" w:fill="auto"/>
            <w:noWrap/>
            <w:vAlign w:val="center"/>
          </w:tcPr>
          <w:p w14:paraId="475E8541">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东和村委会</w:t>
            </w:r>
          </w:p>
        </w:tc>
        <w:tc>
          <w:tcPr>
            <w:tcW w:w="2708" w:type="dxa"/>
            <w:tcBorders>
              <w:top w:val="nil"/>
              <w:left w:val="nil"/>
              <w:bottom w:val="single" w:color="auto" w:sz="4" w:space="0"/>
              <w:right w:val="single" w:color="auto" w:sz="4" w:space="0"/>
            </w:tcBorders>
            <w:shd w:val="clear" w:color="auto" w:fill="auto"/>
            <w:vAlign w:val="center"/>
          </w:tcPr>
          <w:p w14:paraId="15A9A64B">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东村东和市场旁</w:t>
            </w:r>
          </w:p>
        </w:tc>
      </w:tr>
      <w:tr w14:paraId="7AFCC0A4">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60F72D1B">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3</w:t>
            </w:r>
          </w:p>
        </w:tc>
        <w:tc>
          <w:tcPr>
            <w:tcW w:w="1207" w:type="dxa"/>
            <w:tcBorders>
              <w:top w:val="nil"/>
              <w:left w:val="nil"/>
              <w:bottom w:val="single" w:color="auto" w:sz="4" w:space="0"/>
              <w:right w:val="single" w:color="auto" w:sz="4" w:space="0"/>
            </w:tcBorders>
            <w:shd w:val="clear" w:color="auto" w:fill="auto"/>
            <w:noWrap/>
            <w:vAlign w:val="center"/>
          </w:tcPr>
          <w:p w14:paraId="229AB6A6">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演丰镇</w:t>
            </w:r>
          </w:p>
        </w:tc>
        <w:tc>
          <w:tcPr>
            <w:tcW w:w="2058" w:type="dxa"/>
            <w:tcBorders>
              <w:top w:val="nil"/>
              <w:left w:val="nil"/>
              <w:bottom w:val="single" w:color="auto" w:sz="4" w:space="0"/>
              <w:right w:val="single" w:color="auto" w:sz="4" w:space="0"/>
            </w:tcBorders>
            <w:shd w:val="clear" w:color="auto" w:fill="auto"/>
            <w:noWrap/>
            <w:vAlign w:val="center"/>
          </w:tcPr>
          <w:p w14:paraId="052CC5D7">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演丰墟公厕</w:t>
            </w:r>
          </w:p>
        </w:tc>
        <w:tc>
          <w:tcPr>
            <w:tcW w:w="1896" w:type="dxa"/>
            <w:tcBorders>
              <w:top w:val="nil"/>
              <w:left w:val="nil"/>
              <w:bottom w:val="single" w:color="auto" w:sz="4" w:space="0"/>
              <w:right w:val="single" w:color="auto" w:sz="4" w:space="0"/>
            </w:tcBorders>
            <w:shd w:val="clear" w:color="auto" w:fill="auto"/>
            <w:noWrap/>
            <w:vAlign w:val="center"/>
          </w:tcPr>
          <w:p w14:paraId="0E3DE0BC">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镇墟</w:t>
            </w:r>
          </w:p>
        </w:tc>
        <w:tc>
          <w:tcPr>
            <w:tcW w:w="2708" w:type="dxa"/>
            <w:tcBorders>
              <w:top w:val="nil"/>
              <w:left w:val="nil"/>
              <w:bottom w:val="single" w:color="auto" w:sz="4" w:space="0"/>
              <w:right w:val="single" w:color="auto" w:sz="4" w:space="0"/>
            </w:tcBorders>
            <w:shd w:val="clear" w:color="auto" w:fill="auto"/>
            <w:vAlign w:val="center"/>
          </w:tcPr>
          <w:p w14:paraId="260A3D76">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演丰镇政府广场</w:t>
            </w:r>
          </w:p>
        </w:tc>
      </w:tr>
      <w:tr w14:paraId="24A22F34">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1775F464">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4</w:t>
            </w:r>
          </w:p>
        </w:tc>
        <w:tc>
          <w:tcPr>
            <w:tcW w:w="1207" w:type="dxa"/>
            <w:tcBorders>
              <w:top w:val="nil"/>
              <w:left w:val="nil"/>
              <w:bottom w:val="single" w:color="auto" w:sz="4" w:space="0"/>
              <w:right w:val="single" w:color="auto" w:sz="4" w:space="0"/>
            </w:tcBorders>
            <w:shd w:val="clear" w:color="auto" w:fill="auto"/>
            <w:noWrap/>
            <w:vAlign w:val="center"/>
          </w:tcPr>
          <w:p w14:paraId="2638A1A5">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三江镇</w:t>
            </w:r>
          </w:p>
        </w:tc>
        <w:tc>
          <w:tcPr>
            <w:tcW w:w="2058" w:type="dxa"/>
            <w:tcBorders>
              <w:top w:val="nil"/>
              <w:left w:val="nil"/>
              <w:bottom w:val="single" w:color="auto" w:sz="4" w:space="0"/>
              <w:right w:val="single" w:color="auto" w:sz="4" w:space="0"/>
            </w:tcBorders>
            <w:shd w:val="clear" w:color="auto" w:fill="auto"/>
            <w:noWrap/>
            <w:vAlign w:val="center"/>
          </w:tcPr>
          <w:p w14:paraId="6756C8D1">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旅游公厕</w:t>
            </w:r>
          </w:p>
        </w:tc>
        <w:tc>
          <w:tcPr>
            <w:tcW w:w="1896" w:type="dxa"/>
            <w:tcBorders>
              <w:top w:val="nil"/>
              <w:left w:val="nil"/>
              <w:bottom w:val="single" w:color="auto" w:sz="4" w:space="0"/>
              <w:right w:val="single" w:color="auto" w:sz="4" w:space="0"/>
            </w:tcBorders>
            <w:shd w:val="clear" w:color="auto" w:fill="auto"/>
            <w:noWrap/>
            <w:vAlign w:val="center"/>
          </w:tcPr>
          <w:p w14:paraId="23D44F8E">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三江镇墟</w:t>
            </w:r>
          </w:p>
        </w:tc>
        <w:tc>
          <w:tcPr>
            <w:tcW w:w="2708" w:type="dxa"/>
            <w:tcBorders>
              <w:top w:val="nil"/>
              <w:left w:val="nil"/>
              <w:bottom w:val="single" w:color="auto" w:sz="4" w:space="0"/>
              <w:right w:val="single" w:color="auto" w:sz="4" w:space="0"/>
            </w:tcBorders>
            <w:shd w:val="clear" w:color="auto" w:fill="auto"/>
            <w:vAlign w:val="center"/>
          </w:tcPr>
          <w:p w14:paraId="07689797">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三江镇琼文街三巷</w:t>
            </w:r>
          </w:p>
        </w:tc>
      </w:tr>
      <w:tr w14:paraId="0117492B">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615B7339">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5</w:t>
            </w:r>
          </w:p>
        </w:tc>
        <w:tc>
          <w:tcPr>
            <w:tcW w:w="1207" w:type="dxa"/>
            <w:vMerge w:val="restart"/>
            <w:tcBorders>
              <w:top w:val="nil"/>
              <w:left w:val="single" w:color="auto" w:sz="4" w:space="0"/>
              <w:bottom w:val="single" w:color="auto" w:sz="4" w:space="0"/>
              <w:right w:val="single" w:color="auto" w:sz="4" w:space="0"/>
            </w:tcBorders>
            <w:shd w:val="clear" w:color="auto" w:fill="auto"/>
            <w:noWrap/>
            <w:vAlign w:val="center"/>
          </w:tcPr>
          <w:p w14:paraId="181786ED">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大致坡镇</w:t>
            </w:r>
          </w:p>
        </w:tc>
        <w:tc>
          <w:tcPr>
            <w:tcW w:w="2058" w:type="dxa"/>
            <w:tcBorders>
              <w:top w:val="nil"/>
              <w:left w:val="nil"/>
              <w:bottom w:val="single" w:color="auto" w:sz="4" w:space="0"/>
              <w:right w:val="single" w:color="auto" w:sz="4" w:space="0"/>
            </w:tcBorders>
            <w:shd w:val="clear" w:color="auto" w:fill="auto"/>
            <w:vAlign w:val="center"/>
          </w:tcPr>
          <w:p w14:paraId="1A03C0F7">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琼剧广场公厕</w:t>
            </w:r>
          </w:p>
        </w:tc>
        <w:tc>
          <w:tcPr>
            <w:tcW w:w="1896" w:type="dxa"/>
            <w:tcBorders>
              <w:top w:val="nil"/>
              <w:left w:val="nil"/>
              <w:bottom w:val="single" w:color="auto" w:sz="4" w:space="0"/>
              <w:right w:val="single" w:color="auto" w:sz="4" w:space="0"/>
            </w:tcBorders>
            <w:shd w:val="clear" w:color="auto" w:fill="auto"/>
            <w:noWrap/>
            <w:vAlign w:val="center"/>
          </w:tcPr>
          <w:p w14:paraId="17F548F7">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大致坡镇墟</w:t>
            </w:r>
          </w:p>
        </w:tc>
        <w:tc>
          <w:tcPr>
            <w:tcW w:w="2708" w:type="dxa"/>
            <w:tcBorders>
              <w:top w:val="nil"/>
              <w:left w:val="nil"/>
              <w:bottom w:val="single" w:color="auto" w:sz="4" w:space="0"/>
              <w:right w:val="single" w:color="auto" w:sz="4" w:space="0"/>
            </w:tcBorders>
            <w:shd w:val="clear" w:color="auto" w:fill="auto"/>
            <w:vAlign w:val="center"/>
          </w:tcPr>
          <w:p w14:paraId="546DE24A">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大致坡镇琼剧广场内</w:t>
            </w:r>
          </w:p>
        </w:tc>
      </w:tr>
      <w:tr w14:paraId="0479A857">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1B979CA8">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6</w:t>
            </w:r>
          </w:p>
        </w:tc>
        <w:tc>
          <w:tcPr>
            <w:tcW w:w="1207" w:type="dxa"/>
            <w:vMerge w:val="continue"/>
            <w:tcBorders>
              <w:top w:val="nil"/>
              <w:left w:val="single" w:color="auto" w:sz="4" w:space="0"/>
              <w:bottom w:val="single" w:color="auto" w:sz="4" w:space="0"/>
              <w:right w:val="single" w:color="auto" w:sz="4" w:space="0"/>
            </w:tcBorders>
            <w:vAlign w:val="center"/>
          </w:tcPr>
          <w:p w14:paraId="4FB656DF">
            <w:pPr>
              <w:widowControl/>
              <w:jc w:val="left"/>
              <w:rPr>
                <w:rFonts w:hint="eastAsia" w:ascii="仿宋" w:hAnsi="仿宋" w:eastAsia="仿宋" w:cs="宋体"/>
                <w:color w:val="auto"/>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33D02981">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美篆村公厕</w:t>
            </w:r>
          </w:p>
        </w:tc>
        <w:tc>
          <w:tcPr>
            <w:tcW w:w="1896" w:type="dxa"/>
            <w:tcBorders>
              <w:top w:val="nil"/>
              <w:left w:val="nil"/>
              <w:bottom w:val="single" w:color="auto" w:sz="4" w:space="0"/>
              <w:right w:val="single" w:color="auto" w:sz="4" w:space="0"/>
            </w:tcBorders>
            <w:shd w:val="clear" w:color="auto" w:fill="auto"/>
            <w:vAlign w:val="center"/>
          </w:tcPr>
          <w:p w14:paraId="47F83D7D">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昌福村委会</w:t>
            </w:r>
          </w:p>
        </w:tc>
        <w:tc>
          <w:tcPr>
            <w:tcW w:w="2708" w:type="dxa"/>
            <w:tcBorders>
              <w:top w:val="nil"/>
              <w:left w:val="nil"/>
              <w:bottom w:val="single" w:color="auto" w:sz="4" w:space="0"/>
              <w:right w:val="single" w:color="auto" w:sz="4" w:space="0"/>
            </w:tcBorders>
            <w:shd w:val="clear" w:color="auto" w:fill="auto"/>
            <w:vAlign w:val="center"/>
          </w:tcPr>
          <w:p w14:paraId="2CB2DA8A">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昌福村委会美篆村</w:t>
            </w:r>
          </w:p>
        </w:tc>
      </w:tr>
      <w:tr w14:paraId="354947B4">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2D85ECB2">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7</w:t>
            </w:r>
          </w:p>
        </w:tc>
        <w:tc>
          <w:tcPr>
            <w:tcW w:w="1207" w:type="dxa"/>
            <w:vMerge w:val="continue"/>
            <w:tcBorders>
              <w:top w:val="nil"/>
              <w:left w:val="single" w:color="auto" w:sz="4" w:space="0"/>
              <w:bottom w:val="single" w:color="auto" w:sz="4" w:space="0"/>
              <w:right w:val="single" w:color="auto" w:sz="4" w:space="0"/>
            </w:tcBorders>
            <w:vAlign w:val="center"/>
          </w:tcPr>
          <w:p w14:paraId="09D14596">
            <w:pPr>
              <w:widowControl/>
              <w:jc w:val="left"/>
              <w:rPr>
                <w:rFonts w:hint="eastAsia" w:ascii="仿宋" w:hAnsi="仿宋" w:eastAsia="仿宋" w:cs="宋体"/>
                <w:color w:val="auto"/>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09C4C636">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咸来墟公厕</w:t>
            </w:r>
          </w:p>
        </w:tc>
        <w:tc>
          <w:tcPr>
            <w:tcW w:w="1896" w:type="dxa"/>
            <w:tcBorders>
              <w:top w:val="nil"/>
              <w:left w:val="nil"/>
              <w:bottom w:val="single" w:color="auto" w:sz="4" w:space="0"/>
              <w:right w:val="single" w:color="auto" w:sz="4" w:space="0"/>
            </w:tcBorders>
            <w:shd w:val="clear" w:color="auto" w:fill="auto"/>
            <w:noWrap/>
            <w:vAlign w:val="center"/>
          </w:tcPr>
          <w:p w14:paraId="1C058C59">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大致坡镇咸来墟</w:t>
            </w:r>
          </w:p>
        </w:tc>
        <w:tc>
          <w:tcPr>
            <w:tcW w:w="2708" w:type="dxa"/>
            <w:tcBorders>
              <w:top w:val="nil"/>
              <w:left w:val="nil"/>
              <w:bottom w:val="single" w:color="auto" w:sz="4" w:space="0"/>
              <w:right w:val="single" w:color="auto" w:sz="4" w:space="0"/>
            </w:tcBorders>
            <w:shd w:val="clear" w:color="auto" w:fill="auto"/>
            <w:vAlign w:val="center"/>
          </w:tcPr>
          <w:p w14:paraId="07F4DD09">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咸来墟原咸来工商所旁</w:t>
            </w:r>
          </w:p>
        </w:tc>
      </w:tr>
      <w:tr w14:paraId="7B6E3822">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3FD79F5E">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8</w:t>
            </w:r>
          </w:p>
        </w:tc>
        <w:tc>
          <w:tcPr>
            <w:tcW w:w="1207" w:type="dxa"/>
            <w:vMerge w:val="continue"/>
            <w:tcBorders>
              <w:top w:val="nil"/>
              <w:left w:val="single" w:color="auto" w:sz="4" w:space="0"/>
              <w:bottom w:val="single" w:color="auto" w:sz="4" w:space="0"/>
              <w:right w:val="single" w:color="auto" w:sz="4" w:space="0"/>
            </w:tcBorders>
            <w:vAlign w:val="center"/>
          </w:tcPr>
          <w:p w14:paraId="21537D71">
            <w:pPr>
              <w:widowControl/>
              <w:jc w:val="left"/>
              <w:rPr>
                <w:rFonts w:hint="eastAsia" w:ascii="仿宋" w:hAnsi="仿宋" w:eastAsia="仿宋" w:cs="宋体"/>
                <w:color w:val="auto"/>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258F2998">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昌福公厕</w:t>
            </w:r>
          </w:p>
        </w:tc>
        <w:tc>
          <w:tcPr>
            <w:tcW w:w="1896" w:type="dxa"/>
            <w:tcBorders>
              <w:top w:val="nil"/>
              <w:left w:val="nil"/>
              <w:bottom w:val="single" w:color="auto" w:sz="4" w:space="0"/>
              <w:right w:val="single" w:color="auto" w:sz="4" w:space="0"/>
            </w:tcBorders>
            <w:shd w:val="clear" w:color="auto" w:fill="auto"/>
            <w:vAlign w:val="center"/>
          </w:tcPr>
          <w:p w14:paraId="678D63F8">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昌福村委会</w:t>
            </w:r>
          </w:p>
        </w:tc>
        <w:tc>
          <w:tcPr>
            <w:tcW w:w="2708" w:type="dxa"/>
            <w:tcBorders>
              <w:top w:val="nil"/>
              <w:left w:val="nil"/>
              <w:bottom w:val="single" w:color="auto" w:sz="4" w:space="0"/>
              <w:right w:val="single" w:color="auto" w:sz="4" w:space="0"/>
            </w:tcBorders>
            <w:shd w:val="clear" w:color="auto" w:fill="auto"/>
            <w:vAlign w:val="center"/>
          </w:tcPr>
          <w:p w14:paraId="2CCEE02B">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昌福村委会小学路口旁</w:t>
            </w:r>
          </w:p>
        </w:tc>
      </w:tr>
      <w:tr w14:paraId="7E03586E">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451749FC">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9</w:t>
            </w:r>
          </w:p>
        </w:tc>
        <w:tc>
          <w:tcPr>
            <w:tcW w:w="1207" w:type="dxa"/>
            <w:vMerge w:val="continue"/>
            <w:tcBorders>
              <w:top w:val="nil"/>
              <w:left w:val="single" w:color="auto" w:sz="4" w:space="0"/>
              <w:bottom w:val="single" w:color="auto" w:sz="4" w:space="0"/>
              <w:right w:val="single" w:color="auto" w:sz="4" w:space="0"/>
            </w:tcBorders>
            <w:vAlign w:val="center"/>
          </w:tcPr>
          <w:p w14:paraId="21F24CE5">
            <w:pPr>
              <w:widowControl/>
              <w:jc w:val="left"/>
              <w:rPr>
                <w:rFonts w:hint="eastAsia" w:ascii="仿宋" w:hAnsi="仿宋" w:eastAsia="仿宋" w:cs="宋体"/>
                <w:color w:val="auto"/>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604D0EFC">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金堆公厕</w:t>
            </w:r>
          </w:p>
        </w:tc>
        <w:tc>
          <w:tcPr>
            <w:tcW w:w="1896" w:type="dxa"/>
            <w:tcBorders>
              <w:top w:val="nil"/>
              <w:left w:val="nil"/>
              <w:bottom w:val="single" w:color="auto" w:sz="4" w:space="0"/>
              <w:right w:val="single" w:color="auto" w:sz="4" w:space="0"/>
            </w:tcBorders>
            <w:shd w:val="clear" w:color="auto" w:fill="auto"/>
            <w:vAlign w:val="center"/>
          </w:tcPr>
          <w:p w14:paraId="206B3B99">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金堆村委会</w:t>
            </w:r>
          </w:p>
        </w:tc>
        <w:tc>
          <w:tcPr>
            <w:tcW w:w="2708" w:type="dxa"/>
            <w:tcBorders>
              <w:top w:val="nil"/>
              <w:left w:val="nil"/>
              <w:bottom w:val="single" w:color="auto" w:sz="4" w:space="0"/>
              <w:right w:val="single" w:color="auto" w:sz="4" w:space="0"/>
            </w:tcBorders>
            <w:shd w:val="clear" w:color="auto" w:fill="auto"/>
            <w:vAlign w:val="center"/>
          </w:tcPr>
          <w:p w14:paraId="2C2CC67D">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金堆村委会医疗室旁</w:t>
            </w:r>
          </w:p>
        </w:tc>
      </w:tr>
      <w:tr w14:paraId="23896BDF">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6CE82E3F">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10</w:t>
            </w:r>
          </w:p>
        </w:tc>
        <w:tc>
          <w:tcPr>
            <w:tcW w:w="1207" w:type="dxa"/>
            <w:vMerge w:val="continue"/>
            <w:tcBorders>
              <w:top w:val="nil"/>
              <w:left w:val="single" w:color="auto" w:sz="4" w:space="0"/>
              <w:bottom w:val="single" w:color="auto" w:sz="4" w:space="0"/>
              <w:right w:val="single" w:color="auto" w:sz="4" w:space="0"/>
            </w:tcBorders>
            <w:vAlign w:val="center"/>
          </w:tcPr>
          <w:p w14:paraId="064D6387">
            <w:pPr>
              <w:widowControl/>
              <w:jc w:val="left"/>
              <w:rPr>
                <w:rFonts w:hint="eastAsia" w:ascii="仿宋" w:hAnsi="仿宋" w:eastAsia="仿宋" w:cs="宋体"/>
                <w:color w:val="auto"/>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64C5D3EC">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福㟍村公厕</w:t>
            </w:r>
          </w:p>
        </w:tc>
        <w:tc>
          <w:tcPr>
            <w:tcW w:w="1896" w:type="dxa"/>
            <w:tcBorders>
              <w:top w:val="nil"/>
              <w:left w:val="nil"/>
              <w:bottom w:val="single" w:color="auto" w:sz="4" w:space="0"/>
              <w:right w:val="single" w:color="auto" w:sz="4" w:space="0"/>
            </w:tcBorders>
            <w:shd w:val="clear" w:color="auto" w:fill="auto"/>
            <w:vAlign w:val="center"/>
          </w:tcPr>
          <w:p w14:paraId="3450C500">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大东村委会</w:t>
            </w:r>
          </w:p>
        </w:tc>
        <w:tc>
          <w:tcPr>
            <w:tcW w:w="2708" w:type="dxa"/>
            <w:tcBorders>
              <w:top w:val="nil"/>
              <w:left w:val="nil"/>
              <w:bottom w:val="single" w:color="auto" w:sz="4" w:space="0"/>
              <w:right w:val="single" w:color="auto" w:sz="4" w:space="0"/>
            </w:tcBorders>
            <w:shd w:val="clear" w:color="auto" w:fill="auto"/>
            <w:vAlign w:val="center"/>
          </w:tcPr>
          <w:p w14:paraId="10B3BBEB">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大东村委会福㟍村</w:t>
            </w:r>
          </w:p>
        </w:tc>
      </w:tr>
      <w:tr w14:paraId="68FD970A">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50E9420A">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11</w:t>
            </w:r>
          </w:p>
        </w:tc>
        <w:tc>
          <w:tcPr>
            <w:tcW w:w="1207" w:type="dxa"/>
            <w:vMerge w:val="continue"/>
            <w:tcBorders>
              <w:top w:val="nil"/>
              <w:left w:val="single" w:color="auto" w:sz="4" w:space="0"/>
              <w:bottom w:val="single" w:color="auto" w:sz="4" w:space="0"/>
              <w:right w:val="single" w:color="auto" w:sz="4" w:space="0"/>
            </w:tcBorders>
            <w:vAlign w:val="center"/>
          </w:tcPr>
          <w:p w14:paraId="41B7E56D">
            <w:pPr>
              <w:widowControl/>
              <w:jc w:val="left"/>
              <w:rPr>
                <w:rFonts w:hint="eastAsia" w:ascii="仿宋" w:hAnsi="仿宋" w:eastAsia="仿宋" w:cs="宋体"/>
                <w:color w:val="auto"/>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61623B62">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椰林公厕</w:t>
            </w:r>
          </w:p>
        </w:tc>
        <w:tc>
          <w:tcPr>
            <w:tcW w:w="1896" w:type="dxa"/>
            <w:tcBorders>
              <w:top w:val="nil"/>
              <w:left w:val="nil"/>
              <w:bottom w:val="single" w:color="auto" w:sz="4" w:space="0"/>
              <w:right w:val="single" w:color="auto" w:sz="4" w:space="0"/>
            </w:tcBorders>
            <w:shd w:val="clear" w:color="auto" w:fill="auto"/>
            <w:noWrap/>
            <w:vAlign w:val="center"/>
          </w:tcPr>
          <w:p w14:paraId="67794807">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大致坡镇墟</w:t>
            </w:r>
          </w:p>
        </w:tc>
        <w:tc>
          <w:tcPr>
            <w:tcW w:w="2708" w:type="dxa"/>
            <w:tcBorders>
              <w:top w:val="nil"/>
              <w:left w:val="nil"/>
              <w:bottom w:val="single" w:color="auto" w:sz="4" w:space="0"/>
              <w:right w:val="single" w:color="auto" w:sz="4" w:space="0"/>
            </w:tcBorders>
            <w:shd w:val="clear" w:color="auto" w:fill="auto"/>
            <w:vAlign w:val="center"/>
          </w:tcPr>
          <w:p w14:paraId="356E6142">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大致坡镇中心一横街椰林居委会隔壁</w:t>
            </w:r>
          </w:p>
        </w:tc>
      </w:tr>
      <w:tr w14:paraId="4A8C8842">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5C840885">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12</w:t>
            </w:r>
          </w:p>
        </w:tc>
        <w:tc>
          <w:tcPr>
            <w:tcW w:w="1207" w:type="dxa"/>
            <w:vMerge w:val="continue"/>
            <w:tcBorders>
              <w:top w:val="nil"/>
              <w:left w:val="single" w:color="auto" w:sz="4" w:space="0"/>
              <w:bottom w:val="single" w:color="auto" w:sz="4" w:space="0"/>
              <w:right w:val="single" w:color="auto" w:sz="4" w:space="0"/>
            </w:tcBorders>
            <w:vAlign w:val="center"/>
          </w:tcPr>
          <w:p w14:paraId="2516B733">
            <w:pPr>
              <w:widowControl/>
              <w:jc w:val="left"/>
              <w:rPr>
                <w:rFonts w:hint="eastAsia" w:ascii="仿宋" w:hAnsi="仿宋" w:eastAsia="仿宋" w:cs="宋体"/>
                <w:color w:val="auto"/>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49802F5C">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美贴旅游公厕</w:t>
            </w:r>
          </w:p>
        </w:tc>
        <w:tc>
          <w:tcPr>
            <w:tcW w:w="1896" w:type="dxa"/>
            <w:tcBorders>
              <w:top w:val="nil"/>
              <w:left w:val="nil"/>
              <w:bottom w:val="single" w:color="auto" w:sz="4" w:space="0"/>
              <w:right w:val="single" w:color="auto" w:sz="4" w:space="0"/>
            </w:tcBorders>
            <w:shd w:val="clear" w:color="auto" w:fill="auto"/>
            <w:vAlign w:val="center"/>
          </w:tcPr>
          <w:p w14:paraId="6C6B7AB4">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金堆村委会</w:t>
            </w:r>
          </w:p>
        </w:tc>
        <w:tc>
          <w:tcPr>
            <w:tcW w:w="2708" w:type="dxa"/>
            <w:tcBorders>
              <w:top w:val="nil"/>
              <w:left w:val="nil"/>
              <w:bottom w:val="single" w:color="auto" w:sz="4" w:space="0"/>
              <w:right w:val="single" w:color="auto" w:sz="4" w:space="0"/>
            </w:tcBorders>
            <w:shd w:val="clear" w:color="auto" w:fill="auto"/>
            <w:vAlign w:val="center"/>
          </w:tcPr>
          <w:p w14:paraId="1C4470C3">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美贴村</w:t>
            </w:r>
          </w:p>
        </w:tc>
      </w:tr>
      <w:tr w14:paraId="17DE2C21">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4D7738E9">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13</w:t>
            </w:r>
          </w:p>
        </w:tc>
        <w:tc>
          <w:tcPr>
            <w:tcW w:w="1207" w:type="dxa"/>
            <w:vMerge w:val="continue"/>
            <w:tcBorders>
              <w:top w:val="nil"/>
              <w:left w:val="single" w:color="auto" w:sz="4" w:space="0"/>
              <w:bottom w:val="single" w:color="auto" w:sz="4" w:space="0"/>
              <w:right w:val="single" w:color="auto" w:sz="4" w:space="0"/>
            </w:tcBorders>
            <w:vAlign w:val="center"/>
          </w:tcPr>
          <w:p w14:paraId="758C3501">
            <w:pPr>
              <w:widowControl/>
              <w:jc w:val="left"/>
              <w:rPr>
                <w:rFonts w:hint="eastAsia" w:ascii="仿宋" w:hAnsi="仿宋" w:eastAsia="仿宋" w:cs="宋体"/>
                <w:color w:val="auto"/>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1F5CE47F">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大道湖旅游公厕</w:t>
            </w:r>
          </w:p>
        </w:tc>
        <w:tc>
          <w:tcPr>
            <w:tcW w:w="1896" w:type="dxa"/>
            <w:tcBorders>
              <w:top w:val="nil"/>
              <w:left w:val="nil"/>
              <w:bottom w:val="single" w:color="auto" w:sz="4" w:space="0"/>
              <w:right w:val="single" w:color="auto" w:sz="4" w:space="0"/>
            </w:tcBorders>
            <w:shd w:val="clear" w:color="auto" w:fill="auto"/>
            <w:vAlign w:val="center"/>
          </w:tcPr>
          <w:p w14:paraId="0C7BEE7D">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昌福村委会</w:t>
            </w:r>
          </w:p>
        </w:tc>
        <w:tc>
          <w:tcPr>
            <w:tcW w:w="2708" w:type="dxa"/>
            <w:tcBorders>
              <w:top w:val="nil"/>
              <w:left w:val="nil"/>
              <w:bottom w:val="single" w:color="auto" w:sz="4" w:space="0"/>
              <w:right w:val="single" w:color="auto" w:sz="4" w:space="0"/>
            </w:tcBorders>
            <w:shd w:val="clear" w:color="auto" w:fill="auto"/>
            <w:vAlign w:val="center"/>
          </w:tcPr>
          <w:p w14:paraId="06DB3AEC">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大道湖村</w:t>
            </w:r>
          </w:p>
        </w:tc>
      </w:tr>
      <w:tr w14:paraId="58AE6BE6">
        <w:tblPrEx>
          <w:tblCellMar>
            <w:top w:w="0" w:type="dxa"/>
            <w:left w:w="108" w:type="dxa"/>
            <w:bottom w:w="0" w:type="dxa"/>
            <w:right w:w="108" w:type="dxa"/>
          </w:tblCellMar>
        </w:tblPrEx>
        <w:trPr>
          <w:trHeight w:val="567" w:hRule="atLeast"/>
        </w:trPr>
        <w:tc>
          <w:tcPr>
            <w:tcW w:w="659" w:type="dxa"/>
            <w:tcBorders>
              <w:top w:val="nil"/>
              <w:left w:val="single" w:color="auto" w:sz="4" w:space="0"/>
              <w:bottom w:val="single" w:color="auto" w:sz="4" w:space="0"/>
              <w:right w:val="single" w:color="auto" w:sz="4" w:space="0"/>
            </w:tcBorders>
            <w:shd w:val="clear" w:color="auto" w:fill="auto"/>
            <w:noWrap/>
            <w:vAlign w:val="center"/>
          </w:tcPr>
          <w:p w14:paraId="040B31E6">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14</w:t>
            </w:r>
          </w:p>
        </w:tc>
        <w:tc>
          <w:tcPr>
            <w:tcW w:w="1207" w:type="dxa"/>
            <w:vMerge w:val="continue"/>
            <w:tcBorders>
              <w:top w:val="nil"/>
              <w:left w:val="single" w:color="auto" w:sz="4" w:space="0"/>
              <w:bottom w:val="single" w:color="auto" w:sz="4" w:space="0"/>
              <w:right w:val="single" w:color="auto" w:sz="4" w:space="0"/>
            </w:tcBorders>
            <w:vAlign w:val="center"/>
          </w:tcPr>
          <w:p w14:paraId="7BF39AEE">
            <w:pPr>
              <w:widowControl/>
              <w:jc w:val="left"/>
              <w:rPr>
                <w:rFonts w:hint="eastAsia" w:ascii="仿宋" w:hAnsi="仿宋" w:eastAsia="仿宋" w:cs="宋体"/>
                <w:color w:val="auto"/>
                <w:kern w:val="0"/>
                <w:sz w:val="24"/>
                <w:szCs w:val="24"/>
                <w:highlight w:val="none"/>
              </w:rPr>
            </w:pPr>
          </w:p>
        </w:tc>
        <w:tc>
          <w:tcPr>
            <w:tcW w:w="2058" w:type="dxa"/>
            <w:tcBorders>
              <w:top w:val="nil"/>
              <w:left w:val="nil"/>
              <w:bottom w:val="single" w:color="auto" w:sz="4" w:space="0"/>
              <w:right w:val="single" w:color="auto" w:sz="4" w:space="0"/>
            </w:tcBorders>
            <w:shd w:val="clear" w:color="auto" w:fill="auto"/>
            <w:vAlign w:val="center"/>
          </w:tcPr>
          <w:p w14:paraId="2D7CE52D">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美桐旅游公厕</w:t>
            </w:r>
          </w:p>
        </w:tc>
        <w:tc>
          <w:tcPr>
            <w:tcW w:w="1896" w:type="dxa"/>
            <w:tcBorders>
              <w:top w:val="nil"/>
              <w:left w:val="nil"/>
              <w:bottom w:val="single" w:color="auto" w:sz="4" w:space="0"/>
              <w:right w:val="single" w:color="auto" w:sz="4" w:space="0"/>
            </w:tcBorders>
            <w:shd w:val="clear" w:color="auto" w:fill="auto"/>
            <w:vAlign w:val="center"/>
          </w:tcPr>
          <w:p w14:paraId="66DA767F">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美桐村委会</w:t>
            </w:r>
          </w:p>
        </w:tc>
        <w:tc>
          <w:tcPr>
            <w:tcW w:w="2708" w:type="dxa"/>
            <w:tcBorders>
              <w:top w:val="nil"/>
              <w:left w:val="nil"/>
              <w:bottom w:val="single" w:color="auto" w:sz="4" w:space="0"/>
              <w:right w:val="single" w:color="auto" w:sz="4" w:space="0"/>
            </w:tcBorders>
            <w:shd w:val="clear" w:color="auto" w:fill="auto"/>
            <w:vAlign w:val="center"/>
          </w:tcPr>
          <w:p w14:paraId="208D8AC6">
            <w:pPr>
              <w:widowControl/>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美桐村委会内</w:t>
            </w:r>
          </w:p>
        </w:tc>
      </w:tr>
    </w:tbl>
    <w:p w14:paraId="7C1008B8">
      <w:pPr>
        <w:pStyle w:val="8"/>
        <w:spacing w:line="360" w:lineRule="auto"/>
        <w:ind w:firstLine="562"/>
        <w:outlineLvl w:val="2"/>
        <w:rPr>
          <w:rFonts w:hint="eastAsia" w:ascii="仿宋" w:hAnsi="仿宋" w:cs="仿宋"/>
          <w:b/>
          <w:bCs/>
          <w:color w:val="auto"/>
          <w:sz w:val="28"/>
          <w:szCs w:val="28"/>
          <w:highlight w:val="none"/>
        </w:rPr>
      </w:pPr>
      <w:bookmarkStart w:id="214" w:name="_Toc162431562"/>
      <w:bookmarkStart w:id="215" w:name="_Toc4634"/>
      <w:bookmarkStart w:id="216" w:name="_Toc23228"/>
      <w:bookmarkStart w:id="217" w:name="_Toc32549"/>
      <w:bookmarkStart w:id="218" w:name="_Toc10608"/>
      <w:bookmarkStart w:id="219" w:name="_Toc22449"/>
      <w:bookmarkStart w:id="220" w:name="_Toc20607"/>
      <w:bookmarkStart w:id="221" w:name="_Toc14349"/>
      <w:bookmarkStart w:id="222" w:name="_Toc6904"/>
      <w:bookmarkStart w:id="223" w:name="_Toc22525"/>
      <w:bookmarkStart w:id="224" w:name="_Toc7704"/>
      <w:bookmarkStart w:id="225" w:name="_Toc29345"/>
      <w:bookmarkStart w:id="226" w:name="_Toc4221"/>
      <w:bookmarkStart w:id="227" w:name="_Toc18760"/>
      <w:bookmarkStart w:id="228" w:name="_Toc8853"/>
      <w:bookmarkStart w:id="229" w:name="_Toc24142"/>
      <w:bookmarkStart w:id="230" w:name="_Toc9469"/>
      <w:bookmarkStart w:id="231" w:name="_Toc18665"/>
      <w:bookmarkStart w:id="232" w:name="_Toc27382"/>
      <w:bookmarkStart w:id="233" w:name="_Toc28811"/>
    </w:p>
    <w:p w14:paraId="2323EBDC">
      <w:pPr>
        <w:pStyle w:val="8"/>
        <w:spacing w:line="360" w:lineRule="auto"/>
        <w:ind w:firstLine="562"/>
        <w:outlineLvl w:val="2"/>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（二）作业内容</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3309650">
      <w:pPr>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bookmarkStart w:id="234" w:name="_Hlk139381265"/>
      <w:r>
        <w:rPr>
          <w:rFonts w:hint="eastAsia" w:ascii="仿宋" w:hAnsi="仿宋" w:eastAsia="仿宋" w:cs="Times New Roman"/>
          <w:i w:val="0"/>
          <w:iCs/>
          <w:color w:val="auto"/>
          <w:kern w:val="2"/>
          <w:sz w:val="28"/>
          <w:szCs w:val="28"/>
          <w:u w:val="none"/>
          <w:lang w:val="en-US" w:eastAsia="zh-CN" w:bidi="ar-SA"/>
        </w:rPr>
        <w:t>1、公共厕所有专人管理，向公众免费开放使用；</w:t>
      </w:r>
    </w:p>
    <w:p w14:paraId="7737D86C">
      <w:pPr>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2、公共厕所配套设备、设施的维护（不含设施的更新及升级改造）；</w:t>
      </w:r>
    </w:p>
    <w:p w14:paraId="7EF1AE81">
      <w:pPr>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3、公共厕所化粪池的清掏，以及将粪渣收运至区环卫局指定地点。</w:t>
      </w:r>
      <w:bookmarkEnd w:id="234"/>
    </w:p>
    <w:p w14:paraId="3C57D868">
      <w:pPr>
        <w:pStyle w:val="8"/>
        <w:spacing w:line="360" w:lineRule="auto"/>
        <w:ind w:firstLine="562"/>
        <w:outlineLvl w:val="2"/>
        <w:rPr>
          <w:rFonts w:hint="eastAsia" w:ascii="仿宋" w:hAnsi="仿宋" w:eastAsia="仿宋" w:cs="Times New Roman"/>
          <w:i w:val="0"/>
          <w:iCs/>
          <w:color w:val="auto"/>
          <w:kern w:val="2"/>
          <w:sz w:val="28"/>
          <w:szCs w:val="28"/>
          <w:u w:val="none"/>
          <w:lang w:val="en-US" w:eastAsia="zh-CN" w:bidi="ar-SA"/>
        </w:rPr>
      </w:pPr>
      <w:bookmarkStart w:id="235" w:name="_Toc8165"/>
      <w:bookmarkStart w:id="236" w:name="_Toc8919"/>
      <w:bookmarkStart w:id="237" w:name="_Toc11650"/>
      <w:bookmarkStart w:id="238" w:name="_Toc3687"/>
      <w:bookmarkStart w:id="239" w:name="_Toc24487"/>
      <w:bookmarkStart w:id="240" w:name="_Toc9866"/>
      <w:bookmarkStart w:id="241" w:name="_Toc162431563"/>
      <w:bookmarkStart w:id="242" w:name="_Toc30235"/>
      <w:bookmarkStart w:id="243" w:name="_Toc21625"/>
      <w:bookmarkStart w:id="244" w:name="_Toc19049"/>
      <w:bookmarkStart w:id="245" w:name="_Toc17195"/>
      <w:bookmarkStart w:id="246" w:name="_Toc1503"/>
      <w:bookmarkStart w:id="247" w:name="_Toc26844"/>
      <w:bookmarkStart w:id="248" w:name="_Toc32537"/>
      <w:bookmarkStart w:id="249" w:name="_Toc30749"/>
      <w:bookmarkStart w:id="250" w:name="_Toc3256"/>
      <w:bookmarkStart w:id="251" w:name="_Toc18457"/>
      <w:bookmarkStart w:id="252" w:name="_Toc10072"/>
      <w:bookmarkStart w:id="253" w:name="_Toc5080"/>
      <w:bookmarkStart w:id="254" w:name="_Toc13114"/>
      <w:r>
        <w:rPr>
          <w:rFonts w:hint="eastAsia" w:ascii="仿宋" w:hAnsi="仿宋" w:eastAsia="仿宋" w:cs="Times New Roman"/>
          <w:i w:val="0"/>
          <w:iCs/>
          <w:color w:val="auto"/>
          <w:kern w:val="2"/>
          <w:sz w:val="28"/>
          <w:szCs w:val="28"/>
          <w:u w:val="none"/>
          <w:lang w:val="en-US" w:eastAsia="zh-CN" w:bidi="ar-SA"/>
        </w:rPr>
        <w:t>（三）作业要求</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4AB5E90">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1、公共厕所作业标准</w:t>
      </w:r>
    </w:p>
    <w:p w14:paraId="05989E3B">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（1）公共厕所有专人管理、有保洁制度，公共厕所开放时间不少于16个小时；</w:t>
      </w:r>
    </w:p>
    <w:p w14:paraId="17F34474">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（2）公共厕所内采光、照明和通风良好，无明显臭味；</w:t>
      </w:r>
    </w:p>
    <w:p w14:paraId="3E94DDD5">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（3）公共厕所内墙面、天花板、门窗和隔离板无积灰、污迹、蛛网，无乱涂、乱画，墙面光洁；公共厕所外墙面整洁；</w:t>
      </w:r>
    </w:p>
    <w:p w14:paraId="6427AABB">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（4）公共厕所内地面光洁，无积水；</w:t>
      </w:r>
    </w:p>
    <w:p w14:paraId="10488048">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（5）座便器、蹲位整洁，大便槽两侧应无粪便污物，槽内无积粪，洁净见底；</w:t>
      </w:r>
    </w:p>
    <w:p w14:paraId="5E356999">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（6）小便槽（斗）无水锈、尿垢、垃圾，基本无臭；沟眼、管道保持畅通；</w:t>
      </w:r>
    </w:p>
    <w:p w14:paraId="6166C98C">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（7）公共厕所内照明灯具、洗手器具、镜子、挂衣钩、烘手器、冲水设备无积灰、污物；</w:t>
      </w:r>
    </w:p>
    <w:p w14:paraId="0A1D5E55">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（8）公共厕所外环境整洁，无乱堆杂物。公厕四周5m范围内，应无垃圾、粪便、污水等污物；</w:t>
      </w:r>
    </w:p>
    <w:p w14:paraId="02E25835">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（9）公共厕所应有防蝇、防蚊和除臭设施或措施。定期喷洒灭蚊蝇药物，有效控制蝇蛆孳生，公共厕所内基本无蚊蝇等昆虫；</w:t>
      </w:r>
    </w:p>
    <w:p w14:paraId="29A027DC">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（10）吸粪车清吸作业后，及时盖好井盖。化粪井周围整洁无粪迹。行车不遗洒，按区环卫局指定地点倾卸、作业后搞好车辆卫生、保持车辆清洁。</w:t>
      </w:r>
    </w:p>
    <w:p w14:paraId="64DBAC32">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2、公共厕所设施的维护标准</w:t>
      </w:r>
    </w:p>
    <w:p w14:paraId="58B74E40">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（1）公共厕所通风、冲水、洗手、照明、除臭等设施及门板、便器完好，正常提供使用；</w:t>
      </w:r>
    </w:p>
    <w:p w14:paraId="1FB61697">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（2）公共厕所的内外墙、天花板保持完好，无剥落，地面无破损；</w:t>
      </w:r>
    </w:p>
    <w:p w14:paraId="252C865B">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（3）公共厕所管理间不得改变使用功能；</w:t>
      </w:r>
    </w:p>
    <w:p w14:paraId="6FC56FE5">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（4）公共厕所标识牌整洁、规范，设置明显。</w:t>
      </w:r>
    </w:p>
    <w:p w14:paraId="1A076888">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3、公厕文明服务要求</w:t>
      </w:r>
    </w:p>
    <w:p w14:paraId="6531116A">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（1）按《海南省公共洗手间导识系统设计方案》设置导向标志牌，管理守则、卫生质量标准和投诉电话悬挂于墙上醒目位置，便于市民监督；</w:t>
      </w:r>
    </w:p>
    <w:p w14:paraId="75FC14B3">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（2）公共厕所要有专人管理，管理人员应保持衣冠整齐，有明显所属单位标志；文明作业、礼貌服务；</w:t>
      </w:r>
    </w:p>
    <w:p w14:paraId="290490BD">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（3）保洁工具使用完毕应整齐存放在不显眼的位置或存放在工具房（箱）内；不得将保洁工具放在便器、洗手盆或楼梯；</w:t>
      </w:r>
    </w:p>
    <w:p w14:paraId="02554908">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（4）供洗手用的水龙头不得用于保洁作业；</w:t>
      </w:r>
    </w:p>
    <w:p w14:paraId="438DACE3">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（5）管理人员工作室、工作台保持整洁美观；</w:t>
      </w:r>
    </w:p>
    <w:p w14:paraId="7CA4C79B">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（6）不得占用或妨碍残疾人公共厕所的正常使用；</w:t>
      </w:r>
    </w:p>
    <w:p w14:paraId="4A711ECC">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（7）公共厕所每天应全面冲洗两次以上并随时保洁。</w:t>
      </w:r>
    </w:p>
    <w:p w14:paraId="5EC9F7F8">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4、公厕粪便清除作业质量要求</w:t>
      </w:r>
    </w:p>
    <w:p w14:paraId="4866E18C">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公共厕所的粪便严禁直接排入雨水管、河道或水沟内，有污水管道且下游建有污水处理厂的地区应排入污水管道，没有污水管道的地区应建化粪池等处理设施。</w:t>
      </w:r>
    </w:p>
    <w:p w14:paraId="25D1F0FD">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（1）应定期清除公共厕所贮（化）粪池内的粪便或粪渣，粪水不外溢；</w:t>
      </w:r>
    </w:p>
    <w:p w14:paraId="18410948">
      <w:pPr>
        <w:pStyle w:val="8"/>
        <w:spacing w:line="360" w:lineRule="auto"/>
        <w:ind w:firstLine="560"/>
        <w:jc w:val="left"/>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（2）收集和运输容器应密闭性好，无滴漏；</w:t>
      </w:r>
    </w:p>
    <w:p w14:paraId="182D961E">
      <w:pPr>
        <w:bidi w:val="0"/>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（3）应保持作业场地清洁卫生，无遗撒粪便。清掏作业结束后，应盖严粪口，并及时清理场地和清掏工具。</w:t>
      </w:r>
    </w:p>
    <w:p w14:paraId="1B5CCDEC">
      <w:pPr>
        <w:bidi w:val="0"/>
        <w:spacing w:line="360" w:lineRule="auto"/>
        <w:rPr>
          <w:rFonts w:hint="eastAsia" w:ascii="仿宋" w:hAnsi="仿宋" w:eastAsia="仿宋" w:cs="Times New Roman"/>
          <w:b/>
          <w:bCs/>
          <w:i w:val="0"/>
          <w:iCs/>
          <w:color w:val="auto"/>
          <w:kern w:val="2"/>
          <w:sz w:val="28"/>
          <w:szCs w:val="28"/>
          <w:u w:val="none"/>
          <w:lang w:val="en-US" w:eastAsia="zh-CN" w:bidi="ar-SA"/>
        </w:rPr>
      </w:pPr>
      <w:bookmarkStart w:id="255" w:name="_Toc31443"/>
      <w:bookmarkStart w:id="256" w:name="_Toc3945"/>
      <w:bookmarkStart w:id="257" w:name="_Toc14822"/>
      <w:bookmarkStart w:id="258" w:name="_Toc8730"/>
      <w:bookmarkStart w:id="259" w:name="_Toc4088"/>
      <w:bookmarkStart w:id="260" w:name="_Toc7982"/>
      <w:bookmarkStart w:id="261" w:name="_Toc11268"/>
      <w:bookmarkStart w:id="262" w:name="_Toc129354130"/>
      <w:bookmarkStart w:id="263" w:name="_Toc2678"/>
      <w:bookmarkStart w:id="264" w:name="_Toc25223"/>
      <w:bookmarkStart w:id="265" w:name="_Toc9035"/>
      <w:bookmarkStart w:id="266" w:name="_Toc17659"/>
      <w:bookmarkStart w:id="267" w:name="_Toc13441"/>
      <w:bookmarkStart w:id="268" w:name="_Toc124063771"/>
      <w:bookmarkStart w:id="269" w:name="_Toc23930"/>
      <w:bookmarkStart w:id="270" w:name="_Toc7233"/>
      <w:bookmarkStart w:id="271" w:name="_Toc4395"/>
      <w:bookmarkStart w:id="272" w:name="_Toc13743"/>
      <w:bookmarkStart w:id="273" w:name="_Toc14027409"/>
      <w:bookmarkStart w:id="274" w:name="_Toc15736"/>
      <w:bookmarkStart w:id="275" w:name="_Toc115099982"/>
      <w:bookmarkStart w:id="276" w:name="_Toc118195155"/>
      <w:r>
        <w:rPr>
          <w:rFonts w:hint="eastAsia" w:ascii="仿宋" w:hAnsi="仿宋" w:eastAsia="仿宋" w:cs="Times New Roman"/>
          <w:b/>
          <w:bCs/>
          <w:i w:val="0"/>
          <w:iCs/>
          <w:color w:val="auto"/>
          <w:kern w:val="2"/>
          <w:sz w:val="28"/>
          <w:szCs w:val="28"/>
          <w:u w:val="none"/>
          <w:lang w:val="en-US" w:eastAsia="zh-CN" w:bidi="ar-SA"/>
        </w:rPr>
        <w:t>五、安全生产</w:t>
      </w:r>
      <w:bookmarkEnd w:id="255"/>
      <w:bookmarkEnd w:id="256"/>
      <w:bookmarkEnd w:id="257"/>
      <w:bookmarkEnd w:id="258"/>
      <w:bookmarkEnd w:id="259"/>
      <w:bookmarkEnd w:id="260"/>
      <w:bookmarkEnd w:id="261"/>
    </w:p>
    <w:p w14:paraId="23503E05">
      <w:pPr>
        <w:bidi w:val="0"/>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1、穿着与防护：环卫工人应按照规定穿戴工作服，并佩戴防护用品，如安全帽、防护眼镜、口罩、手套等，以保护自己的安全。</w:t>
      </w:r>
    </w:p>
    <w:p w14:paraId="0260CF99">
      <w:pPr>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2、工作设备的安全使用：环卫工人应按照规定正确使用和维护工作设备，如扫帚、垃圾桶、清洁剂等。在车辆操作中，应慎重驾驶，遵守运输车辆操作规程，并注意车辆的维护保养。</w:t>
      </w:r>
    </w:p>
    <w:p w14:paraId="78DB6701">
      <w:pPr>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3、安全生产责任制：环卫企业应建立、健全安全生产责任制，制定完备的安全生产规章制度和操作规程。确保所有员工都了解并遵守这些规定。</w:t>
      </w:r>
    </w:p>
    <w:p w14:paraId="3BA13721">
      <w:pPr>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4、安全投入：安全投入应符合安全生产要求，包括提供必要的安全防护设备、培训、检查等。</w:t>
      </w:r>
    </w:p>
    <w:p w14:paraId="7569EB70">
      <w:pPr>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5、特种作业人员资格：特种作业人员，如驾驶环卫车辆的司机，应经有关业务主管部门考核合格，取得特种作业操作资格证书。</w:t>
      </w:r>
    </w:p>
    <w:p w14:paraId="15D637DD">
      <w:pPr>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6、机械作业安全：驾驶人员应严格遵守交通规则，禁止疲劳驾驶、超速、超载行驶。定期对车辆进行安全检查，确保所有环卫车辆不带病上路。</w:t>
      </w:r>
    </w:p>
    <w:p w14:paraId="1B749B62">
      <w:pPr>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7、人工作业安全：环卫工人上岗期间必须着环卫专用服装，中转站作业人员要严格按照安全生产规章制度进行作业，不得私自违规操作。</w:t>
      </w:r>
    </w:p>
    <w:p w14:paraId="03B45862">
      <w:pPr>
        <w:bidi w:val="0"/>
        <w:spacing w:line="360" w:lineRule="auto"/>
        <w:rPr>
          <w:rFonts w:hint="eastAsia"/>
          <w:color w:val="auto"/>
          <w:sz w:val="28"/>
          <w:szCs w:val="28"/>
          <w:lang w:val="en-US" w:eastAsia="zh-CN"/>
        </w:rPr>
      </w:pPr>
      <w:r>
        <w:rPr>
          <w:rFonts w:hint="eastAsia" w:ascii="仿宋" w:hAnsi="仿宋" w:eastAsia="仿宋" w:cs="Times New Roman"/>
          <w:i w:val="0"/>
          <w:iCs/>
          <w:color w:val="auto"/>
          <w:kern w:val="2"/>
          <w:sz w:val="28"/>
          <w:szCs w:val="28"/>
          <w:u w:val="none"/>
          <w:lang w:val="en-US" w:eastAsia="zh-CN" w:bidi="ar-SA"/>
        </w:rPr>
        <w:t>8、内部监督培训：完善环卫作业安全管理制度，加强环卫工人以及驾驶员的安全培训。环卫服务企业应定期对环卫设施设备、车辆行驶状态、驾驶规范、作业场所用水用电规范等进行全面排查，并建立检查台账，做到逐项检查、逐</w:t>
      </w:r>
      <w:r>
        <w:rPr>
          <w:rFonts w:hint="eastAsia"/>
          <w:color w:val="auto"/>
          <w:sz w:val="28"/>
          <w:szCs w:val="28"/>
          <w:lang w:val="en-US" w:eastAsia="zh-CN"/>
        </w:rPr>
        <w:t>项整改。</w:t>
      </w:r>
    </w:p>
    <w:p w14:paraId="5E9733BC">
      <w:pPr>
        <w:bidi w:val="0"/>
        <w:spacing w:line="360" w:lineRule="auto"/>
        <w:rPr>
          <w:rFonts w:hint="eastAsia"/>
          <w:b/>
          <w:bCs/>
          <w:color w:val="auto"/>
          <w:sz w:val="28"/>
          <w:szCs w:val="28"/>
          <w:lang w:val="en-US" w:eastAsia="zh-CN"/>
        </w:rPr>
      </w:pPr>
      <w:bookmarkStart w:id="277" w:name="_Toc31654"/>
      <w:bookmarkStart w:id="278" w:name="_Toc20163"/>
      <w:bookmarkStart w:id="279" w:name="_Toc22896"/>
      <w:bookmarkStart w:id="280" w:name="_Toc12705"/>
      <w:bookmarkStart w:id="281" w:name="_Toc1466"/>
      <w:bookmarkStart w:id="282" w:name="_Toc19766"/>
      <w:bookmarkStart w:id="283" w:name="_Toc8150"/>
      <w:r>
        <w:rPr>
          <w:rFonts w:hint="eastAsia"/>
          <w:b/>
          <w:bCs/>
          <w:color w:val="auto"/>
          <w:sz w:val="28"/>
          <w:szCs w:val="28"/>
          <w:lang w:val="en-US" w:eastAsia="zh-CN"/>
        </w:rPr>
        <w:t>六、特殊情况下的环卫保障</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3E41A75">
      <w:pPr>
        <w:bidi w:val="0"/>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color w:val="auto"/>
          <w:sz w:val="28"/>
          <w:szCs w:val="28"/>
          <w:lang w:val="en-US" w:eastAsia="zh-CN"/>
        </w:rPr>
        <w:t>1、突发应急事件或大型检</w:t>
      </w:r>
      <w:r>
        <w:rPr>
          <w:rFonts w:hint="eastAsia" w:ascii="仿宋" w:hAnsi="仿宋" w:eastAsia="仿宋" w:cs="Times New Roman"/>
          <w:i w:val="0"/>
          <w:iCs/>
          <w:color w:val="auto"/>
          <w:kern w:val="2"/>
          <w:sz w:val="28"/>
          <w:szCs w:val="28"/>
          <w:u w:val="none"/>
          <w:lang w:val="en-US" w:eastAsia="zh-CN" w:bidi="ar-SA"/>
        </w:rPr>
        <w:t>查、重大活动保障等环卫应急保障；</w:t>
      </w:r>
    </w:p>
    <w:p w14:paraId="43581CC3">
      <w:pPr>
        <w:spacing w:line="360" w:lineRule="auto"/>
        <w:ind w:firstLine="63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2、中心风力13级（不含13级）以下强台风期间、单日（24小时）内降水量低于100毫米（不含100毫米）暴雨期间环卫保障等。</w:t>
      </w:r>
    </w:p>
    <w:p w14:paraId="1AF2EA59">
      <w:pPr>
        <w:pStyle w:val="2"/>
        <w:rPr>
          <w:rFonts w:hint="default"/>
          <w:color w:val="auto"/>
          <w:sz w:val="28"/>
          <w:szCs w:val="28"/>
          <w:lang w:val="en-US" w:eastAsia="zh-CN"/>
        </w:rPr>
      </w:pPr>
      <w:r>
        <w:rPr>
          <w:rFonts w:hint="eastAsia"/>
          <w:color w:val="auto"/>
          <w:lang w:val="en-US" w:eastAsia="zh-CN"/>
        </w:rPr>
        <w:t>3、如发生超强台风(十三(13)级或以上)等重大自然灾害性天气时，乙方先行进行抢险救灾及市容恢复等工作，由此带来的运营成本增加或资本性支出增加，乙方向甲方提交详细费用清单，经双方核对后由甲方委托第三方公司审计，以审计结果进行补偿。</w:t>
      </w:r>
    </w:p>
    <w:p w14:paraId="28482E59">
      <w:pPr>
        <w:pStyle w:val="3"/>
        <w:spacing w:line="360" w:lineRule="auto"/>
        <w:ind w:leftChars="0"/>
        <w:jc w:val="both"/>
        <w:rPr>
          <w:rFonts w:hint="eastAsia" w:ascii="仿宋" w:hAnsi="仿宋" w:cs="仿宋"/>
          <w:color w:val="auto"/>
          <w:sz w:val="28"/>
          <w:szCs w:val="28"/>
          <w:highlight w:val="none"/>
        </w:rPr>
      </w:pPr>
      <w:r>
        <w:rPr>
          <w:rFonts w:hint="eastAsia" w:ascii="仿宋" w:hAnsi="仿宋" w:cs="Times New Roman"/>
          <w:i w:val="0"/>
          <w:iCs/>
          <w:color w:val="auto"/>
          <w:kern w:val="2"/>
          <w:sz w:val="28"/>
          <w:szCs w:val="28"/>
          <w:u w:val="none"/>
          <w:lang w:val="en-US" w:eastAsia="zh-CN" w:bidi="ar-SA"/>
        </w:rPr>
        <w:t>七</w:t>
      </w:r>
      <w:r>
        <w:rPr>
          <w:rFonts w:hint="eastAsia" w:ascii="仿宋" w:hAnsi="仿宋" w:eastAsia="仿宋" w:cs="Times New Roman"/>
          <w:i w:val="0"/>
          <w:iCs/>
          <w:color w:val="auto"/>
          <w:kern w:val="2"/>
          <w:sz w:val="28"/>
          <w:szCs w:val="28"/>
          <w:u w:val="none"/>
          <w:lang w:val="en-US" w:eastAsia="zh-CN" w:bidi="ar-SA"/>
        </w:rPr>
        <w:t>、</w:t>
      </w:r>
      <w:bookmarkStart w:id="284" w:name="_Toc129354132"/>
      <w:bookmarkStart w:id="285" w:name="_Toc6381"/>
      <w:bookmarkStart w:id="286" w:name="_Toc14027411"/>
      <w:bookmarkStart w:id="287" w:name="_Toc3003"/>
      <w:bookmarkStart w:id="288" w:name="_Toc16611"/>
      <w:bookmarkStart w:id="289" w:name="_Toc12970"/>
      <w:bookmarkStart w:id="290" w:name="_Toc1530"/>
      <w:bookmarkStart w:id="291" w:name="_Toc2948"/>
      <w:bookmarkStart w:id="292" w:name="_Toc115099984"/>
      <w:bookmarkStart w:id="293" w:name="_Toc19528"/>
      <w:bookmarkStart w:id="294" w:name="_Toc124063773"/>
      <w:bookmarkStart w:id="295" w:name="_Toc686"/>
      <w:bookmarkStart w:id="296" w:name="_Toc30549"/>
      <w:bookmarkStart w:id="297" w:name="_Toc22217"/>
      <w:bookmarkStart w:id="298" w:name="_Toc118195157"/>
      <w:bookmarkStart w:id="299" w:name="_Toc9642"/>
      <w:bookmarkStart w:id="300" w:name="_Toc31663"/>
      <w:bookmarkStart w:id="301" w:name="_Toc30457"/>
      <w:bookmarkStart w:id="302" w:name="_Toc19286"/>
      <w:bookmarkStart w:id="303" w:name="_Toc869"/>
      <w:bookmarkStart w:id="304" w:name="_Toc4648"/>
      <w:bookmarkStart w:id="305" w:name="_Toc15118"/>
      <w:r>
        <w:rPr>
          <w:rFonts w:hint="eastAsia"/>
          <w:color w:val="auto"/>
          <w:sz w:val="28"/>
          <w:szCs w:val="28"/>
          <w:highlight w:val="none"/>
        </w:rPr>
        <w:t>运营经费说明</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0D2A95D7">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（一）整体经费：</w:t>
      </w:r>
    </w:p>
    <w:p w14:paraId="3C8E9CDC">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作业范围内环卫测算价格以《城镇市容环境卫生劳动定额》（HLD47-101-2008）、《海南省城乡容貌和环境卫生管理条例》（2017年9月27日修订）为测算依据，并在参考海口市各区农村环卫价格相比以及琼山、龙华区的经费节约比例的基础上确定，整体经费为41713869.01元（整体经费为初始经费与增减费用合计）。</w:t>
      </w:r>
    </w:p>
    <w:p w14:paraId="4D6AF23D">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（二）初始经费：</w:t>
      </w:r>
    </w:p>
    <w:p w14:paraId="1812DE04">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初始年运营经费为39381023.38元，其中：道路及公共区域清扫保洁年初始运营经费为23753674.07元，生活垃圾收集清运年初始运营经费为14452542.35元，公共厕所运维管理年初始运营经费为1174806.97元。</w:t>
      </w:r>
    </w:p>
    <w:p w14:paraId="116A2739">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（三）增减费用：</w:t>
      </w:r>
    </w:p>
    <w:p w14:paraId="7AB08CA1">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道路及公共区域清扫保洁新增部分年运营经费为2334898.39元、核减部分年运营经费为2052.76元。</w:t>
      </w:r>
    </w:p>
    <w:p w14:paraId="684474B4">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详见下表：</w:t>
      </w:r>
    </w:p>
    <w:p w14:paraId="61362D34">
      <w:pPr>
        <w:pStyle w:val="8"/>
        <w:spacing w:line="360" w:lineRule="auto"/>
        <w:ind w:firstLine="0" w:firstLineChars="0"/>
        <w:jc w:val="center"/>
        <w:rPr>
          <w:rFonts w:hint="eastAsia" w:ascii="仿宋" w:hAnsi="仿宋" w:cs="仿宋"/>
          <w:b/>
          <w:color w:val="auto"/>
          <w:sz w:val="28"/>
          <w:szCs w:val="28"/>
          <w:highlight w:val="none"/>
        </w:rPr>
      </w:pPr>
      <w:r>
        <w:rPr>
          <w:rFonts w:hint="eastAsia" w:ascii="仿宋" w:hAnsi="仿宋" w:cs="仿宋"/>
          <w:b/>
          <w:color w:val="auto"/>
          <w:sz w:val="28"/>
          <w:szCs w:val="28"/>
          <w:highlight w:val="none"/>
        </w:rPr>
        <w:t>附表1-3 各作业内容单价及总费用</w:t>
      </w:r>
    </w:p>
    <w:tbl>
      <w:tblPr>
        <w:tblStyle w:val="6"/>
        <w:tblW w:w="8528" w:type="dxa"/>
        <w:tblInd w:w="0" w:type="dxa"/>
        <w:tblLayout w:type="fixed"/>
        <w:tblCellMar>
          <w:top w:w="0" w:type="dxa"/>
          <w:left w:w="108" w:type="dxa"/>
          <w:bottom w:w="0" w:type="dxa"/>
          <w:right w:w="108" w:type="dxa"/>
        </w:tblCellMar>
      </w:tblPr>
      <w:tblGrid>
        <w:gridCol w:w="796"/>
        <w:gridCol w:w="3413"/>
        <w:gridCol w:w="2369"/>
        <w:gridCol w:w="1950"/>
      </w:tblGrid>
      <w:tr w14:paraId="05B722A1">
        <w:tblPrEx>
          <w:tblCellMar>
            <w:top w:w="0" w:type="dxa"/>
            <w:left w:w="108" w:type="dxa"/>
            <w:bottom w:w="0" w:type="dxa"/>
            <w:right w:w="108" w:type="dxa"/>
          </w:tblCellMar>
        </w:tblPrEx>
        <w:trPr>
          <w:trHeight w:val="567" w:hRule="atLeast"/>
          <w:tblHeader/>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D679D">
            <w:pPr>
              <w:widowControl/>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A03AE">
            <w:pPr>
              <w:widowControl/>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名称</w:t>
            </w:r>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E09C4">
            <w:pPr>
              <w:widowControl/>
              <w:jc w:val="center"/>
              <w:textAlignment w:val="center"/>
              <w:rPr>
                <w:rFonts w:hint="eastAsia" w:ascii="仿宋" w:hAnsi="仿宋" w:eastAsia="仿宋" w:cs="仿宋"/>
                <w:b/>
                <w:bCs/>
                <w:color w:val="auto"/>
                <w:sz w:val="24"/>
                <w:szCs w:val="24"/>
                <w:highlight w:val="none"/>
              </w:rPr>
            </w:pPr>
            <w:r>
              <w:rPr>
                <w:rFonts w:hint="eastAsia" w:ascii="仿宋" w:hAnsi="仿宋" w:eastAsia="仿宋" w:cs="宋体"/>
                <w:b/>
                <w:bCs/>
                <w:color w:val="auto"/>
                <w:kern w:val="0"/>
                <w:sz w:val="24"/>
                <w:highlight w:val="none"/>
                <w:lang w:bidi="ar"/>
              </w:rPr>
              <w:t>年运营经费（元）</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3A578">
            <w:pPr>
              <w:widowControl/>
              <w:jc w:val="center"/>
              <w:textAlignment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kern w:val="0"/>
                <w:sz w:val="24"/>
                <w:szCs w:val="24"/>
                <w:highlight w:val="none"/>
                <w:lang w:val="en-US" w:eastAsia="zh-CN" w:bidi="ar"/>
              </w:rPr>
              <w:t>综合</w:t>
            </w:r>
            <w:r>
              <w:rPr>
                <w:rFonts w:hint="eastAsia" w:ascii="仿宋" w:hAnsi="仿宋" w:eastAsia="仿宋" w:cs="仿宋"/>
                <w:b/>
                <w:bCs/>
                <w:color w:val="auto"/>
                <w:kern w:val="0"/>
                <w:sz w:val="24"/>
                <w:szCs w:val="24"/>
                <w:highlight w:val="none"/>
                <w:lang w:bidi="ar"/>
              </w:rPr>
              <w:t>单价</w:t>
            </w:r>
            <w:r>
              <w:rPr>
                <w:rFonts w:hint="eastAsia" w:ascii="仿宋" w:hAnsi="仿宋" w:eastAsia="仿宋" w:cs="仿宋"/>
                <w:b/>
                <w:bCs/>
                <w:color w:val="auto"/>
                <w:kern w:val="0"/>
                <w:sz w:val="24"/>
                <w:szCs w:val="24"/>
                <w:highlight w:val="none"/>
                <w:lang w:val="en-US" w:eastAsia="zh-CN" w:bidi="ar"/>
              </w:rPr>
              <w:t>限价</w:t>
            </w:r>
          </w:p>
        </w:tc>
      </w:tr>
      <w:tr w14:paraId="7E7BB3D9">
        <w:tblPrEx>
          <w:tblCellMar>
            <w:top w:w="0" w:type="dxa"/>
            <w:left w:w="108" w:type="dxa"/>
            <w:bottom w:w="0" w:type="dxa"/>
            <w:right w:w="108" w:type="dxa"/>
          </w:tblCellMar>
        </w:tblPrEx>
        <w:trPr>
          <w:trHeight w:val="567" w:hRule="atLeast"/>
        </w:trPr>
        <w:tc>
          <w:tcPr>
            <w:tcW w:w="4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0FB31C">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整体年运营经费合计</w:t>
            </w:r>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0D19A">
            <w:pPr>
              <w:widowControl/>
              <w:jc w:val="center"/>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b/>
                <w:bCs/>
                <w:color w:val="auto"/>
                <w:sz w:val="24"/>
                <w:szCs w:val="24"/>
                <w:highlight w:val="none"/>
                <w:lang w:eastAsia="zh-CN"/>
              </w:rPr>
              <w:t>41713869.01</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9510A">
            <w:pPr>
              <w:widowControl/>
              <w:jc w:val="center"/>
              <w:textAlignment w:val="center"/>
              <w:rPr>
                <w:rFonts w:hint="eastAsia" w:ascii="仿宋" w:hAnsi="仿宋" w:eastAsia="仿宋"/>
                <w:color w:val="auto"/>
                <w:sz w:val="24"/>
                <w:szCs w:val="24"/>
                <w:highlight w:val="none"/>
              </w:rPr>
            </w:pPr>
            <w:r>
              <w:rPr>
                <w:rFonts w:hint="eastAsia" w:ascii="仿宋" w:hAnsi="仿宋" w:eastAsia="仿宋" w:cs="仿宋"/>
                <w:b/>
                <w:bCs/>
                <w:color w:val="auto"/>
                <w:sz w:val="24"/>
                <w:szCs w:val="24"/>
                <w:highlight w:val="none"/>
              </w:rPr>
              <w:t>—</w:t>
            </w:r>
          </w:p>
        </w:tc>
      </w:tr>
      <w:tr w14:paraId="31C311CF">
        <w:tblPrEx>
          <w:tblCellMar>
            <w:top w:w="0" w:type="dxa"/>
            <w:left w:w="108" w:type="dxa"/>
            <w:bottom w:w="0" w:type="dxa"/>
            <w:right w:w="108" w:type="dxa"/>
          </w:tblCellMar>
        </w:tblPrEx>
        <w:trPr>
          <w:trHeight w:val="567"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7F1F2">
            <w:pPr>
              <w:widowControl/>
              <w:jc w:val="center"/>
              <w:textAlignment w:val="center"/>
              <w:rPr>
                <w:rFonts w:hint="eastAsia" w:ascii="仿宋" w:hAnsi="仿宋" w:eastAsia="仿宋" w:cs="仿宋"/>
                <w:color w:val="auto"/>
                <w:sz w:val="24"/>
                <w:szCs w:val="24"/>
                <w:highlight w:val="none"/>
              </w:rPr>
            </w:pPr>
            <w:r>
              <w:rPr>
                <w:rFonts w:ascii="仿宋" w:hAnsi="仿宋" w:eastAsia="仿宋" w:cs="仿宋"/>
                <w:color w:val="auto"/>
                <w:kern w:val="0"/>
                <w:sz w:val="24"/>
                <w:szCs w:val="24"/>
                <w:highlight w:val="none"/>
                <w:lang w:bidi="ar"/>
              </w:rPr>
              <w:t>1</w:t>
            </w:r>
          </w:p>
        </w:tc>
        <w:tc>
          <w:tcPr>
            <w:tcW w:w="3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9ADB2">
            <w:pPr>
              <w:widowControl/>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道路及公共区域清扫保洁</w:t>
            </w:r>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24CFD">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23753674.07</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62647">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olor w:val="auto"/>
                <w:sz w:val="24"/>
                <w:szCs w:val="24"/>
                <w:highlight w:val="none"/>
              </w:rPr>
              <w:t>5.21元/平方米</w:t>
            </w:r>
          </w:p>
        </w:tc>
      </w:tr>
      <w:tr w14:paraId="4B51F039">
        <w:tblPrEx>
          <w:tblCellMar>
            <w:top w:w="0" w:type="dxa"/>
            <w:left w:w="108" w:type="dxa"/>
            <w:bottom w:w="0" w:type="dxa"/>
            <w:right w:w="108" w:type="dxa"/>
          </w:tblCellMar>
        </w:tblPrEx>
        <w:trPr>
          <w:trHeight w:val="567"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C4DB9">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1</w:t>
            </w:r>
            <w:r>
              <w:rPr>
                <w:rFonts w:ascii="仿宋" w:hAnsi="仿宋" w:eastAsia="仿宋" w:cs="仿宋"/>
                <w:color w:val="auto"/>
                <w:kern w:val="0"/>
                <w:sz w:val="24"/>
                <w:szCs w:val="24"/>
                <w:highlight w:val="none"/>
                <w:lang w:bidi="ar"/>
              </w:rPr>
              <w:t>.1</w:t>
            </w:r>
          </w:p>
        </w:tc>
        <w:tc>
          <w:tcPr>
            <w:tcW w:w="3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07D62">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olor w:val="auto"/>
                <w:sz w:val="24"/>
                <w:szCs w:val="24"/>
                <w:highlight w:val="none"/>
              </w:rPr>
              <w:t>镇墟道路</w:t>
            </w:r>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573A6">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olor w:val="auto"/>
                <w:sz w:val="24"/>
                <w:szCs w:val="24"/>
                <w:highlight w:val="none"/>
              </w:rPr>
              <w:t>4572878.04</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3A244">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olor w:val="auto"/>
                <w:sz w:val="24"/>
                <w:szCs w:val="24"/>
                <w:highlight w:val="none"/>
              </w:rPr>
              <w:t>6.01元/平方米</w:t>
            </w:r>
          </w:p>
        </w:tc>
      </w:tr>
      <w:tr w14:paraId="1CE3D2F3">
        <w:tblPrEx>
          <w:tblCellMar>
            <w:top w:w="0" w:type="dxa"/>
            <w:left w:w="108" w:type="dxa"/>
            <w:bottom w:w="0" w:type="dxa"/>
            <w:right w:w="108" w:type="dxa"/>
          </w:tblCellMar>
        </w:tblPrEx>
        <w:trPr>
          <w:trHeight w:val="548"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BC53A">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1</w:t>
            </w:r>
            <w:r>
              <w:rPr>
                <w:rFonts w:ascii="仿宋" w:hAnsi="仿宋" w:eastAsia="仿宋" w:cs="仿宋"/>
                <w:color w:val="auto"/>
                <w:kern w:val="0"/>
                <w:sz w:val="24"/>
                <w:szCs w:val="24"/>
                <w:highlight w:val="none"/>
                <w:lang w:bidi="ar"/>
              </w:rPr>
              <w:t>.2</w:t>
            </w:r>
          </w:p>
        </w:tc>
        <w:tc>
          <w:tcPr>
            <w:tcW w:w="3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F0A01">
            <w:pPr>
              <w:widowControl/>
              <w:jc w:val="center"/>
              <w:textAlignment w:val="center"/>
              <w:rPr>
                <w:rFonts w:hint="eastAsia" w:ascii="仿宋" w:hAnsi="仿宋" w:eastAsia="仿宋" w:cs="仿宋"/>
                <w:color w:val="auto"/>
                <w:kern w:val="0"/>
                <w:sz w:val="24"/>
                <w:szCs w:val="24"/>
                <w:highlight w:val="none"/>
                <w:lang w:bidi="ar"/>
              </w:rPr>
            </w:pPr>
            <w:bookmarkStart w:id="306" w:name="_Hlk154688904"/>
            <w:r>
              <w:rPr>
                <w:rFonts w:hint="eastAsia" w:ascii="仿宋" w:hAnsi="仿宋" w:eastAsia="仿宋"/>
                <w:color w:val="auto"/>
                <w:sz w:val="24"/>
                <w:szCs w:val="24"/>
                <w:highlight w:val="none"/>
              </w:rPr>
              <w:t>镇墟其他</w:t>
            </w:r>
            <w:bookmarkEnd w:id="306"/>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A7D12">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olor w:val="auto"/>
                <w:sz w:val="24"/>
                <w:szCs w:val="24"/>
                <w:highlight w:val="none"/>
              </w:rPr>
              <w:t>16178766.94</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ECCA6">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olor w:val="auto"/>
                <w:sz w:val="24"/>
                <w:szCs w:val="24"/>
                <w:highlight w:val="none"/>
              </w:rPr>
              <w:t>17.35元/平方米</w:t>
            </w:r>
          </w:p>
        </w:tc>
      </w:tr>
      <w:tr w14:paraId="69B546EA">
        <w:tblPrEx>
          <w:tblCellMar>
            <w:top w:w="0" w:type="dxa"/>
            <w:left w:w="108" w:type="dxa"/>
            <w:bottom w:w="0" w:type="dxa"/>
            <w:right w:w="108" w:type="dxa"/>
          </w:tblCellMar>
        </w:tblPrEx>
        <w:trPr>
          <w:trHeight w:val="567"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87BAB">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1</w:t>
            </w:r>
            <w:r>
              <w:rPr>
                <w:rFonts w:ascii="仿宋" w:hAnsi="仿宋" w:eastAsia="仿宋" w:cs="仿宋"/>
                <w:color w:val="auto"/>
                <w:kern w:val="0"/>
                <w:sz w:val="24"/>
                <w:szCs w:val="24"/>
                <w:highlight w:val="none"/>
                <w:lang w:bidi="ar"/>
              </w:rPr>
              <w:t>.3</w:t>
            </w:r>
          </w:p>
        </w:tc>
        <w:tc>
          <w:tcPr>
            <w:tcW w:w="34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AE8A7">
            <w:pPr>
              <w:widowControl/>
              <w:jc w:val="center"/>
              <w:textAlignment w:val="center"/>
              <w:rPr>
                <w:rFonts w:hint="eastAsia" w:ascii="仿宋" w:hAnsi="仿宋" w:eastAsia="仿宋" w:cs="仿宋"/>
                <w:color w:val="auto"/>
                <w:kern w:val="0"/>
                <w:sz w:val="24"/>
                <w:szCs w:val="24"/>
                <w:highlight w:val="none"/>
                <w:lang w:bidi="ar"/>
              </w:rPr>
            </w:pPr>
            <w:bookmarkStart w:id="307" w:name="_Hlk154688921"/>
            <w:r>
              <w:rPr>
                <w:rFonts w:hint="eastAsia" w:ascii="仿宋" w:hAnsi="仿宋" w:eastAsia="仿宋"/>
                <w:color w:val="auto"/>
                <w:sz w:val="24"/>
                <w:szCs w:val="24"/>
                <w:highlight w:val="none"/>
              </w:rPr>
              <w:t>村村通道路</w:t>
            </w:r>
            <w:bookmarkEnd w:id="307"/>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ADA0C">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olor w:val="auto"/>
                <w:sz w:val="24"/>
                <w:szCs w:val="24"/>
                <w:highlight w:val="none"/>
              </w:rPr>
              <w:t>3002029.09</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7A7A2">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olor w:val="auto"/>
                <w:sz w:val="24"/>
                <w:szCs w:val="24"/>
                <w:highlight w:val="none"/>
              </w:rPr>
              <w:t>1.05元/平方米</w:t>
            </w:r>
          </w:p>
        </w:tc>
      </w:tr>
      <w:tr w14:paraId="2723BEBE">
        <w:tblPrEx>
          <w:tblCellMar>
            <w:top w:w="0" w:type="dxa"/>
            <w:left w:w="108" w:type="dxa"/>
            <w:bottom w:w="0" w:type="dxa"/>
            <w:right w:w="108" w:type="dxa"/>
          </w:tblCellMar>
        </w:tblPrEx>
        <w:trPr>
          <w:trHeight w:val="567"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D69A6">
            <w:pPr>
              <w:widowControl/>
              <w:jc w:val="center"/>
              <w:textAlignment w:val="center"/>
              <w:rPr>
                <w:rFonts w:hint="eastAsia" w:ascii="仿宋" w:hAnsi="仿宋" w:eastAsia="仿宋" w:cs="仿宋"/>
                <w:color w:val="auto"/>
                <w:sz w:val="24"/>
                <w:szCs w:val="24"/>
                <w:highlight w:val="none"/>
              </w:rPr>
            </w:pPr>
            <w:r>
              <w:rPr>
                <w:rFonts w:ascii="仿宋" w:hAnsi="仿宋" w:eastAsia="仿宋" w:cs="仿宋"/>
                <w:color w:val="auto"/>
                <w:kern w:val="0"/>
                <w:sz w:val="24"/>
                <w:szCs w:val="24"/>
                <w:highlight w:val="none"/>
                <w:lang w:bidi="ar"/>
              </w:rPr>
              <w:t>2</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057D2">
            <w:pPr>
              <w:widowControl/>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生活垃圾收集清运</w:t>
            </w:r>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F0571">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 xml:space="preserve">14452542.35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CCB56">
            <w:pPr>
              <w:widowControl/>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highlight w:val="none"/>
                <w:lang w:bidi="ar"/>
              </w:rPr>
              <w:t>164.98元</w:t>
            </w:r>
            <w:r>
              <w:rPr>
                <w:rFonts w:ascii="仿宋" w:hAnsi="仿宋" w:eastAsia="仿宋" w:cs="仿宋"/>
                <w:color w:val="auto"/>
                <w:kern w:val="0"/>
                <w:sz w:val="24"/>
                <w:highlight w:val="none"/>
                <w:lang w:bidi="ar"/>
              </w:rPr>
              <w:t>/</w:t>
            </w:r>
            <w:r>
              <w:rPr>
                <w:rFonts w:hint="eastAsia" w:ascii="仿宋" w:hAnsi="仿宋" w:eastAsia="仿宋" w:cs="仿宋"/>
                <w:color w:val="auto"/>
                <w:sz w:val="24"/>
                <w:highlight w:val="none"/>
              </w:rPr>
              <w:t>吨</w:t>
            </w:r>
          </w:p>
        </w:tc>
      </w:tr>
      <w:tr w14:paraId="5199BEFC">
        <w:tblPrEx>
          <w:tblCellMar>
            <w:top w:w="0" w:type="dxa"/>
            <w:left w:w="108" w:type="dxa"/>
            <w:bottom w:w="0" w:type="dxa"/>
            <w:right w:w="108" w:type="dxa"/>
          </w:tblCellMar>
        </w:tblPrEx>
        <w:trPr>
          <w:trHeight w:val="567"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0F69F">
            <w:pPr>
              <w:widowControl/>
              <w:jc w:val="center"/>
              <w:textAlignment w:val="center"/>
              <w:rPr>
                <w:rFonts w:hint="eastAsia" w:ascii="仿宋" w:hAnsi="仿宋" w:eastAsia="仿宋" w:cs="仿宋"/>
                <w:color w:val="auto"/>
                <w:sz w:val="24"/>
                <w:szCs w:val="24"/>
                <w:highlight w:val="none"/>
              </w:rPr>
            </w:pPr>
            <w:r>
              <w:rPr>
                <w:rFonts w:ascii="仿宋" w:hAnsi="仿宋" w:eastAsia="仿宋" w:cs="仿宋"/>
                <w:color w:val="auto"/>
                <w:kern w:val="0"/>
                <w:sz w:val="24"/>
                <w:szCs w:val="24"/>
                <w:highlight w:val="none"/>
                <w:lang w:bidi="ar"/>
              </w:rPr>
              <w:t>3</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3F882">
            <w:pPr>
              <w:widowControl/>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公共厕所运维管理</w:t>
            </w:r>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EF6A1">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 xml:space="preserve">1174806.97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778E9">
            <w:pPr>
              <w:widowControl/>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83914.78元</w:t>
            </w:r>
            <w:r>
              <w:rPr>
                <w:rFonts w:ascii="仿宋" w:hAnsi="仿宋" w:eastAsia="仿宋" w:cs="仿宋"/>
                <w:color w:val="auto"/>
                <w:sz w:val="24"/>
                <w:highlight w:val="none"/>
              </w:rPr>
              <w:t>/座</w:t>
            </w:r>
          </w:p>
        </w:tc>
      </w:tr>
      <w:tr w14:paraId="4356BBDF">
        <w:tblPrEx>
          <w:tblCellMar>
            <w:top w:w="0" w:type="dxa"/>
            <w:left w:w="108" w:type="dxa"/>
            <w:bottom w:w="0" w:type="dxa"/>
            <w:right w:w="108" w:type="dxa"/>
          </w:tblCellMar>
        </w:tblPrEx>
        <w:trPr>
          <w:trHeight w:val="567"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20FEE">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4.1</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36E6D">
            <w:pPr>
              <w:widowControl/>
              <w:jc w:val="center"/>
              <w:textAlignment w:val="center"/>
              <w:rPr>
                <w:rFonts w:hint="eastAsia" w:ascii="仿宋" w:hAnsi="仿宋" w:eastAsia="仿宋"/>
                <w:color w:val="auto"/>
                <w:sz w:val="24"/>
                <w:szCs w:val="24"/>
                <w:highlight w:val="none"/>
              </w:rPr>
            </w:pPr>
            <w:r>
              <w:rPr>
                <w:rFonts w:hint="eastAsia" w:ascii="仿宋" w:hAnsi="仿宋" w:eastAsia="仿宋"/>
                <w:color w:val="auto"/>
                <w:sz w:val="24"/>
                <w:szCs w:val="24"/>
                <w:highlight w:val="none"/>
                <w:lang w:bidi="ar"/>
              </w:rPr>
              <w:t>新增（加宽）村村通道路</w:t>
            </w:r>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34DB1">
            <w:pPr>
              <w:widowControl/>
              <w:jc w:val="center"/>
              <w:textAlignment w:val="center"/>
              <w:rPr>
                <w:rFonts w:hint="eastAsia" w:ascii="仿宋" w:hAnsi="仿宋" w:eastAsia="仿宋"/>
                <w:color w:val="auto"/>
                <w:sz w:val="24"/>
                <w:szCs w:val="24"/>
                <w:highlight w:val="none"/>
              </w:rPr>
            </w:pPr>
            <w:r>
              <w:rPr>
                <w:rFonts w:hint="eastAsia" w:ascii="仿宋" w:hAnsi="仿宋" w:eastAsia="仿宋"/>
                <w:color w:val="auto"/>
                <w:sz w:val="24"/>
                <w:szCs w:val="24"/>
                <w:highlight w:val="none"/>
              </w:rPr>
              <w:t>117479.47</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7F08B">
            <w:pPr>
              <w:widowControl/>
              <w:jc w:val="center"/>
              <w:textAlignment w:val="center"/>
              <w:rPr>
                <w:rFonts w:hint="eastAsia" w:ascii="仿宋" w:hAnsi="仿宋" w:eastAsia="仿宋"/>
                <w:color w:val="auto"/>
                <w:sz w:val="24"/>
                <w:szCs w:val="24"/>
                <w:highlight w:val="none"/>
              </w:rPr>
            </w:pPr>
            <w:r>
              <w:rPr>
                <w:rFonts w:hint="eastAsia" w:ascii="仿宋" w:hAnsi="仿宋" w:eastAsia="仿宋"/>
                <w:color w:val="auto"/>
                <w:sz w:val="24"/>
                <w:szCs w:val="24"/>
                <w:highlight w:val="none"/>
              </w:rPr>
              <w:t>1.05元/平方米</w:t>
            </w:r>
          </w:p>
        </w:tc>
      </w:tr>
      <w:tr w14:paraId="17A62269">
        <w:tblPrEx>
          <w:tblCellMar>
            <w:top w:w="0" w:type="dxa"/>
            <w:left w:w="108" w:type="dxa"/>
            <w:bottom w:w="0" w:type="dxa"/>
            <w:right w:w="108" w:type="dxa"/>
          </w:tblCellMar>
        </w:tblPrEx>
        <w:trPr>
          <w:trHeight w:val="567"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DE9DB">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4.2</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836A9">
            <w:pPr>
              <w:widowControl/>
              <w:jc w:val="center"/>
              <w:textAlignment w:val="center"/>
              <w:rPr>
                <w:rFonts w:hint="eastAsia" w:ascii="仿宋" w:hAnsi="仿宋" w:eastAsia="仿宋"/>
                <w:color w:val="auto"/>
                <w:sz w:val="24"/>
                <w:szCs w:val="24"/>
                <w:highlight w:val="none"/>
              </w:rPr>
            </w:pPr>
            <w:r>
              <w:rPr>
                <w:rFonts w:hint="eastAsia" w:ascii="仿宋" w:hAnsi="仿宋" w:eastAsia="仿宋"/>
                <w:color w:val="auto"/>
                <w:sz w:val="24"/>
                <w:szCs w:val="24"/>
                <w:highlight w:val="none"/>
                <w:lang w:bidi="ar"/>
              </w:rPr>
              <w:t>新增镇墟道路</w:t>
            </w:r>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03712">
            <w:pPr>
              <w:widowControl/>
              <w:jc w:val="center"/>
              <w:textAlignment w:val="center"/>
              <w:rPr>
                <w:rFonts w:hint="eastAsia" w:ascii="仿宋" w:hAnsi="仿宋" w:eastAsia="仿宋"/>
                <w:color w:val="auto"/>
                <w:sz w:val="24"/>
                <w:szCs w:val="24"/>
                <w:highlight w:val="none"/>
                <w:lang w:eastAsia="zh-CN"/>
              </w:rPr>
            </w:pPr>
            <w:r>
              <w:rPr>
                <w:rFonts w:hint="eastAsia" w:ascii="仿宋" w:hAnsi="仿宋" w:eastAsia="仿宋"/>
                <w:color w:val="auto"/>
                <w:sz w:val="24"/>
                <w:szCs w:val="24"/>
                <w:highlight w:val="none"/>
                <w:lang w:eastAsia="zh-CN"/>
              </w:rPr>
              <w:t>1144727.53</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7BD8F">
            <w:pPr>
              <w:widowControl/>
              <w:jc w:val="center"/>
              <w:textAlignment w:val="center"/>
              <w:rPr>
                <w:rFonts w:hint="eastAsia" w:ascii="仿宋" w:hAnsi="仿宋" w:eastAsia="仿宋"/>
                <w:color w:val="auto"/>
                <w:sz w:val="24"/>
                <w:szCs w:val="24"/>
                <w:highlight w:val="none"/>
              </w:rPr>
            </w:pPr>
            <w:r>
              <w:rPr>
                <w:rFonts w:hint="eastAsia" w:ascii="仿宋" w:hAnsi="仿宋" w:eastAsia="仿宋"/>
                <w:color w:val="auto"/>
                <w:sz w:val="24"/>
                <w:szCs w:val="24"/>
                <w:highlight w:val="none"/>
              </w:rPr>
              <w:t>6.01元/平方米</w:t>
            </w:r>
          </w:p>
        </w:tc>
      </w:tr>
      <w:tr w14:paraId="4CEF48D8">
        <w:tblPrEx>
          <w:tblCellMar>
            <w:top w:w="0" w:type="dxa"/>
            <w:left w:w="108" w:type="dxa"/>
            <w:bottom w:w="0" w:type="dxa"/>
            <w:right w:w="108" w:type="dxa"/>
          </w:tblCellMar>
        </w:tblPrEx>
        <w:trPr>
          <w:trHeight w:val="567"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74630">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4.3</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50ECE">
            <w:pPr>
              <w:widowControl/>
              <w:jc w:val="center"/>
              <w:textAlignment w:val="center"/>
              <w:rPr>
                <w:rFonts w:hint="eastAsia" w:ascii="仿宋" w:hAnsi="仿宋" w:eastAsia="仿宋"/>
                <w:color w:val="auto"/>
                <w:sz w:val="24"/>
                <w:szCs w:val="24"/>
                <w:highlight w:val="none"/>
                <w:lang w:bidi="ar"/>
              </w:rPr>
            </w:pPr>
            <w:r>
              <w:rPr>
                <w:rFonts w:hint="eastAsia" w:ascii="仿宋" w:hAnsi="仿宋" w:eastAsia="仿宋"/>
                <w:color w:val="auto"/>
                <w:sz w:val="24"/>
                <w:szCs w:val="24"/>
                <w:highlight w:val="none"/>
                <w:lang w:bidi="ar"/>
              </w:rPr>
              <w:t>新增保税区空港片区道路</w:t>
            </w:r>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774F6">
            <w:pPr>
              <w:widowControl/>
              <w:jc w:val="center"/>
              <w:textAlignment w:val="center"/>
              <w:rPr>
                <w:rFonts w:hint="eastAsia" w:ascii="仿宋" w:hAnsi="仿宋" w:eastAsia="仿宋"/>
                <w:color w:val="auto"/>
                <w:sz w:val="24"/>
                <w:szCs w:val="24"/>
                <w:highlight w:val="none"/>
              </w:rPr>
            </w:pPr>
            <w:r>
              <w:rPr>
                <w:rFonts w:hint="eastAsia" w:ascii="仿宋" w:hAnsi="仿宋" w:eastAsia="仿宋"/>
                <w:color w:val="auto"/>
                <w:sz w:val="24"/>
                <w:szCs w:val="24"/>
                <w:highlight w:val="none"/>
              </w:rPr>
              <w:t>186138.55</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AD515">
            <w:pPr>
              <w:widowControl/>
              <w:jc w:val="center"/>
              <w:textAlignment w:val="center"/>
              <w:rPr>
                <w:rFonts w:hint="eastAsia" w:ascii="仿宋" w:hAnsi="仿宋" w:eastAsia="仿宋"/>
                <w:color w:val="auto"/>
                <w:sz w:val="24"/>
                <w:szCs w:val="24"/>
                <w:highlight w:val="none"/>
              </w:rPr>
            </w:pPr>
            <w:r>
              <w:rPr>
                <w:rFonts w:hint="eastAsia" w:ascii="仿宋" w:hAnsi="仿宋" w:eastAsia="仿宋"/>
                <w:color w:val="auto"/>
                <w:sz w:val="24"/>
                <w:szCs w:val="24"/>
                <w:highlight w:val="none"/>
              </w:rPr>
              <w:t>6.01元/平方米</w:t>
            </w:r>
          </w:p>
        </w:tc>
      </w:tr>
      <w:tr w14:paraId="07AEB8AE">
        <w:tblPrEx>
          <w:tblCellMar>
            <w:top w:w="0" w:type="dxa"/>
            <w:left w:w="108" w:type="dxa"/>
            <w:bottom w:w="0" w:type="dxa"/>
            <w:right w:w="108" w:type="dxa"/>
          </w:tblCellMar>
        </w:tblPrEx>
        <w:trPr>
          <w:trHeight w:val="567"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62A4C">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4.4</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7E264">
            <w:pPr>
              <w:widowControl/>
              <w:jc w:val="center"/>
              <w:textAlignment w:val="center"/>
              <w:rPr>
                <w:rFonts w:hint="eastAsia" w:ascii="仿宋" w:hAnsi="仿宋" w:eastAsia="仿宋"/>
                <w:color w:val="auto"/>
                <w:sz w:val="24"/>
                <w:szCs w:val="24"/>
                <w:highlight w:val="none"/>
                <w:lang w:bidi="ar"/>
              </w:rPr>
            </w:pPr>
            <w:r>
              <w:rPr>
                <w:rFonts w:hint="eastAsia" w:ascii="仿宋" w:hAnsi="仿宋" w:eastAsia="仿宋"/>
                <w:color w:val="auto"/>
                <w:sz w:val="24"/>
                <w:szCs w:val="24"/>
                <w:highlight w:val="none"/>
                <w:lang w:bidi="ar"/>
              </w:rPr>
              <w:t>新增保税区空港片区其他面积</w:t>
            </w:r>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2250A">
            <w:pPr>
              <w:widowControl/>
              <w:jc w:val="center"/>
              <w:textAlignment w:val="center"/>
              <w:rPr>
                <w:rFonts w:hint="eastAsia" w:ascii="仿宋" w:hAnsi="仿宋" w:eastAsia="仿宋"/>
                <w:color w:val="auto"/>
                <w:sz w:val="24"/>
                <w:szCs w:val="24"/>
                <w:highlight w:val="none"/>
              </w:rPr>
            </w:pPr>
            <w:r>
              <w:rPr>
                <w:rFonts w:hint="eastAsia" w:ascii="仿宋" w:hAnsi="仿宋" w:eastAsia="仿宋"/>
                <w:color w:val="auto"/>
                <w:sz w:val="24"/>
                <w:szCs w:val="24"/>
                <w:highlight w:val="none"/>
              </w:rPr>
              <w:t>886552.83</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09B8A">
            <w:pPr>
              <w:widowControl/>
              <w:jc w:val="center"/>
              <w:textAlignment w:val="center"/>
              <w:rPr>
                <w:rFonts w:hint="eastAsia" w:ascii="仿宋" w:hAnsi="仿宋" w:eastAsia="仿宋"/>
                <w:color w:val="auto"/>
                <w:sz w:val="24"/>
                <w:szCs w:val="24"/>
                <w:highlight w:val="none"/>
              </w:rPr>
            </w:pPr>
            <w:r>
              <w:rPr>
                <w:rFonts w:hint="eastAsia" w:ascii="仿宋" w:hAnsi="仿宋" w:eastAsia="仿宋"/>
                <w:color w:val="auto"/>
                <w:sz w:val="24"/>
                <w:szCs w:val="24"/>
                <w:highlight w:val="none"/>
              </w:rPr>
              <w:t>17.35元/平方米</w:t>
            </w:r>
          </w:p>
        </w:tc>
      </w:tr>
      <w:tr w14:paraId="20C313C6">
        <w:tblPrEx>
          <w:tblCellMar>
            <w:top w:w="0" w:type="dxa"/>
            <w:left w:w="108" w:type="dxa"/>
            <w:bottom w:w="0" w:type="dxa"/>
            <w:right w:w="108" w:type="dxa"/>
          </w:tblCellMar>
        </w:tblPrEx>
        <w:trPr>
          <w:trHeight w:val="567"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44840">
            <w:pPr>
              <w:widowControl/>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5</w:t>
            </w:r>
          </w:p>
        </w:tc>
        <w:tc>
          <w:tcPr>
            <w:tcW w:w="3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4BF6D">
            <w:pPr>
              <w:widowControl/>
              <w:jc w:val="center"/>
              <w:textAlignment w:val="center"/>
              <w:rPr>
                <w:rFonts w:hint="eastAsia" w:ascii="仿宋" w:hAnsi="仿宋" w:eastAsia="仿宋"/>
                <w:color w:val="auto"/>
                <w:sz w:val="24"/>
                <w:szCs w:val="24"/>
                <w:highlight w:val="none"/>
                <w:lang w:bidi="ar"/>
              </w:rPr>
            </w:pPr>
            <w:r>
              <w:rPr>
                <w:rFonts w:hint="eastAsia" w:ascii="仿宋" w:hAnsi="仿宋" w:eastAsia="仿宋"/>
                <w:color w:val="auto"/>
                <w:sz w:val="24"/>
                <w:szCs w:val="24"/>
                <w:highlight w:val="none"/>
                <w:lang w:bidi="ar"/>
              </w:rPr>
              <w:t>核减村村通道路</w:t>
            </w:r>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0C4D7">
            <w:pPr>
              <w:widowControl/>
              <w:jc w:val="center"/>
              <w:textAlignment w:val="center"/>
              <w:rPr>
                <w:rFonts w:hint="eastAsia" w:ascii="仿宋" w:hAnsi="仿宋" w:eastAsia="仿宋"/>
                <w:color w:val="auto"/>
                <w:sz w:val="24"/>
                <w:szCs w:val="24"/>
                <w:highlight w:val="none"/>
              </w:rPr>
            </w:pPr>
            <w:r>
              <w:rPr>
                <w:rFonts w:hint="eastAsia" w:ascii="仿宋" w:hAnsi="仿宋" w:eastAsia="仿宋"/>
                <w:color w:val="auto"/>
                <w:sz w:val="24"/>
                <w:szCs w:val="24"/>
                <w:highlight w:val="none"/>
              </w:rPr>
              <w:t>2052.76</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C92D7">
            <w:pPr>
              <w:widowControl/>
              <w:jc w:val="center"/>
              <w:textAlignment w:val="center"/>
              <w:rPr>
                <w:rFonts w:hint="eastAsia" w:ascii="仿宋" w:hAnsi="仿宋" w:eastAsia="仿宋"/>
                <w:color w:val="auto"/>
                <w:sz w:val="24"/>
                <w:szCs w:val="24"/>
                <w:highlight w:val="none"/>
              </w:rPr>
            </w:pPr>
            <w:r>
              <w:rPr>
                <w:rFonts w:hint="eastAsia" w:ascii="仿宋" w:hAnsi="仿宋" w:eastAsia="仿宋"/>
                <w:color w:val="auto"/>
                <w:sz w:val="24"/>
                <w:szCs w:val="24"/>
                <w:highlight w:val="none"/>
              </w:rPr>
              <w:t>1.05元/平方米</w:t>
            </w:r>
          </w:p>
        </w:tc>
      </w:tr>
    </w:tbl>
    <w:p w14:paraId="4C694633">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bookmarkStart w:id="308" w:name="_Toc3012"/>
      <w:bookmarkStart w:id="309" w:name="_Toc12988"/>
      <w:bookmarkStart w:id="310" w:name="_Toc19029"/>
      <w:bookmarkStart w:id="311" w:name="_Toc23684"/>
      <w:bookmarkStart w:id="312" w:name="_Toc30397"/>
      <w:bookmarkStart w:id="313" w:name="_Toc1520"/>
      <w:bookmarkStart w:id="314" w:name="_Toc17965"/>
      <w:bookmarkStart w:id="315" w:name="_Toc5256"/>
      <w:bookmarkStart w:id="316" w:name="_Toc23478"/>
      <w:bookmarkStart w:id="317" w:name="_Toc26848"/>
      <w:bookmarkStart w:id="318" w:name="_Toc17839"/>
      <w:bookmarkStart w:id="319" w:name="_Toc30613"/>
      <w:bookmarkStart w:id="320" w:name="_Toc83"/>
      <w:bookmarkStart w:id="321" w:name="_Toc15721"/>
      <w:bookmarkStart w:id="322" w:name="_Toc1022"/>
      <w:bookmarkStart w:id="323" w:name="_Toc22861"/>
      <w:bookmarkStart w:id="324" w:name="_Toc18805"/>
      <w:bookmarkStart w:id="325" w:name="_Toc162431567"/>
      <w:bookmarkStart w:id="326" w:name="_Toc11088"/>
      <w:bookmarkStart w:id="327" w:name="_Toc29507"/>
      <w:r>
        <w:rPr>
          <w:rFonts w:hint="eastAsia" w:ascii="仿宋" w:hAnsi="仿宋" w:eastAsia="仿宋" w:cs="Times New Roman"/>
          <w:i w:val="0"/>
          <w:iCs/>
          <w:color w:val="auto"/>
          <w:kern w:val="2"/>
          <w:sz w:val="28"/>
          <w:szCs w:val="28"/>
          <w:u w:val="none"/>
          <w:lang w:val="en-US" w:eastAsia="zh-CN" w:bidi="ar-SA"/>
        </w:rPr>
        <w:t>（一）道路及公共区域清扫保洁</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8FD2205">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道路及公共区域清扫保洁初始面积为4557218.99㎡，新增面积为384740.88㎡（面积增减以测绘报告为准），核减面积为1958㎡，合计面积为4940001.87㎡。道路及公共区域清扫保洁年运营经费总计26086519.70元（初始道路及公共区域清扫保洁年运营经费为23753674.07元，新增部分年运营经费为2334898.39元，核减部分年运营经费为2052.76元），综合单价为5.21元/平方米（镇墟道路单价为6.01元/平方米，镇墟其他道路单价为17.35元/平方米，村村通道路单价为1.05元/平方米）。</w:t>
      </w:r>
    </w:p>
    <w:p w14:paraId="3A88FD1E">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bookmarkStart w:id="328" w:name="_Toc28142"/>
      <w:bookmarkStart w:id="329" w:name="_Toc28857"/>
      <w:bookmarkStart w:id="330" w:name="_Toc11530"/>
      <w:bookmarkStart w:id="331" w:name="_Toc9074"/>
      <w:bookmarkStart w:id="332" w:name="_Toc2439"/>
      <w:bookmarkStart w:id="333" w:name="_Toc162431568"/>
      <w:bookmarkStart w:id="334" w:name="_Toc19521"/>
      <w:bookmarkStart w:id="335" w:name="_Toc7262"/>
      <w:bookmarkStart w:id="336" w:name="_Toc9981"/>
      <w:bookmarkStart w:id="337" w:name="_Toc6553"/>
      <w:bookmarkStart w:id="338" w:name="_Toc5869"/>
      <w:bookmarkStart w:id="339" w:name="_Toc12669"/>
      <w:bookmarkStart w:id="340" w:name="_Toc16899"/>
      <w:bookmarkStart w:id="341" w:name="_Toc29419"/>
      <w:bookmarkStart w:id="342" w:name="_Toc2389"/>
      <w:bookmarkStart w:id="343" w:name="_Toc15988"/>
      <w:bookmarkStart w:id="344" w:name="_Toc7901"/>
      <w:bookmarkStart w:id="345" w:name="_Toc10864"/>
      <w:bookmarkStart w:id="346" w:name="_Toc7854"/>
      <w:bookmarkStart w:id="347" w:name="_Toc5982"/>
      <w:r>
        <w:rPr>
          <w:rFonts w:hint="eastAsia" w:ascii="仿宋" w:hAnsi="仿宋" w:eastAsia="仿宋" w:cs="Times New Roman"/>
          <w:i w:val="0"/>
          <w:iCs/>
          <w:color w:val="auto"/>
          <w:kern w:val="2"/>
          <w:sz w:val="28"/>
          <w:szCs w:val="28"/>
          <w:u w:val="none"/>
          <w:lang w:val="en-US" w:eastAsia="zh-CN" w:bidi="ar-SA"/>
        </w:rPr>
        <w:t>（二）生活垃圾收集清运</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66D0CAAB">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生活垃圾清运量约240吨/日，生活垃圾清运年运营经费总计14452542.35元，综合单价为164.98元/吨。</w:t>
      </w:r>
    </w:p>
    <w:p w14:paraId="54538478">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bookmarkStart w:id="348" w:name="_Toc50"/>
      <w:bookmarkStart w:id="349" w:name="_Toc10414"/>
      <w:bookmarkStart w:id="350" w:name="_Toc22653"/>
      <w:bookmarkStart w:id="351" w:name="_Toc13078"/>
      <w:bookmarkStart w:id="352" w:name="_Toc6512"/>
      <w:bookmarkStart w:id="353" w:name="_Toc162431569"/>
      <w:bookmarkStart w:id="354" w:name="_Toc13456"/>
      <w:bookmarkStart w:id="355" w:name="_Toc23141"/>
      <w:bookmarkStart w:id="356" w:name="_Toc29660"/>
      <w:bookmarkStart w:id="357" w:name="_Toc8546"/>
      <w:bookmarkStart w:id="358" w:name="_Toc22047"/>
      <w:bookmarkStart w:id="359" w:name="_Toc4869"/>
      <w:bookmarkStart w:id="360" w:name="_Toc16727"/>
      <w:bookmarkStart w:id="361" w:name="_Toc27761"/>
      <w:bookmarkStart w:id="362" w:name="_Toc27194"/>
      <w:bookmarkStart w:id="363" w:name="_Toc21956"/>
      <w:bookmarkStart w:id="364" w:name="_Toc20208"/>
      <w:bookmarkStart w:id="365" w:name="_Toc21133"/>
      <w:bookmarkStart w:id="366" w:name="_Toc29101"/>
      <w:bookmarkStart w:id="367" w:name="_Toc31130"/>
      <w:r>
        <w:rPr>
          <w:rFonts w:hint="eastAsia" w:ascii="仿宋" w:hAnsi="仿宋" w:eastAsia="仿宋" w:cs="Times New Roman"/>
          <w:i w:val="0"/>
          <w:iCs/>
          <w:color w:val="auto"/>
          <w:kern w:val="2"/>
          <w:sz w:val="28"/>
          <w:szCs w:val="28"/>
          <w:u w:val="none"/>
          <w:lang w:val="en-US" w:eastAsia="zh-CN" w:bidi="ar-SA"/>
        </w:rPr>
        <w:t>（三）公共厕所运维管理</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2085955C">
      <w:pPr>
        <w:spacing w:line="360" w:lineRule="auto"/>
        <w:ind w:firstLine="560" w:firstLineChars="200"/>
        <w:jc w:val="left"/>
        <w:rPr>
          <w:rFonts w:ascii="仿宋" w:hAnsi="仿宋" w:eastAsia="仿宋"/>
          <w:i/>
          <w:color w:val="auto"/>
          <w:sz w:val="28"/>
          <w:szCs w:val="28"/>
          <w:u w:val="single"/>
        </w:rPr>
      </w:pPr>
      <w:r>
        <w:rPr>
          <w:rFonts w:hint="eastAsia" w:ascii="仿宋" w:hAnsi="仿宋" w:eastAsia="仿宋" w:cs="Times New Roman"/>
          <w:i w:val="0"/>
          <w:iCs/>
          <w:color w:val="auto"/>
          <w:kern w:val="2"/>
          <w:sz w:val="28"/>
          <w:szCs w:val="28"/>
          <w:u w:val="none"/>
          <w:lang w:val="en-US" w:eastAsia="zh-CN" w:bidi="ar-SA"/>
        </w:rPr>
        <w:t>公共厕所共计14座，公共厕所运维管理年运营经费总计1174806.97元，综合单价83914.78元/座。</w:t>
      </w:r>
    </w:p>
    <w:p w14:paraId="34082E2C">
      <w:pPr>
        <w:spacing w:line="360" w:lineRule="auto"/>
        <w:jc w:val="left"/>
        <w:rPr>
          <w:rFonts w:hint="eastAsia" w:ascii="仿宋_GB2312" w:hAnsi="仿宋" w:eastAsia="仿宋_GB2312"/>
          <w:b/>
          <w:bCs/>
          <w:color w:val="auto"/>
          <w:sz w:val="28"/>
          <w:szCs w:val="28"/>
        </w:rPr>
      </w:pPr>
      <w:r>
        <w:rPr>
          <w:rFonts w:hint="eastAsia" w:hAnsi="仿宋"/>
          <w:b/>
          <w:bCs/>
          <w:color w:val="auto"/>
          <w:sz w:val="28"/>
          <w:szCs w:val="28"/>
          <w:lang w:val="en-US" w:eastAsia="zh-CN"/>
        </w:rPr>
        <w:t>八、其他</w:t>
      </w:r>
      <w:r>
        <w:rPr>
          <w:rFonts w:hint="eastAsia" w:ascii="仿宋_GB2312" w:hAnsi="仿宋" w:eastAsia="仿宋_GB2312"/>
          <w:b/>
          <w:bCs/>
          <w:color w:val="auto"/>
          <w:sz w:val="28"/>
          <w:szCs w:val="28"/>
        </w:rPr>
        <w:t>商务要求</w:t>
      </w:r>
    </w:p>
    <w:p w14:paraId="54C620AB">
      <w:pPr>
        <w:spacing w:line="360" w:lineRule="auto"/>
        <w:ind w:firstLine="560" w:firstLineChars="200"/>
        <w:jc w:val="left"/>
        <w:rPr>
          <w:rFonts w:hint="eastAsia" w:ascii="仿宋" w:hAnsi="仿宋" w:eastAsia="仿宋" w:cs="Times New Roman"/>
          <w:b w:val="0"/>
          <w:bCs w:val="0"/>
          <w:i w:val="0"/>
          <w:iCs/>
          <w:color w:val="auto"/>
          <w:sz w:val="28"/>
          <w:szCs w:val="28"/>
          <w:u w:val="single"/>
          <w:lang w:val="en-US" w:eastAsia="zh-CN"/>
        </w:rPr>
      </w:pPr>
      <w:r>
        <w:rPr>
          <w:rFonts w:hint="eastAsia" w:ascii="仿宋" w:hAnsi="仿宋" w:eastAsia="仿宋" w:cs="Times New Roman"/>
          <w:b w:val="0"/>
          <w:bCs w:val="0"/>
          <w:i w:val="0"/>
          <w:iCs/>
          <w:color w:val="auto"/>
          <w:sz w:val="28"/>
          <w:szCs w:val="28"/>
          <w:u w:val="none"/>
          <w:lang w:val="en-US" w:eastAsia="zh-CN"/>
        </w:rPr>
        <w:t>1.合同履行期限（服务期）</w:t>
      </w:r>
      <w:r>
        <w:rPr>
          <w:rFonts w:hint="eastAsia" w:ascii="仿宋" w:hAnsi="仿宋" w:eastAsia="仿宋" w:cs="Times New Roman"/>
          <w:b w:val="0"/>
          <w:bCs w:val="0"/>
          <w:i w:val="0"/>
          <w:iCs/>
          <w:color w:val="auto"/>
          <w:sz w:val="28"/>
          <w:szCs w:val="28"/>
          <w:u w:val="single"/>
          <w:lang w:val="en-US" w:eastAsia="zh-CN"/>
        </w:rPr>
        <w:t>：3年</w:t>
      </w:r>
    </w:p>
    <w:p w14:paraId="13EEDDE5">
      <w:pPr>
        <w:spacing w:line="360" w:lineRule="auto"/>
        <w:ind w:firstLine="560" w:firstLineChars="200"/>
        <w:jc w:val="left"/>
        <w:rPr>
          <w:rFonts w:hint="eastAsia" w:ascii="仿宋" w:hAnsi="仿宋" w:eastAsia="仿宋" w:cs="Times New Roman"/>
          <w:i/>
          <w:color w:val="auto"/>
          <w:sz w:val="28"/>
          <w:szCs w:val="28"/>
          <w:u w:val="single"/>
          <w:lang w:val="en-US" w:eastAsia="zh-CN"/>
        </w:rPr>
      </w:pPr>
      <w:r>
        <w:rPr>
          <w:rFonts w:hint="eastAsia" w:ascii="仿宋" w:hAnsi="仿宋" w:eastAsia="仿宋" w:cs="Times New Roman"/>
          <w:b w:val="0"/>
          <w:bCs w:val="0"/>
          <w:i w:val="0"/>
          <w:iCs/>
          <w:color w:val="auto"/>
          <w:sz w:val="28"/>
          <w:szCs w:val="28"/>
          <w:u w:val="single"/>
          <w:lang w:val="en-US" w:eastAsia="zh-CN"/>
        </w:rPr>
        <w:t>备注：一签三年（一年合同金额为4171.386901万元，三年合同金额合计12514.160703万元）</w:t>
      </w:r>
    </w:p>
    <w:p w14:paraId="1365FF32">
      <w:pPr>
        <w:pStyle w:val="8"/>
        <w:numPr>
          <w:ilvl w:val="0"/>
          <w:numId w:val="0"/>
        </w:numPr>
        <w:spacing w:line="360" w:lineRule="auto"/>
        <w:ind w:leftChars="200"/>
        <w:rPr>
          <w:rFonts w:hint="eastAsia" w:ascii="仿宋" w:hAnsi="仿宋" w:eastAsia="仿宋" w:cs="Times New Roman"/>
          <w:b w:val="0"/>
          <w:bCs w:val="0"/>
          <w:i w:val="0"/>
          <w:iCs/>
          <w:color w:val="auto"/>
          <w:sz w:val="28"/>
          <w:szCs w:val="28"/>
          <w:u w:val="none"/>
          <w:lang w:val="en-US" w:eastAsia="zh-CN"/>
        </w:rPr>
      </w:pPr>
      <w:r>
        <w:rPr>
          <w:rFonts w:hint="eastAsia" w:ascii="仿宋" w:hAnsi="仿宋" w:cs="Times New Roman"/>
          <w:b w:val="0"/>
          <w:bCs w:val="0"/>
          <w:i w:val="0"/>
          <w:iCs/>
          <w:color w:val="auto"/>
          <w:sz w:val="28"/>
          <w:szCs w:val="28"/>
          <w:u w:val="none"/>
          <w:lang w:val="en-US" w:eastAsia="zh-CN"/>
        </w:rPr>
        <w:t>2.</w:t>
      </w:r>
      <w:r>
        <w:rPr>
          <w:rFonts w:hint="eastAsia" w:ascii="仿宋" w:hAnsi="仿宋" w:eastAsia="仿宋" w:cs="Times New Roman"/>
          <w:b w:val="0"/>
          <w:bCs w:val="0"/>
          <w:i w:val="0"/>
          <w:iCs/>
          <w:color w:val="auto"/>
          <w:sz w:val="28"/>
          <w:szCs w:val="28"/>
          <w:u w:val="none"/>
          <w:lang w:val="en-US" w:eastAsia="zh-CN"/>
        </w:rPr>
        <w:t>项目实施范围：</w:t>
      </w:r>
    </w:p>
    <w:p w14:paraId="26C15441">
      <w:pPr>
        <w:pStyle w:val="8"/>
        <w:numPr>
          <w:ilvl w:val="0"/>
          <w:numId w:val="0"/>
        </w:numPr>
        <w:spacing w:line="360" w:lineRule="auto"/>
        <w:ind w:leftChars="200"/>
        <w:rPr>
          <w:rFonts w:hint="eastAsia" w:ascii="仿宋" w:hAnsi="仿宋" w:eastAsia="仿宋" w:cs="Times New Roman"/>
          <w:b w:val="0"/>
          <w:bCs w:val="0"/>
          <w:i w:val="0"/>
          <w:iCs/>
          <w:color w:val="auto"/>
          <w:kern w:val="2"/>
          <w:sz w:val="28"/>
          <w:szCs w:val="28"/>
          <w:u w:val="single"/>
          <w:lang w:val="en-US" w:eastAsia="zh-CN" w:bidi="ar-SA"/>
        </w:rPr>
      </w:pPr>
      <w:r>
        <w:rPr>
          <w:rFonts w:hint="eastAsia" w:ascii="仿宋" w:hAnsi="仿宋" w:eastAsia="仿宋" w:cs="Times New Roman"/>
          <w:b w:val="0"/>
          <w:bCs w:val="0"/>
          <w:i w:val="0"/>
          <w:iCs/>
          <w:color w:val="auto"/>
          <w:kern w:val="2"/>
          <w:sz w:val="28"/>
          <w:szCs w:val="28"/>
          <w:u w:val="single"/>
          <w:lang w:val="en-US" w:eastAsia="zh-CN" w:bidi="ar-SA"/>
        </w:rPr>
        <w:t>（1）</w:t>
      </w:r>
      <w:bookmarkStart w:id="368" w:name="_Hlk155369317"/>
      <w:bookmarkStart w:id="369" w:name="_Hlk153926382"/>
      <w:r>
        <w:rPr>
          <w:rFonts w:hint="eastAsia" w:ascii="仿宋" w:hAnsi="仿宋" w:eastAsia="仿宋" w:cs="Times New Roman"/>
          <w:b w:val="0"/>
          <w:bCs w:val="0"/>
          <w:i w:val="0"/>
          <w:iCs/>
          <w:color w:val="auto"/>
          <w:kern w:val="2"/>
          <w:sz w:val="28"/>
          <w:szCs w:val="28"/>
          <w:u w:val="single"/>
          <w:lang w:val="en-US" w:eastAsia="zh-CN" w:bidi="ar-SA"/>
        </w:rPr>
        <w:t>各镇</w:t>
      </w:r>
      <w:bookmarkEnd w:id="368"/>
      <w:bookmarkEnd w:id="369"/>
      <w:r>
        <w:rPr>
          <w:rFonts w:hint="eastAsia" w:ascii="仿宋" w:hAnsi="仿宋" w:eastAsia="仿宋" w:cs="Times New Roman"/>
          <w:b w:val="0"/>
          <w:bCs w:val="0"/>
          <w:i w:val="0"/>
          <w:iCs/>
          <w:color w:val="auto"/>
          <w:kern w:val="2"/>
          <w:sz w:val="28"/>
          <w:szCs w:val="28"/>
          <w:u w:val="single"/>
          <w:lang w:val="en-US" w:eastAsia="zh-CN" w:bidi="ar-SA"/>
        </w:rPr>
        <w:t>镇墟范围内的主要交通干道、“墙到墙”、绿化以及所辖村村通道路的清扫保洁；</w:t>
      </w:r>
    </w:p>
    <w:p w14:paraId="4A547F67">
      <w:pPr>
        <w:pStyle w:val="8"/>
        <w:spacing w:line="360" w:lineRule="auto"/>
        <w:ind w:firstLine="560"/>
        <w:rPr>
          <w:rFonts w:hint="eastAsia" w:ascii="仿宋" w:hAnsi="仿宋" w:eastAsia="仿宋" w:cs="Times New Roman"/>
          <w:b w:val="0"/>
          <w:bCs w:val="0"/>
          <w:i w:val="0"/>
          <w:iCs/>
          <w:color w:val="auto"/>
          <w:kern w:val="2"/>
          <w:sz w:val="28"/>
          <w:szCs w:val="28"/>
          <w:u w:val="single"/>
          <w:lang w:val="en-US" w:eastAsia="zh-CN" w:bidi="ar-SA"/>
        </w:rPr>
      </w:pPr>
      <w:r>
        <w:rPr>
          <w:rFonts w:hint="eastAsia" w:ascii="仿宋" w:hAnsi="仿宋" w:eastAsia="仿宋" w:cs="Times New Roman"/>
          <w:b w:val="0"/>
          <w:bCs w:val="0"/>
          <w:i w:val="0"/>
          <w:iCs/>
          <w:color w:val="auto"/>
          <w:kern w:val="2"/>
          <w:sz w:val="28"/>
          <w:szCs w:val="28"/>
          <w:u w:val="single"/>
          <w:lang w:val="en-US" w:eastAsia="zh-CN" w:bidi="ar-SA"/>
        </w:rPr>
        <w:t>（2）各镇辖区内（含镇墟及农村）的生活垃圾收集清运；</w:t>
      </w:r>
    </w:p>
    <w:p w14:paraId="47DA457A">
      <w:pPr>
        <w:pStyle w:val="8"/>
        <w:spacing w:line="360" w:lineRule="auto"/>
        <w:ind w:firstLine="560"/>
        <w:rPr>
          <w:rFonts w:hint="eastAsia" w:ascii="仿宋" w:hAnsi="仿宋" w:eastAsia="仿宋" w:cs="Times New Roman"/>
          <w:b w:val="0"/>
          <w:bCs w:val="0"/>
          <w:i w:val="0"/>
          <w:iCs/>
          <w:color w:val="auto"/>
          <w:kern w:val="2"/>
          <w:sz w:val="28"/>
          <w:szCs w:val="28"/>
          <w:u w:val="single"/>
          <w:lang w:val="en-US" w:eastAsia="zh-CN" w:bidi="ar-SA"/>
        </w:rPr>
      </w:pPr>
      <w:r>
        <w:rPr>
          <w:rFonts w:hint="eastAsia" w:ascii="仿宋" w:hAnsi="仿宋" w:eastAsia="仿宋" w:cs="Times New Roman"/>
          <w:b w:val="0"/>
          <w:bCs w:val="0"/>
          <w:i w:val="0"/>
          <w:iCs/>
          <w:color w:val="auto"/>
          <w:kern w:val="2"/>
          <w:sz w:val="28"/>
          <w:szCs w:val="28"/>
          <w:u w:val="single"/>
          <w:lang w:val="en-US" w:eastAsia="zh-CN" w:bidi="ar-SA"/>
        </w:rPr>
        <w:t>（3）各镇镇墟范围内公共厕所运维管理；</w:t>
      </w:r>
    </w:p>
    <w:p w14:paraId="1219DD58">
      <w:pPr>
        <w:pStyle w:val="8"/>
        <w:spacing w:line="360" w:lineRule="auto"/>
        <w:ind w:firstLine="560"/>
        <w:rPr>
          <w:rFonts w:hint="eastAsia" w:ascii="仿宋" w:hAnsi="仿宋" w:eastAsia="仿宋" w:cs="Times New Roman"/>
          <w:b w:val="0"/>
          <w:bCs w:val="0"/>
          <w:i w:val="0"/>
          <w:iCs/>
          <w:color w:val="auto"/>
          <w:kern w:val="2"/>
          <w:sz w:val="28"/>
          <w:szCs w:val="28"/>
          <w:u w:val="single"/>
          <w:lang w:val="en-US" w:eastAsia="zh-CN" w:bidi="ar-SA"/>
        </w:rPr>
      </w:pPr>
      <w:r>
        <w:rPr>
          <w:rFonts w:hint="eastAsia" w:ascii="仿宋" w:hAnsi="仿宋" w:eastAsia="仿宋" w:cs="Times New Roman"/>
          <w:b w:val="0"/>
          <w:bCs w:val="0"/>
          <w:i w:val="0"/>
          <w:iCs/>
          <w:color w:val="auto"/>
          <w:kern w:val="2"/>
          <w:sz w:val="28"/>
          <w:szCs w:val="28"/>
          <w:u w:val="single"/>
          <w:lang w:val="en-US" w:eastAsia="zh-CN" w:bidi="ar-SA"/>
        </w:rPr>
        <w:t>（4）特殊情况下的环卫保障。</w:t>
      </w:r>
    </w:p>
    <w:p w14:paraId="36ACBBE9">
      <w:pPr>
        <w:spacing w:line="360" w:lineRule="auto"/>
        <w:ind w:firstLine="560" w:firstLineChars="200"/>
        <w:jc w:val="left"/>
        <w:rPr>
          <w:rFonts w:hint="eastAsia" w:ascii="仿宋" w:hAnsi="仿宋" w:eastAsia="仿宋" w:cs="Times New Roman"/>
          <w:b w:val="0"/>
          <w:bCs w:val="0"/>
          <w:i w:val="0"/>
          <w:iCs/>
          <w:color w:val="auto"/>
          <w:sz w:val="28"/>
          <w:szCs w:val="28"/>
          <w:u w:val="none"/>
          <w:lang w:val="en-US" w:eastAsia="zh-CN"/>
        </w:rPr>
      </w:pPr>
      <w:r>
        <w:rPr>
          <w:rFonts w:hint="eastAsia" w:ascii="仿宋" w:hAnsi="仿宋" w:eastAsia="仿宋" w:cs="Times New Roman"/>
          <w:b w:val="0"/>
          <w:bCs w:val="0"/>
          <w:i w:val="0"/>
          <w:iCs/>
          <w:color w:val="auto"/>
          <w:sz w:val="28"/>
          <w:szCs w:val="28"/>
          <w:u w:val="none"/>
          <w:lang w:val="en-US" w:eastAsia="zh-CN"/>
        </w:rPr>
        <w:t>3.付款条件</w:t>
      </w:r>
    </w:p>
    <w:p w14:paraId="2570F056">
      <w:pPr>
        <w:pStyle w:val="2"/>
        <w:spacing w:line="360" w:lineRule="auto"/>
        <w:rPr>
          <w:rFonts w:hint="eastAsia"/>
          <w:color w:val="auto"/>
          <w:sz w:val="28"/>
          <w:szCs w:val="28"/>
          <w:lang w:val="en-US" w:eastAsia="zh-CN"/>
        </w:rPr>
      </w:pPr>
      <w:r>
        <w:rPr>
          <w:rFonts w:hint="eastAsia"/>
          <w:color w:val="auto"/>
          <w:sz w:val="28"/>
          <w:szCs w:val="28"/>
          <w:lang w:val="en-US" w:eastAsia="zh-CN"/>
        </w:rPr>
        <w:t>区环卫局作为海口市美兰区农村生活垃圾清扫保洁收运等服务监管考核及运营经费支付主体，费用按季度支付。政府实际支付的当季服务费将根据镇墟环卫企业的当季考核结果进行综合调整，各分项作业内容每季度服务费用计算如下：</w:t>
      </w:r>
    </w:p>
    <w:p w14:paraId="1F6B63D7">
      <w:pPr>
        <w:pStyle w:val="2"/>
        <w:spacing w:line="360" w:lineRule="auto"/>
        <w:rPr>
          <w:rFonts w:hint="eastAsia"/>
          <w:color w:val="auto"/>
          <w:sz w:val="28"/>
          <w:szCs w:val="28"/>
          <w:lang w:val="en-US" w:eastAsia="zh-CN"/>
        </w:rPr>
      </w:pPr>
      <w:r>
        <w:rPr>
          <w:rFonts w:hint="eastAsia"/>
          <w:color w:val="auto"/>
          <w:sz w:val="28"/>
          <w:szCs w:val="28"/>
          <w:lang w:val="en-US" w:eastAsia="zh-CN"/>
        </w:rPr>
        <w:t>当季服务费=当季计费道路及公共区域清扫保洁费用+当季垃圾收集清运费用+当季公厕运营管理费用。</w:t>
      </w:r>
    </w:p>
    <w:p w14:paraId="34CA0943">
      <w:pPr>
        <w:pStyle w:val="2"/>
        <w:spacing w:line="360" w:lineRule="auto"/>
        <w:rPr>
          <w:rFonts w:hint="eastAsia"/>
          <w:color w:val="auto"/>
          <w:sz w:val="28"/>
          <w:szCs w:val="28"/>
          <w:lang w:val="en-US" w:eastAsia="zh-CN"/>
        </w:rPr>
      </w:pPr>
      <w:r>
        <w:rPr>
          <w:rFonts w:hint="eastAsia"/>
          <w:color w:val="auto"/>
          <w:sz w:val="28"/>
          <w:szCs w:val="28"/>
          <w:lang w:val="en-US" w:eastAsia="zh-CN"/>
        </w:rPr>
        <w:t>各部分作业内容每季度服务费用如下：</w:t>
      </w:r>
    </w:p>
    <w:p w14:paraId="5F4E3978">
      <w:pPr>
        <w:pStyle w:val="2"/>
        <w:spacing w:line="360" w:lineRule="auto"/>
        <w:rPr>
          <w:rFonts w:hint="eastAsia"/>
          <w:color w:val="auto"/>
          <w:sz w:val="28"/>
          <w:szCs w:val="28"/>
          <w:lang w:val="en-US" w:eastAsia="zh-CN"/>
        </w:rPr>
      </w:pPr>
      <w:r>
        <w:rPr>
          <w:rFonts w:hint="eastAsia"/>
          <w:color w:val="auto"/>
          <w:sz w:val="28"/>
          <w:szCs w:val="28"/>
          <w:lang w:val="en-US" w:eastAsia="zh-CN"/>
        </w:rPr>
        <w:t>①清扫保洁服务费=调整后单价×实测面积÷4;</w:t>
      </w:r>
    </w:p>
    <w:p w14:paraId="0B65C669">
      <w:pPr>
        <w:pStyle w:val="2"/>
        <w:spacing w:line="360" w:lineRule="auto"/>
        <w:rPr>
          <w:rFonts w:hint="eastAsia"/>
          <w:color w:val="auto"/>
          <w:sz w:val="28"/>
          <w:szCs w:val="28"/>
          <w:lang w:val="en-US" w:eastAsia="zh-CN"/>
        </w:rPr>
      </w:pPr>
      <w:r>
        <w:rPr>
          <w:rFonts w:hint="eastAsia"/>
          <w:color w:val="auto"/>
          <w:sz w:val="28"/>
          <w:szCs w:val="28"/>
          <w:lang w:val="en-US" w:eastAsia="zh-CN"/>
        </w:rPr>
        <w:t>②垃圾清运服务费=调整后单价×季度垃圾清运吨数;</w:t>
      </w:r>
    </w:p>
    <w:p w14:paraId="52800112">
      <w:pPr>
        <w:pStyle w:val="2"/>
        <w:spacing w:line="360" w:lineRule="auto"/>
        <w:rPr>
          <w:rFonts w:hint="eastAsia"/>
          <w:color w:val="auto"/>
          <w:sz w:val="28"/>
          <w:szCs w:val="28"/>
          <w:lang w:val="en-US" w:eastAsia="zh-CN"/>
        </w:rPr>
      </w:pPr>
      <w:r>
        <w:rPr>
          <w:rFonts w:hint="eastAsia"/>
          <w:color w:val="auto"/>
          <w:sz w:val="28"/>
          <w:szCs w:val="28"/>
          <w:lang w:val="en-US" w:eastAsia="zh-CN"/>
        </w:rPr>
        <w:t>③公厕管理服务费=调整后单价×实际管理公厕个数÷4;</w:t>
      </w:r>
    </w:p>
    <w:p w14:paraId="188CAFF6">
      <w:pPr>
        <w:pStyle w:val="2"/>
        <w:spacing w:line="360" w:lineRule="auto"/>
        <w:rPr>
          <w:rFonts w:hint="eastAsia"/>
          <w:color w:val="auto"/>
          <w:sz w:val="28"/>
          <w:szCs w:val="28"/>
          <w:lang w:val="en-US" w:eastAsia="zh-CN"/>
        </w:rPr>
      </w:pPr>
      <w:r>
        <w:rPr>
          <w:rFonts w:hint="eastAsia"/>
          <w:color w:val="auto"/>
          <w:sz w:val="28"/>
          <w:szCs w:val="28"/>
          <w:lang w:val="en-US" w:eastAsia="zh-CN"/>
        </w:rPr>
        <w:t>当季全额服务费=清扫保洁服务费+垃圾清运服务费+公厕管理服务费；</w:t>
      </w:r>
    </w:p>
    <w:p w14:paraId="41C346E6">
      <w:pPr>
        <w:pStyle w:val="2"/>
        <w:spacing w:line="360" w:lineRule="auto"/>
        <w:rPr>
          <w:rFonts w:hint="eastAsia"/>
          <w:color w:val="auto"/>
          <w:sz w:val="28"/>
          <w:szCs w:val="28"/>
          <w:lang w:val="en-US" w:eastAsia="zh-CN"/>
        </w:rPr>
      </w:pPr>
      <w:r>
        <w:rPr>
          <w:rFonts w:hint="eastAsia"/>
          <w:color w:val="auto"/>
          <w:sz w:val="28"/>
          <w:szCs w:val="28"/>
          <w:lang w:val="en-US" w:eastAsia="zh-CN"/>
        </w:rPr>
        <w:t>如作业范围有调整，相应的经费核算按照辖区作业范围全覆盖的约定执行。</w:t>
      </w:r>
    </w:p>
    <w:p w14:paraId="47F7D90E">
      <w:pPr>
        <w:pStyle w:val="2"/>
        <w:numPr>
          <w:ilvl w:val="0"/>
          <w:numId w:val="1"/>
        </w:numPr>
        <w:spacing w:line="360" w:lineRule="auto"/>
        <w:rPr>
          <w:rFonts w:hint="eastAsia"/>
          <w:color w:val="auto"/>
          <w:sz w:val="28"/>
          <w:szCs w:val="28"/>
          <w:lang w:val="en-US" w:eastAsia="zh-CN"/>
        </w:rPr>
      </w:pPr>
      <w:r>
        <w:rPr>
          <w:rFonts w:hint="eastAsia"/>
          <w:color w:val="auto"/>
          <w:sz w:val="28"/>
          <w:szCs w:val="28"/>
          <w:lang w:val="en-US" w:eastAsia="zh-CN"/>
        </w:rPr>
        <w:t>处罚机制</w:t>
      </w:r>
    </w:p>
    <w:p w14:paraId="529E8605">
      <w:pPr>
        <w:pStyle w:val="2"/>
        <w:numPr>
          <w:ilvl w:val="0"/>
          <w:numId w:val="0"/>
        </w:numPr>
        <w:spacing w:line="360" w:lineRule="auto"/>
        <w:ind w:firstLine="560" w:firstLineChars="200"/>
        <w:rPr>
          <w:rFonts w:hint="default"/>
          <w:color w:val="auto"/>
          <w:sz w:val="28"/>
          <w:szCs w:val="28"/>
          <w:lang w:val="en-US" w:eastAsia="zh-CN"/>
        </w:rPr>
      </w:pPr>
      <w:r>
        <w:rPr>
          <w:rFonts w:hint="default"/>
          <w:color w:val="auto"/>
          <w:sz w:val="28"/>
          <w:szCs w:val="28"/>
          <w:lang w:val="en-US" w:eastAsia="zh-CN"/>
        </w:rPr>
        <w:t>区环卫局依据镇墟环卫企业季度考核得分情况，按季度支付服务费：</w:t>
      </w:r>
    </w:p>
    <w:p w14:paraId="75A140D6">
      <w:pPr>
        <w:pStyle w:val="2"/>
        <w:numPr>
          <w:ilvl w:val="0"/>
          <w:numId w:val="0"/>
        </w:numPr>
        <w:spacing w:line="360" w:lineRule="auto"/>
        <w:ind w:firstLine="560" w:firstLineChars="200"/>
        <w:rPr>
          <w:rFonts w:hint="default"/>
          <w:color w:val="auto"/>
          <w:sz w:val="28"/>
          <w:szCs w:val="28"/>
          <w:lang w:val="en-US" w:eastAsia="zh-CN"/>
        </w:rPr>
      </w:pPr>
      <w:r>
        <w:rPr>
          <w:rFonts w:hint="default"/>
          <w:color w:val="auto"/>
          <w:sz w:val="28"/>
          <w:szCs w:val="28"/>
          <w:lang w:val="en-US" w:eastAsia="zh-CN"/>
        </w:rPr>
        <w:t>（1）镇墟环卫企业当季得分在90分或以上的，全额支付镇墟环卫企业当季服务费；</w:t>
      </w:r>
    </w:p>
    <w:p w14:paraId="3CA6860A">
      <w:pPr>
        <w:pStyle w:val="2"/>
        <w:numPr>
          <w:ilvl w:val="0"/>
          <w:numId w:val="0"/>
        </w:numPr>
        <w:spacing w:line="360" w:lineRule="auto"/>
        <w:ind w:firstLine="560" w:firstLineChars="200"/>
        <w:rPr>
          <w:rFonts w:hint="default"/>
          <w:color w:val="auto"/>
          <w:sz w:val="28"/>
          <w:szCs w:val="28"/>
          <w:lang w:val="en-US" w:eastAsia="zh-CN"/>
        </w:rPr>
      </w:pPr>
      <w:r>
        <w:rPr>
          <w:rFonts w:hint="default"/>
          <w:color w:val="auto"/>
          <w:sz w:val="28"/>
          <w:szCs w:val="28"/>
          <w:lang w:val="en-US" w:eastAsia="zh-CN"/>
        </w:rPr>
        <w:t>（2）镇墟环卫企业当季得分在90分以下的，按照实际得分情况计算核减当季服务费；</w:t>
      </w:r>
    </w:p>
    <w:p w14:paraId="1A88BBA0">
      <w:pPr>
        <w:pStyle w:val="2"/>
        <w:numPr>
          <w:ilvl w:val="0"/>
          <w:numId w:val="0"/>
        </w:numPr>
        <w:spacing w:line="360" w:lineRule="auto"/>
        <w:ind w:firstLine="560" w:firstLineChars="200"/>
        <w:rPr>
          <w:rFonts w:hint="default"/>
          <w:color w:val="auto"/>
          <w:sz w:val="28"/>
          <w:szCs w:val="28"/>
          <w:lang w:val="en-US" w:eastAsia="zh-CN"/>
        </w:rPr>
      </w:pPr>
      <w:r>
        <w:rPr>
          <w:rFonts w:hint="default"/>
          <w:color w:val="auto"/>
          <w:sz w:val="28"/>
          <w:szCs w:val="28"/>
          <w:lang w:val="en-US" w:eastAsia="zh-CN"/>
        </w:rPr>
        <w:t>计算公式为当季服务费=当季全额服务费×[1-（90-当季最终得分）/100];</w:t>
      </w:r>
    </w:p>
    <w:p w14:paraId="3F1845AA">
      <w:pPr>
        <w:pStyle w:val="2"/>
        <w:numPr>
          <w:ilvl w:val="0"/>
          <w:numId w:val="0"/>
        </w:numPr>
        <w:spacing w:line="360" w:lineRule="auto"/>
        <w:ind w:firstLine="560" w:firstLineChars="200"/>
        <w:rPr>
          <w:rFonts w:hint="default"/>
          <w:color w:val="auto"/>
          <w:sz w:val="28"/>
          <w:szCs w:val="28"/>
          <w:lang w:val="en-US" w:eastAsia="zh-CN"/>
        </w:rPr>
      </w:pPr>
      <w:r>
        <w:rPr>
          <w:rFonts w:hint="default"/>
          <w:color w:val="auto"/>
          <w:sz w:val="28"/>
          <w:szCs w:val="28"/>
          <w:lang w:val="en-US" w:eastAsia="zh-CN"/>
        </w:rPr>
        <w:t>（3）在当季季度考核结果未下发前，镇墟环卫企业可依据当季全额服务费的90%向区环卫局申请支付当季服务费预拨款，剩余10%当季服务费作为质量考核保证金，待当季季度考核结果出来后，双方根据考核结果和作业服务费调整核算情况进行结算，如镇墟环卫企业可获得全部当季服务费，则镇墟环卫企业向环境卫生管理局申请支付剩余10%当季服务费，如镇墟环卫企业获得的当季服务费需根据考核结果和作业服务费调整核算情况进行扣减，则从剩余10%当季服务费中进行扣减，每季度一次扣减金额超过10%当季服务费的，在下一季度预拨款中进行差额补齐；</w:t>
      </w:r>
    </w:p>
    <w:p w14:paraId="11A965D0">
      <w:pPr>
        <w:pStyle w:val="2"/>
        <w:numPr>
          <w:ilvl w:val="0"/>
          <w:numId w:val="0"/>
        </w:numPr>
        <w:spacing w:line="360" w:lineRule="auto"/>
        <w:ind w:firstLine="560" w:firstLineChars="200"/>
        <w:rPr>
          <w:rFonts w:hint="default"/>
          <w:color w:val="auto"/>
          <w:sz w:val="28"/>
          <w:szCs w:val="28"/>
          <w:lang w:val="en-US" w:eastAsia="zh-CN"/>
        </w:rPr>
      </w:pPr>
      <w:r>
        <w:rPr>
          <w:rFonts w:hint="default"/>
          <w:color w:val="auto"/>
          <w:sz w:val="28"/>
          <w:szCs w:val="28"/>
          <w:lang w:val="en-US" w:eastAsia="zh-CN"/>
        </w:rPr>
        <w:t>（4）经区环卫局核实，若在某季度内，未经区环卫局批准同意如下事项，则按如下执行：</w:t>
      </w:r>
    </w:p>
    <w:p w14:paraId="6994FB2D">
      <w:pPr>
        <w:pStyle w:val="2"/>
        <w:numPr>
          <w:ilvl w:val="0"/>
          <w:numId w:val="0"/>
        </w:numPr>
        <w:spacing w:line="360" w:lineRule="auto"/>
        <w:ind w:firstLine="560" w:firstLineChars="200"/>
        <w:rPr>
          <w:rFonts w:hint="default"/>
          <w:color w:val="auto"/>
          <w:sz w:val="28"/>
          <w:szCs w:val="28"/>
          <w:lang w:val="en-US" w:eastAsia="zh-CN"/>
        </w:rPr>
      </w:pPr>
      <w:r>
        <w:rPr>
          <w:rFonts w:hint="default"/>
          <w:color w:val="auto"/>
          <w:sz w:val="28"/>
          <w:szCs w:val="28"/>
          <w:lang w:val="en-US" w:eastAsia="zh-CN"/>
        </w:rPr>
        <w:t>①若镇墟环卫企业各月配置的本项目作业人员数量均低于区环卫局批准的作业人员数量，则区环卫局将根据该季度内缺少人数额最小的月份的缺少人员数量，按照2010元/人的标准直接扣减当季度应支付的服务费；</w:t>
      </w:r>
    </w:p>
    <w:p w14:paraId="13CABFE7">
      <w:pPr>
        <w:pStyle w:val="2"/>
        <w:numPr>
          <w:ilvl w:val="0"/>
          <w:numId w:val="0"/>
        </w:numPr>
        <w:spacing w:line="360" w:lineRule="auto"/>
        <w:ind w:firstLine="560" w:firstLineChars="200"/>
        <w:rPr>
          <w:rFonts w:hint="default"/>
          <w:color w:val="auto"/>
          <w:sz w:val="28"/>
          <w:szCs w:val="28"/>
          <w:lang w:val="en-US" w:eastAsia="zh-CN"/>
        </w:rPr>
      </w:pPr>
      <w:r>
        <w:rPr>
          <w:rFonts w:hint="default"/>
          <w:color w:val="auto"/>
          <w:sz w:val="28"/>
          <w:szCs w:val="28"/>
          <w:lang w:val="en-US" w:eastAsia="zh-CN"/>
        </w:rPr>
        <w:t>②若镇墟环卫企业配置的本项目环卫设备资产年度折旧额低于方案折旧额，则区环卫局将按照（方案折旧额-实际配置的环卫设备资产年度折旧额）/12×未足额配置月数的标准（实际配置的环卫设备资产年度折旧额以镇墟环卫企业报送的环卫设备配置方案中年度折旧额为参考依据，以区环卫局认定的折旧额为准），直接扣减当季度应支付的服务费，其中，未足额配置月数不足一个月的按一个月计算；</w:t>
      </w:r>
    </w:p>
    <w:p w14:paraId="7D3D5CFE">
      <w:pPr>
        <w:pStyle w:val="2"/>
        <w:numPr>
          <w:ilvl w:val="0"/>
          <w:numId w:val="0"/>
        </w:numPr>
        <w:spacing w:line="360" w:lineRule="auto"/>
        <w:ind w:firstLine="560" w:firstLineChars="200"/>
        <w:rPr>
          <w:rFonts w:hint="default"/>
          <w:color w:val="auto"/>
          <w:sz w:val="28"/>
          <w:szCs w:val="28"/>
          <w:lang w:val="en-US" w:eastAsia="zh-CN"/>
        </w:rPr>
      </w:pPr>
      <w:r>
        <w:rPr>
          <w:rFonts w:hint="default"/>
          <w:color w:val="auto"/>
          <w:sz w:val="28"/>
          <w:szCs w:val="28"/>
          <w:lang w:val="en-US" w:eastAsia="zh-CN"/>
        </w:rPr>
        <w:t>③自区环卫局与镇墟环卫企业签署《服务合同》之日起，镇墟环卫企业在30日内应及时将本项目环卫设备配置方案以及环卫作业人员清单等信息报送区环卫局审核备案，每无故逾期1日，则扣减当季度应付服务费3万元。</w:t>
      </w:r>
    </w:p>
    <w:p w14:paraId="34FEB0FF">
      <w:pPr>
        <w:pStyle w:val="2"/>
        <w:numPr>
          <w:ilvl w:val="0"/>
          <w:numId w:val="2"/>
        </w:numPr>
        <w:spacing w:line="360" w:lineRule="auto"/>
        <w:ind w:firstLine="560" w:firstLineChars="200"/>
        <w:rPr>
          <w:rFonts w:hint="default"/>
          <w:color w:val="auto"/>
          <w:sz w:val="28"/>
          <w:szCs w:val="28"/>
          <w:lang w:val="en-US" w:eastAsia="zh-CN"/>
        </w:rPr>
      </w:pPr>
      <w:r>
        <w:rPr>
          <w:rFonts w:hint="default"/>
          <w:color w:val="auto"/>
          <w:sz w:val="28"/>
          <w:szCs w:val="28"/>
          <w:lang w:val="en-US" w:eastAsia="zh-CN"/>
        </w:rPr>
        <w:t>服务期内，镇墟环卫企业提供的作业内容中，单季度考核得分在75分以下的，区环卫局有权要求镇墟环卫企业限期整改，如镇墟环卫企业未在规定时间内完成整改，区环卫局有权根据考核结果全额扣除当季服务费；合作期内累计3次季度考核得分在75分以下的，区环卫局有权向区政府申请终止本项目服务合同和重新启动招投标确定镇墟环卫企业，经区政府批准后，区环卫局启动镇墟环卫企业终止退出流程。</w:t>
      </w:r>
    </w:p>
    <w:p w14:paraId="4D57995E">
      <w:pPr>
        <w:pStyle w:val="2"/>
        <w:numPr>
          <w:ilvl w:val="0"/>
          <w:numId w:val="0"/>
        </w:numPr>
        <w:spacing w:line="360" w:lineRule="auto"/>
        <w:rPr>
          <w:rFonts w:hint="default"/>
          <w:color w:val="auto"/>
          <w:sz w:val="28"/>
          <w:szCs w:val="28"/>
          <w:lang w:val="en-US" w:eastAsia="zh-CN"/>
        </w:rPr>
      </w:pPr>
      <w:r>
        <w:rPr>
          <w:rFonts w:hint="eastAsia"/>
          <w:color w:val="auto"/>
          <w:sz w:val="28"/>
          <w:szCs w:val="28"/>
          <w:lang w:val="en-US" w:eastAsia="zh-CN"/>
        </w:rPr>
        <w:t xml:space="preserve">   4.人员、设备配置要求</w:t>
      </w:r>
    </w:p>
    <w:p w14:paraId="4C1D397D">
      <w:pPr>
        <w:spacing w:line="360" w:lineRule="auto"/>
        <w:ind w:firstLine="560" w:firstLineChars="200"/>
        <w:jc w:val="left"/>
        <w:rPr>
          <w:rFonts w:hint="eastAsia" w:ascii="仿宋" w:hAnsi="仿宋" w:eastAsia="仿宋" w:cs="Times New Roman"/>
          <w:i w:val="0"/>
          <w:iCs/>
          <w:color w:val="auto"/>
          <w:sz w:val="28"/>
          <w:szCs w:val="28"/>
          <w:u w:val="single"/>
          <w:lang w:val="en-US" w:eastAsia="zh-CN"/>
        </w:rPr>
      </w:pPr>
      <w:r>
        <w:rPr>
          <w:rFonts w:hint="eastAsia" w:ascii="仿宋" w:hAnsi="仿宋" w:eastAsia="仿宋" w:cs="Times New Roman"/>
          <w:i w:val="0"/>
          <w:iCs/>
          <w:color w:val="auto"/>
          <w:sz w:val="28"/>
          <w:szCs w:val="28"/>
          <w:u w:val="single"/>
          <w:lang w:val="en-US" w:eastAsia="zh-CN"/>
        </w:rPr>
        <w:t>（1）人员配置情况</w:t>
      </w:r>
    </w:p>
    <w:p w14:paraId="0DE2B542">
      <w:pPr>
        <w:spacing w:line="360" w:lineRule="auto"/>
        <w:ind w:firstLine="560" w:firstLineChars="200"/>
        <w:jc w:val="left"/>
        <w:rPr>
          <w:rFonts w:hint="eastAsia" w:ascii="仿宋" w:hAnsi="仿宋" w:eastAsia="仿宋" w:cs="Times New Roman"/>
          <w:i w:val="0"/>
          <w:iCs/>
          <w:color w:val="auto"/>
          <w:sz w:val="28"/>
          <w:szCs w:val="28"/>
          <w:u w:val="single"/>
          <w:lang w:val="en-US" w:eastAsia="zh-CN"/>
        </w:rPr>
      </w:pPr>
      <w:r>
        <w:rPr>
          <w:rFonts w:hint="eastAsia" w:ascii="仿宋" w:hAnsi="仿宋" w:eastAsia="仿宋" w:cs="Times New Roman"/>
          <w:i w:val="0"/>
          <w:iCs/>
          <w:color w:val="auto"/>
          <w:sz w:val="28"/>
          <w:szCs w:val="28"/>
          <w:u w:val="single"/>
          <w:lang w:val="en-US" w:eastAsia="zh-CN"/>
        </w:rPr>
        <w:t>环卫作业范围共配备442人，其中，道路及公共区域清扫保洁348人，生活垃圾收集清运74人，公共厕所运维管理20人。</w:t>
      </w:r>
    </w:p>
    <w:p w14:paraId="298D7CB0">
      <w:pPr>
        <w:spacing w:line="360" w:lineRule="auto"/>
        <w:ind w:firstLine="560" w:firstLineChars="200"/>
        <w:jc w:val="left"/>
        <w:rPr>
          <w:rFonts w:hint="eastAsia" w:ascii="仿宋" w:hAnsi="仿宋" w:eastAsia="仿宋" w:cs="Times New Roman"/>
          <w:i w:val="0"/>
          <w:iCs/>
          <w:color w:val="auto"/>
          <w:sz w:val="28"/>
          <w:szCs w:val="28"/>
          <w:u w:val="single"/>
          <w:lang w:val="en-US" w:eastAsia="zh-CN"/>
        </w:rPr>
      </w:pPr>
      <w:r>
        <w:rPr>
          <w:rFonts w:hint="eastAsia" w:ascii="仿宋" w:hAnsi="仿宋" w:eastAsia="仿宋" w:cs="Times New Roman"/>
          <w:i w:val="0"/>
          <w:iCs/>
          <w:color w:val="auto"/>
          <w:sz w:val="28"/>
          <w:szCs w:val="28"/>
          <w:u w:val="single"/>
          <w:lang w:val="en-US" w:eastAsia="zh-CN"/>
        </w:rPr>
        <w:t>（2）设备配置情况</w:t>
      </w:r>
      <w:bookmarkStart w:id="376" w:name="_GoBack"/>
      <w:bookmarkEnd w:id="376"/>
    </w:p>
    <w:p w14:paraId="5EAEE83B">
      <w:pPr>
        <w:spacing w:line="360" w:lineRule="auto"/>
        <w:ind w:firstLine="560" w:firstLineChars="200"/>
        <w:jc w:val="left"/>
        <w:rPr>
          <w:rFonts w:hint="default" w:ascii="仿宋" w:hAnsi="仿宋" w:eastAsia="仿宋" w:cs="Times New Roman"/>
          <w:i w:val="0"/>
          <w:iCs/>
          <w:color w:val="auto"/>
          <w:sz w:val="28"/>
          <w:szCs w:val="28"/>
          <w:u w:val="none"/>
          <w:lang w:val="en-US" w:eastAsia="zh-CN"/>
        </w:rPr>
      </w:pPr>
      <w:r>
        <w:rPr>
          <w:rFonts w:hint="eastAsia" w:ascii="仿宋" w:hAnsi="仿宋" w:eastAsia="仿宋" w:cs="Times New Roman"/>
          <w:i w:val="0"/>
          <w:iCs/>
          <w:color w:val="auto"/>
          <w:sz w:val="28"/>
          <w:szCs w:val="28"/>
          <w:u w:val="single"/>
          <w:lang w:val="en-US" w:eastAsia="zh-CN"/>
        </w:rPr>
        <w:t>作业范围共配置59辆设备，其中，道路及公共区域清扫保洁作业设备22辆（道路清扫车6辆，高压洗地车10辆，洒水车6辆），生活垃圾收集清运作业设备37辆。</w:t>
      </w:r>
    </w:p>
    <w:p w14:paraId="765D37F6">
      <w:pPr>
        <w:pStyle w:val="2"/>
        <w:numPr>
          <w:ilvl w:val="0"/>
          <w:numId w:val="1"/>
        </w:numPr>
        <w:spacing w:line="360" w:lineRule="auto"/>
        <w:ind w:left="0" w:leftChars="0" w:firstLine="420" w:firstLineChars="0"/>
        <w:rPr>
          <w:rFonts w:hint="default" w:ascii="仿宋" w:hAnsi="仿宋" w:eastAsia="仿宋" w:cs="Times New Roman"/>
          <w:i w:val="0"/>
          <w:iCs/>
          <w:color w:val="auto"/>
          <w:sz w:val="28"/>
          <w:szCs w:val="28"/>
          <w:u w:val="none"/>
          <w:lang w:val="en-US" w:eastAsia="zh-CN"/>
        </w:rPr>
      </w:pPr>
      <w:r>
        <w:rPr>
          <w:rFonts w:hint="eastAsia" w:ascii="仿宋" w:hAnsi="仿宋" w:eastAsia="仿宋" w:cs="Times New Roman"/>
          <w:i w:val="0"/>
          <w:iCs/>
          <w:color w:val="auto"/>
          <w:sz w:val="28"/>
          <w:szCs w:val="28"/>
          <w:u w:val="none"/>
          <w:lang w:val="en-US" w:eastAsia="zh-CN"/>
        </w:rPr>
        <w:t>运维绩效考核办法</w:t>
      </w:r>
    </w:p>
    <w:p w14:paraId="77535774">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bookmarkStart w:id="370" w:name="_Toc18057"/>
      <w:bookmarkStart w:id="371" w:name="_Toc10332"/>
      <w:bookmarkStart w:id="372" w:name="_Toc10131"/>
      <w:r>
        <w:rPr>
          <w:rFonts w:hint="eastAsia" w:ascii="仿宋" w:hAnsi="仿宋" w:eastAsia="仿宋" w:cs="Times New Roman"/>
          <w:i w:val="0"/>
          <w:iCs/>
          <w:color w:val="auto"/>
          <w:kern w:val="2"/>
          <w:sz w:val="28"/>
          <w:szCs w:val="28"/>
          <w:u w:val="none"/>
          <w:lang w:val="en-US" w:eastAsia="zh-CN" w:bidi="ar-SA"/>
        </w:rPr>
        <w:t>（1）区环境卫生管理局负责组织实施，按照本方案的考核评分细则，区环境卫生监督检查大队对服务单位的环卫作业质量进行百分制打分，每月2次，月度得分为每月 2 次考核得分平均分，季度考核总分为各月考核得分的平均分，季度考核总分占当季考核最终得分的 70%（服务单位在重大活动保障中出现重大失误，对美兰区乡镇环卫保洁造成负面影响，在常规考核中加倍扣分）。</w:t>
      </w:r>
    </w:p>
    <w:p w14:paraId="42993801">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各镇政府在镇域辖区范围内组织实施，按照本方案的考核评分细则，对服务单位的环卫作业质量进行百分制打分，每月 2 次，月度得分为每月 2 次考核得分平均分，季度考核总分为各月考核平均分，季度考核总分占当季考核最终得分的 30%（服务单位在重大活动保障中出现重大失误，对本镇环卫保洁造成负面影响，在常规考核中加倍扣分）。</w:t>
      </w:r>
    </w:p>
    <w:p w14:paraId="69DBB763">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考核评分时要对存在问题的扣分点拍照取证，不能拍照取证的要有被考核单位指定的人员在场签名确认，否则扣分无效；环卫作业服务单位要指定专人具体负责配合检查考核工作，以便与考核单位的沟通协调。</w:t>
      </w:r>
    </w:p>
    <w:p w14:paraId="0AB15EF5">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检查考核中发现存在的问题，要及时通知服务单位整改，环卫服务企业要在第一时间进行整改处置，拖延或不予整改的加倍扣分。台风期间和灾后重建期间工作检查不扣分，但对灾后所采取的应对措施和处置能力视情况给予量分。</w:t>
      </w:r>
    </w:p>
    <w:p w14:paraId="5B946B13">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原则上要求量分考核检查与巡检督导的巡查时间及路线具有随机性，避免固定巡查时间及路线进行检查。</w:t>
      </w:r>
    </w:p>
    <w:p w14:paraId="4E68E68A">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cs="Times New Roman"/>
          <w:i w:val="0"/>
          <w:iCs/>
          <w:color w:val="auto"/>
          <w:kern w:val="2"/>
          <w:sz w:val="28"/>
          <w:szCs w:val="28"/>
          <w:u w:val="none"/>
          <w:lang w:val="en-US" w:eastAsia="zh-CN" w:bidi="ar-SA"/>
        </w:rPr>
        <w:t>（2）</w:t>
      </w:r>
      <w:r>
        <w:rPr>
          <w:rFonts w:hint="eastAsia" w:ascii="仿宋" w:hAnsi="仿宋" w:eastAsia="仿宋" w:cs="Times New Roman"/>
          <w:i w:val="0"/>
          <w:iCs/>
          <w:color w:val="auto"/>
          <w:kern w:val="2"/>
          <w:sz w:val="28"/>
          <w:szCs w:val="28"/>
          <w:u w:val="none"/>
          <w:lang w:val="en-US" w:eastAsia="zh-CN" w:bidi="ar-SA"/>
        </w:rPr>
        <w:t>监督考核组每次量分考核检查后，要及时整理考核记录并存档备查，《考核评分表》要求监督考核组所有人员签名。监督考核组需将当月的考核报告于次月 5 日前报区环境卫生管理局审核。</w:t>
      </w:r>
    </w:p>
    <w:p w14:paraId="0F6440CC">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cs="Times New Roman"/>
          <w:i w:val="0"/>
          <w:iCs/>
          <w:color w:val="auto"/>
          <w:kern w:val="2"/>
          <w:sz w:val="28"/>
          <w:szCs w:val="28"/>
          <w:u w:val="none"/>
          <w:lang w:val="en-US" w:eastAsia="zh-CN" w:bidi="ar-SA"/>
        </w:rPr>
        <w:t>（3）</w:t>
      </w:r>
      <w:r>
        <w:rPr>
          <w:rFonts w:hint="eastAsia" w:ascii="仿宋" w:hAnsi="仿宋" w:eastAsia="仿宋" w:cs="Times New Roman"/>
          <w:i w:val="0"/>
          <w:iCs/>
          <w:color w:val="auto"/>
          <w:kern w:val="2"/>
          <w:sz w:val="28"/>
          <w:szCs w:val="28"/>
          <w:u w:val="none"/>
          <w:lang w:val="en-US" w:eastAsia="zh-CN" w:bidi="ar-SA"/>
        </w:rPr>
        <w:t>区环境卫生管理局负责汇总区、镇两级监督考核结果，每季度结束后的 10 日内形成季度考核报告报区政府审议印发，区环境卫生管理局根据考核结果拨付资金。</w:t>
      </w:r>
    </w:p>
    <w:p w14:paraId="32C653BC">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cs="Times New Roman"/>
          <w:i w:val="0"/>
          <w:iCs/>
          <w:color w:val="auto"/>
          <w:kern w:val="2"/>
          <w:sz w:val="28"/>
          <w:szCs w:val="28"/>
          <w:u w:val="none"/>
          <w:lang w:val="en-US" w:eastAsia="zh-CN" w:bidi="ar-SA"/>
        </w:rPr>
        <w:t>（4）</w:t>
      </w:r>
      <w:r>
        <w:rPr>
          <w:rFonts w:hint="eastAsia" w:ascii="仿宋" w:hAnsi="仿宋" w:eastAsia="仿宋" w:cs="Times New Roman"/>
          <w:i w:val="0"/>
          <w:iCs/>
          <w:color w:val="auto"/>
          <w:kern w:val="2"/>
          <w:sz w:val="28"/>
          <w:szCs w:val="28"/>
          <w:u w:val="none"/>
          <w:lang w:val="en-US" w:eastAsia="zh-CN" w:bidi="ar-SA"/>
        </w:rPr>
        <w:t>区环境卫生管理局除环卫作业质量监督考核外，对各镇履行监管职责情况进行监督，包括镇级检查考核队伍建设、监管制度和考核实施等进行监督、检查和指导。</w:t>
      </w:r>
    </w:p>
    <w:p w14:paraId="35A4CDD3">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cs="Times New Roman"/>
          <w:i w:val="0"/>
          <w:iCs/>
          <w:color w:val="auto"/>
          <w:kern w:val="2"/>
          <w:sz w:val="28"/>
          <w:szCs w:val="28"/>
          <w:u w:val="none"/>
          <w:lang w:val="en-US" w:eastAsia="zh-CN" w:bidi="ar-SA"/>
        </w:rPr>
        <w:t>（5）</w:t>
      </w:r>
      <w:r>
        <w:rPr>
          <w:rFonts w:hint="eastAsia" w:ascii="仿宋" w:hAnsi="仿宋" w:eastAsia="仿宋" w:cs="Times New Roman"/>
          <w:i w:val="0"/>
          <w:iCs/>
          <w:color w:val="auto"/>
          <w:kern w:val="2"/>
          <w:sz w:val="28"/>
          <w:szCs w:val="28"/>
          <w:u w:val="none"/>
          <w:lang w:val="en-US" w:eastAsia="zh-CN" w:bidi="ar-SA"/>
        </w:rPr>
        <w:t>区环境卫生管理局依据本项目服务合同、服务单位的投标文件和《海南省城乡环境卫生质量标准》等的有关规定，对乡镇环卫服务企业的各类环卫作业人员、设施设备配置情况以及质量管控体系进行监督、检查、评估。</w:t>
      </w:r>
    </w:p>
    <w:p w14:paraId="59D8CEDE">
      <w:pPr>
        <w:pStyle w:val="8"/>
        <w:spacing w:line="360" w:lineRule="auto"/>
        <w:ind w:firstLine="560"/>
        <w:rPr>
          <w:rFonts w:hint="eastAsia" w:ascii="仿宋" w:hAnsi="仿宋" w:eastAsia="仿宋" w:cs="Times New Roman"/>
          <w:i w:val="0"/>
          <w:iCs/>
          <w:color w:val="auto"/>
          <w:kern w:val="2"/>
          <w:sz w:val="28"/>
          <w:szCs w:val="28"/>
          <w:u w:val="none"/>
          <w:lang w:val="en-US" w:eastAsia="zh-CN" w:bidi="ar-SA"/>
        </w:rPr>
      </w:pPr>
      <w:r>
        <w:rPr>
          <w:rFonts w:hint="eastAsia" w:ascii="仿宋" w:hAnsi="仿宋" w:cs="Times New Roman"/>
          <w:i w:val="0"/>
          <w:iCs/>
          <w:color w:val="auto"/>
          <w:kern w:val="2"/>
          <w:sz w:val="28"/>
          <w:szCs w:val="28"/>
          <w:u w:val="none"/>
          <w:lang w:val="en-US" w:eastAsia="zh-CN" w:bidi="ar-SA"/>
        </w:rPr>
        <w:t>（6）</w:t>
      </w:r>
      <w:r>
        <w:rPr>
          <w:rFonts w:hint="eastAsia" w:ascii="仿宋" w:hAnsi="仿宋" w:eastAsia="仿宋" w:cs="Times New Roman"/>
          <w:i w:val="0"/>
          <w:iCs/>
          <w:color w:val="auto"/>
          <w:kern w:val="2"/>
          <w:sz w:val="28"/>
          <w:szCs w:val="28"/>
          <w:u w:val="none"/>
          <w:lang w:val="en-US" w:eastAsia="zh-CN" w:bidi="ar-SA"/>
        </w:rPr>
        <w:t>区环境卫生管理局可随时自行临时考核乡镇环卫服务企业的环卫作业质量，如发现质量缺陷，则需在 24 小时内以书面形式通知乡镇环卫服务企业在限定时间内完成整改；乡镇环卫服务企业在接到书面通知后，应在书面通知要求的时间内对质量缺陷内容进行整改。</w:t>
      </w:r>
    </w:p>
    <w:p w14:paraId="7112CA66">
      <w:pPr>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（7）额外扣分项</w:t>
      </w:r>
    </w:p>
    <w:p w14:paraId="2E81AED6">
      <w:pPr>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若镇墟环卫企业各月配置的本项目作业人员数量均低于区环卫局批准的作业人员数量，则区环卫局将根据该季度内缺少人数额最小的月份的缺少人员数量，按照2010元/人的标准直接扣减当季度应支付的服务费；</w:t>
      </w:r>
    </w:p>
    <w:p w14:paraId="76B6A026">
      <w:pPr>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若镇墟环卫企业配置的本项目环卫设备资产年度折旧额低于方案折旧额，则区环卫局将按照（方案折旧额-实际配置的环卫设备资产年度折旧额）/12×未足额配置月数的标准（实际配置的环卫设备资产年度折旧额以镇墟环卫企业报送的环卫设备配置方案中年度折旧额为参考依据，以区环卫局认定的折旧额为准），直接扣减当季度应支付的服务费，其中，未足额配置月数不足一个月的按一个月计算。</w:t>
      </w:r>
    </w:p>
    <w:p w14:paraId="2A1F65DD">
      <w:pPr>
        <w:spacing w:line="360" w:lineRule="auto"/>
        <w:ind w:firstLine="560" w:firstLineChars="200"/>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镇墟环卫企业应按要求制订安全生产应急预案。发生安全生产事故，造成人员死亡的在当周考核得分中扣10分，伤残的扣5分；发生重大交通事故并负主要责任的（以交警裁定结果为准）在当周考核得分中扣5分；发生重大事故且未在第一时间上报或隐瞒不报的，在当月考核得分中扣4分。</w:t>
      </w:r>
    </w:p>
    <w:p w14:paraId="41488B7D">
      <w:pPr>
        <w:pStyle w:val="2"/>
        <w:widowControl w:val="0"/>
        <w:numPr>
          <w:ilvl w:val="0"/>
          <w:numId w:val="0"/>
        </w:numPr>
        <w:spacing w:line="360" w:lineRule="auto"/>
        <w:ind w:left="0" w:leftChars="0" w:firstLine="560" w:firstLineChars="200"/>
        <w:jc w:val="both"/>
        <w:rPr>
          <w:rFonts w:hint="default"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每月度，由区环卫局负责统计各镇政府收到的当月度涉及到项目作业范围内的12345热线投诉件、新闻媒体报告、省市领导点名批示。累计存在五件12345热线投诉件以上，每多一件扣1分，最多扣4分；每有一起新闻媒体报告或省市领导点名批示扣4分。</w:t>
      </w:r>
    </w:p>
    <w:p w14:paraId="594D6B8F">
      <w:pPr>
        <w:pStyle w:val="2"/>
        <w:widowControl w:val="0"/>
        <w:numPr>
          <w:ilvl w:val="0"/>
          <w:numId w:val="0"/>
        </w:numPr>
        <w:spacing w:line="360" w:lineRule="auto"/>
        <w:ind w:left="0" w:leftChars="0" w:firstLine="560" w:firstLineChars="200"/>
        <w:jc w:val="both"/>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（8）当季最终得分计算</w:t>
      </w:r>
    </w:p>
    <w:p w14:paraId="2C77EAEA">
      <w:pPr>
        <w:pStyle w:val="2"/>
        <w:widowControl w:val="0"/>
        <w:numPr>
          <w:ilvl w:val="0"/>
          <w:numId w:val="0"/>
        </w:numPr>
        <w:spacing w:line="360" w:lineRule="auto"/>
        <w:ind w:firstLine="560" w:firstLineChars="200"/>
        <w:jc w:val="both"/>
        <w:rPr>
          <w:rFonts w:hint="eastAsia" w:ascii="仿宋" w:hAnsi="仿宋" w:eastAsia="仿宋" w:cs="Times New Roman"/>
          <w:i w:val="0"/>
          <w:iCs/>
          <w:color w:val="auto"/>
          <w:kern w:val="2"/>
          <w:sz w:val="28"/>
          <w:szCs w:val="28"/>
          <w:u w:val="none"/>
          <w:lang w:val="en-US" w:eastAsia="zh-CN" w:bidi="ar-SA"/>
        </w:rPr>
      </w:pPr>
      <w:r>
        <w:rPr>
          <w:rFonts w:hint="eastAsia" w:ascii="仿宋" w:hAnsi="仿宋" w:eastAsia="仿宋" w:cs="Times New Roman"/>
          <w:i w:val="0"/>
          <w:iCs/>
          <w:color w:val="auto"/>
          <w:kern w:val="2"/>
          <w:sz w:val="28"/>
          <w:szCs w:val="28"/>
          <w:u w:val="none"/>
          <w:lang w:val="en-US" w:eastAsia="zh-CN" w:bidi="ar-SA"/>
        </w:rPr>
        <w:t>当季考核最终得分=区级监督考核得分×70%+镇级监督考核得分×30%+额外扣分项。</w:t>
      </w:r>
    </w:p>
    <w:p w14:paraId="1AF7000D">
      <w:pPr>
        <w:pStyle w:val="2"/>
        <w:widowControl w:val="0"/>
        <w:numPr>
          <w:ilvl w:val="0"/>
          <w:numId w:val="0"/>
        </w:numPr>
        <w:spacing w:line="360" w:lineRule="auto"/>
        <w:ind w:firstLine="560" w:firstLineChars="200"/>
        <w:jc w:val="both"/>
        <w:rPr>
          <w:rFonts w:hint="default" w:ascii="仿宋" w:hAnsi="仿宋" w:eastAsia="仿宋" w:cs="Times New Roman"/>
          <w:i w:val="0"/>
          <w:iCs/>
          <w:color w:val="auto"/>
          <w:kern w:val="2"/>
          <w:sz w:val="28"/>
          <w:szCs w:val="28"/>
          <w:u w:val="none"/>
          <w:lang w:val="en-US" w:eastAsia="zh-CN" w:bidi="ar-SA"/>
        </w:rPr>
        <w:sectPr>
          <w:pgSz w:w="11906" w:h="16838"/>
          <w:pgMar w:top="1440" w:right="1797" w:bottom="1440" w:left="1797" w:header="851" w:footer="1020" w:gutter="0"/>
          <w:cols w:space="720" w:num="1"/>
          <w:titlePg/>
          <w:docGrid w:type="lines" w:linePitch="312" w:charSpace="0"/>
        </w:sectPr>
      </w:pPr>
    </w:p>
    <w:bookmarkEnd w:id="370"/>
    <w:bookmarkEnd w:id="371"/>
    <w:bookmarkEnd w:id="372"/>
    <w:p w14:paraId="26960A09">
      <w:pPr>
        <w:rPr>
          <w:rFonts w:hint="eastAsia" w:ascii="仿宋" w:hAnsi="仿宋" w:eastAsia="仿宋" w:cs="仿宋"/>
          <w:b/>
          <w:bCs/>
          <w:color w:val="auto"/>
          <w:sz w:val="28"/>
          <w:szCs w:val="28"/>
          <w:highlight w:val="none"/>
        </w:rPr>
      </w:pPr>
      <w:bookmarkStart w:id="373" w:name="_Toc28427"/>
      <w:bookmarkStart w:id="374" w:name="_Toc28054"/>
      <w:bookmarkStart w:id="375" w:name="_Toc15210"/>
      <w:r>
        <w:rPr>
          <w:rFonts w:hint="eastAsia" w:ascii="仿宋" w:hAnsi="仿宋" w:eastAsia="仿宋" w:cs="仿宋"/>
          <w:b/>
          <w:bCs/>
          <w:color w:val="auto"/>
          <w:sz w:val="28"/>
          <w:szCs w:val="28"/>
          <w:highlight w:val="none"/>
        </w:rPr>
        <w:t>考核打分细则</w:t>
      </w:r>
      <w:bookmarkEnd w:id="373"/>
      <w:bookmarkEnd w:id="374"/>
      <w:bookmarkEnd w:id="375"/>
    </w:p>
    <w:p w14:paraId="650BB650">
      <w:pPr>
        <w:widowControl/>
        <w:spacing w:line="20" w:lineRule="exact"/>
        <w:rPr>
          <w:rFonts w:hint="eastAsia" w:ascii="仿宋" w:hAnsi="仿宋" w:eastAsia="仿宋" w:cs="仿宋"/>
          <w:b/>
          <w:color w:val="auto"/>
          <w:sz w:val="28"/>
          <w:szCs w:val="28"/>
          <w:highlight w:val="none"/>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1860"/>
        <w:gridCol w:w="3067"/>
        <w:gridCol w:w="5171"/>
        <w:gridCol w:w="3308"/>
      </w:tblGrid>
      <w:tr w14:paraId="694C8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000" w:type="pct"/>
            <w:gridSpan w:val="5"/>
            <w:shd w:val="clear" w:color="auto" w:fill="auto"/>
            <w:vAlign w:val="center"/>
          </w:tcPr>
          <w:p w14:paraId="0D5DFA00">
            <w:pPr>
              <w:widowControl/>
              <w:jc w:val="center"/>
              <w:rPr>
                <w:rFonts w:hint="eastAsia" w:ascii="仿宋" w:hAnsi="仿宋" w:eastAsia="仿宋" w:cs="仿宋"/>
                <w:color w:val="auto"/>
                <w:kern w:val="0"/>
                <w:sz w:val="21"/>
                <w:szCs w:val="21"/>
                <w:highlight w:val="none"/>
              </w:rPr>
            </w:pPr>
            <w:r>
              <w:rPr>
                <w:rFonts w:hint="eastAsia" w:ascii="仿宋" w:hAnsi="仿宋" w:eastAsia="仿宋" w:cs="仿宋"/>
                <w:b/>
                <w:bCs/>
                <w:color w:val="auto"/>
                <w:sz w:val="21"/>
                <w:szCs w:val="21"/>
                <w:highlight w:val="none"/>
              </w:rPr>
              <w:t>清扫保洁（50分）</w:t>
            </w:r>
          </w:p>
        </w:tc>
      </w:tr>
      <w:tr w14:paraId="53E27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271" w:type="pct"/>
            <w:shd w:val="clear" w:color="auto" w:fill="auto"/>
            <w:vAlign w:val="center"/>
          </w:tcPr>
          <w:p w14:paraId="387581D0">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序号</w:t>
            </w:r>
          </w:p>
        </w:tc>
        <w:tc>
          <w:tcPr>
            <w:tcW w:w="656" w:type="pct"/>
            <w:shd w:val="clear" w:color="auto" w:fill="auto"/>
            <w:vAlign w:val="center"/>
          </w:tcPr>
          <w:p w14:paraId="0F01C9E7">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考核内容</w:t>
            </w:r>
          </w:p>
        </w:tc>
        <w:tc>
          <w:tcPr>
            <w:tcW w:w="1082" w:type="pct"/>
            <w:shd w:val="clear" w:color="auto" w:fill="auto"/>
            <w:vAlign w:val="center"/>
          </w:tcPr>
          <w:p w14:paraId="52AB6561">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样本及数量</w:t>
            </w:r>
          </w:p>
        </w:tc>
        <w:tc>
          <w:tcPr>
            <w:tcW w:w="1824" w:type="pct"/>
            <w:vAlign w:val="center"/>
          </w:tcPr>
          <w:p w14:paraId="145D1880">
            <w:pPr>
              <w:widowControl w:val="0"/>
              <w:ind w:firstLine="0"/>
              <w:jc w:val="center"/>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管理要求</w:t>
            </w:r>
          </w:p>
        </w:tc>
        <w:tc>
          <w:tcPr>
            <w:tcW w:w="1165" w:type="pct"/>
            <w:vAlign w:val="center"/>
          </w:tcPr>
          <w:p w14:paraId="5281AD4E">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评分标准</w:t>
            </w:r>
          </w:p>
        </w:tc>
      </w:tr>
      <w:tr w14:paraId="2F525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32C0BBF5">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656" w:type="pct"/>
            <w:shd w:val="clear" w:color="auto" w:fill="auto"/>
            <w:vAlign w:val="center"/>
          </w:tcPr>
          <w:p w14:paraId="26F761CC">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道路清扫作业</w:t>
            </w:r>
          </w:p>
        </w:tc>
        <w:tc>
          <w:tcPr>
            <w:tcW w:w="1082" w:type="pct"/>
            <w:vMerge w:val="restart"/>
            <w:shd w:val="clear" w:color="auto" w:fill="auto"/>
            <w:vAlign w:val="center"/>
          </w:tcPr>
          <w:p w14:paraId="7B6FA6FF">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镇墟道路15-25条，农村道路10-20条；</w:t>
            </w:r>
          </w:p>
          <w:p w14:paraId="05668751">
            <w:pPr>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镇墟人工清扫考核面积不小于20%，农村人工清扫考核面积不小于10%。</w:t>
            </w:r>
          </w:p>
        </w:tc>
        <w:tc>
          <w:tcPr>
            <w:tcW w:w="1824" w:type="pct"/>
            <w:vAlign w:val="center"/>
          </w:tcPr>
          <w:p w14:paraId="4961D982">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1)镇墟范围</w:t>
            </w:r>
          </w:p>
          <w:p w14:paraId="49E23B13">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①人工清扫：工作时间应为5:00至8:00、15：00至18: 00，每天工作时间段完成一遍普扫；</w:t>
            </w:r>
          </w:p>
          <w:p w14:paraId="0701227F">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②机械化清扫：工作时间应为上午：夏季3:00-6:00，冬季4:00-7:00，下午14:30-17:30，每天在工作时间段内完成一遍普扫。</w:t>
            </w:r>
          </w:p>
          <w:p w14:paraId="51950667">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2)农村范围</w:t>
            </w:r>
          </w:p>
          <w:p w14:paraId="5D2373F5">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①人工清扫：工作时间应为5:00至8:00、15：00至18: 00，每天工作时间段完成一遍普扫；</w:t>
            </w:r>
          </w:p>
          <w:p w14:paraId="34247657">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②机械化清扫：工作时间应为上午：夏季3:00-6:00，冬季4:00-7:00，下午14:30-17:30，每周在工作时间段内完成一遍普扫。</w:t>
            </w:r>
          </w:p>
        </w:tc>
        <w:tc>
          <w:tcPr>
            <w:tcW w:w="1165" w:type="pct"/>
            <w:vAlign w:val="center"/>
          </w:tcPr>
          <w:p w14:paraId="75DCB681">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未按规定进行普扫作业的，每发现一处扣0.5分。</w:t>
            </w:r>
          </w:p>
        </w:tc>
      </w:tr>
      <w:tr w14:paraId="5442F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04DF3559">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p>
        </w:tc>
        <w:tc>
          <w:tcPr>
            <w:tcW w:w="656" w:type="pct"/>
            <w:shd w:val="clear" w:color="auto" w:fill="auto"/>
            <w:vAlign w:val="center"/>
          </w:tcPr>
          <w:p w14:paraId="020E553A">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道路保洁作业</w:t>
            </w:r>
          </w:p>
        </w:tc>
        <w:tc>
          <w:tcPr>
            <w:tcW w:w="1082" w:type="pct"/>
            <w:vMerge w:val="continue"/>
            <w:shd w:val="clear" w:color="auto" w:fill="auto"/>
            <w:vAlign w:val="center"/>
          </w:tcPr>
          <w:p w14:paraId="7AE846E4">
            <w:pPr>
              <w:widowControl/>
              <w:jc w:val="left"/>
              <w:rPr>
                <w:rFonts w:hint="eastAsia" w:ascii="仿宋" w:hAnsi="仿宋" w:eastAsia="仿宋" w:cs="仿宋"/>
                <w:color w:val="auto"/>
                <w:kern w:val="0"/>
                <w:sz w:val="21"/>
                <w:szCs w:val="21"/>
                <w:highlight w:val="none"/>
              </w:rPr>
            </w:pPr>
          </w:p>
        </w:tc>
        <w:tc>
          <w:tcPr>
            <w:tcW w:w="1824" w:type="pct"/>
            <w:vAlign w:val="center"/>
          </w:tcPr>
          <w:p w14:paraId="3BF49B35">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镇墟范围：7:00-12:00；14：00-19：00，保洁时间不低于10小时，在此时间段内合理调整安排工作。</w:t>
            </w:r>
          </w:p>
        </w:tc>
        <w:tc>
          <w:tcPr>
            <w:tcW w:w="1165" w:type="pct"/>
            <w:vAlign w:val="center"/>
          </w:tcPr>
          <w:p w14:paraId="31F30CE8">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未按规定进行保洁作业的，每发现一处扣0.5分。</w:t>
            </w:r>
          </w:p>
        </w:tc>
      </w:tr>
      <w:tr w14:paraId="306C7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2776F4F6">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p>
        </w:tc>
        <w:tc>
          <w:tcPr>
            <w:tcW w:w="656" w:type="pct"/>
            <w:shd w:val="clear" w:color="auto" w:fill="auto"/>
            <w:vAlign w:val="center"/>
          </w:tcPr>
          <w:p w14:paraId="19A05A62">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道路冲洗和洒水作业</w:t>
            </w:r>
          </w:p>
        </w:tc>
        <w:tc>
          <w:tcPr>
            <w:tcW w:w="1082" w:type="pct"/>
            <w:vMerge w:val="continue"/>
            <w:shd w:val="clear" w:color="auto" w:fill="auto"/>
            <w:vAlign w:val="center"/>
          </w:tcPr>
          <w:p w14:paraId="37B83359">
            <w:pPr>
              <w:widowControl/>
              <w:jc w:val="left"/>
              <w:rPr>
                <w:rFonts w:hint="eastAsia" w:ascii="仿宋" w:hAnsi="仿宋" w:eastAsia="仿宋" w:cs="仿宋"/>
                <w:color w:val="auto"/>
                <w:kern w:val="0"/>
                <w:sz w:val="21"/>
                <w:szCs w:val="21"/>
                <w:highlight w:val="none"/>
              </w:rPr>
            </w:pPr>
          </w:p>
        </w:tc>
        <w:tc>
          <w:tcPr>
            <w:tcW w:w="1824" w:type="pct"/>
            <w:vAlign w:val="center"/>
          </w:tcPr>
          <w:p w14:paraId="3096BDB1">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冲洗和洒水</w:t>
            </w:r>
          </w:p>
          <w:p w14:paraId="21F7F968">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镇墟冲洗范围：夏季3:00-6:00，冬季4:00-7:00，下午14:30-17:30，每天冲洗不低于一次；镇墟洒水范围：3:00-6:00，每天洒水不低于一遍。</w:t>
            </w:r>
          </w:p>
        </w:tc>
        <w:tc>
          <w:tcPr>
            <w:tcW w:w="1165" w:type="pct"/>
            <w:vAlign w:val="center"/>
          </w:tcPr>
          <w:p w14:paraId="4127D6E9">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未按规定进行道路冲洗和洒水作业的，每车次扣0.5分。(注：路面污染应急作业除外)</w:t>
            </w:r>
          </w:p>
        </w:tc>
      </w:tr>
      <w:tr w14:paraId="20114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4B3BBEB9">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w:t>
            </w:r>
          </w:p>
        </w:tc>
        <w:tc>
          <w:tcPr>
            <w:tcW w:w="656" w:type="pct"/>
            <w:shd w:val="clear" w:color="auto" w:fill="auto"/>
            <w:vAlign w:val="center"/>
          </w:tcPr>
          <w:p w14:paraId="4E109599">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道路路面及公共区域环卫作业质量</w:t>
            </w:r>
          </w:p>
        </w:tc>
        <w:tc>
          <w:tcPr>
            <w:tcW w:w="1082" w:type="pct"/>
            <w:vMerge w:val="restart"/>
            <w:shd w:val="clear" w:color="auto" w:fill="auto"/>
            <w:vAlign w:val="center"/>
          </w:tcPr>
          <w:p w14:paraId="6D47F8FA">
            <w:pPr>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镇墟道路15-25条，农村道路10-20条；镇墟人工清扫考核面积不小于20%，农村人工清扫考核面积不小于10%。</w:t>
            </w:r>
          </w:p>
        </w:tc>
        <w:tc>
          <w:tcPr>
            <w:tcW w:w="1824" w:type="pct"/>
            <w:vAlign w:val="center"/>
          </w:tcPr>
          <w:p w14:paraId="7D278C52">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路面、人行道、排水沟、下水口、绿化带、公共区域及村域公共场所等干净整洁，路面无积尘、积灰见本色。路面废弃物不得超过规定数量。即：每1000平方米内果皮、纸屑、塑膜、烟蒂、痰迹、槟榔水污渍等存量数分别少于8个(片)， 垃圾存留时间不超过30分钟。</w:t>
            </w:r>
          </w:p>
        </w:tc>
        <w:tc>
          <w:tcPr>
            <w:tcW w:w="1165" w:type="pct"/>
            <w:vAlign w:val="center"/>
          </w:tcPr>
          <w:p w14:paraId="713F2F94">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发现道路路面废弃物超过规定数量，每发现一处扣0.3分。</w:t>
            </w:r>
          </w:p>
        </w:tc>
      </w:tr>
      <w:tr w14:paraId="1929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512FB941">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w:t>
            </w:r>
          </w:p>
        </w:tc>
        <w:tc>
          <w:tcPr>
            <w:tcW w:w="656" w:type="pct"/>
            <w:shd w:val="clear" w:color="auto" w:fill="auto"/>
            <w:vAlign w:val="center"/>
          </w:tcPr>
          <w:p w14:paraId="2EE2CD47">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道路两侧建筑物外 墙及构筑物</w:t>
            </w:r>
          </w:p>
        </w:tc>
        <w:tc>
          <w:tcPr>
            <w:tcW w:w="1082" w:type="pct"/>
            <w:vMerge w:val="continue"/>
            <w:shd w:val="clear" w:color="auto" w:fill="auto"/>
            <w:vAlign w:val="center"/>
          </w:tcPr>
          <w:p w14:paraId="4DE9EE64">
            <w:pPr>
              <w:widowControl/>
              <w:jc w:val="left"/>
              <w:rPr>
                <w:rFonts w:hint="eastAsia" w:ascii="仿宋" w:hAnsi="仿宋" w:eastAsia="仿宋" w:cs="仿宋"/>
                <w:color w:val="auto"/>
                <w:kern w:val="0"/>
                <w:sz w:val="21"/>
                <w:szCs w:val="21"/>
                <w:highlight w:val="none"/>
              </w:rPr>
            </w:pPr>
          </w:p>
        </w:tc>
        <w:tc>
          <w:tcPr>
            <w:tcW w:w="1824" w:type="pct"/>
            <w:vAlign w:val="center"/>
          </w:tcPr>
          <w:p w14:paraId="226B44C0">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道路两侧的建筑物外墙和构筑物无明显污迹，无乱张贴和乱涂写。</w:t>
            </w:r>
          </w:p>
        </w:tc>
        <w:tc>
          <w:tcPr>
            <w:tcW w:w="1165" w:type="pct"/>
            <w:vAlign w:val="center"/>
          </w:tcPr>
          <w:p w14:paraId="08394C1A">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发现任何一项不合格，每发现一处扣0.2分。</w:t>
            </w:r>
          </w:p>
        </w:tc>
      </w:tr>
      <w:tr w14:paraId="4E167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5AB54C5D">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w:t>
            </w:r>
          </w:p>
        </w:tc>
        <w:tc>
          <w:tcPr>
            <w:tcW w:w="656" w:type="pct"/>
            <w:shd w:val="clear" w:color="auto" w:fill="auto"/>
            <w:vAlign w:val="center"/>
          </w:tcPr>
          <w:p w14:paraId="783F8145">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道路公共设施清洗 及维修</w:t>
            </w:r>
          </w:p>
        </w:tc>
        <w:tc>
          <w:tcPr>
            <w:tcW w:w="1082" w:type="pct"/>
            <w:vMerge w:val="continue"/>
            <w:shd w:val="clear" w:color="auto" w:fill="auto"/>
            <w:vAlign w:val="center"/>
          </w:tcPr>
          <w:p w14:paraId="374F2D14">
            <w:pPr>
              <w:widowControl/>
              <w:jc w:val="left"/>
              <w:rPr>
                <w:rFonts w:hint="eastAsia" w:ascii="仿宋" w:hAnsi="仿宋" w:eastAsia="仿宋" w:cs="仿宋"/>
                <w:color w:val="auto"/>
                <w:kern w:val="0"/>
                <w:sz w:val="21"/>
                <w:szCs w:val="21"/>
                <w:highlight w:val="none"/>
              </w:rPr>
            </w:pPr>
          </w:p>
        </w:tc>
        <w:tc>
          <w:tcPr>
            <w:tcW w:w="1824" w:type="pct"/>
            <w:vAlign w:val="center"/>
          </w:tcPr>
          <w:p w14:paraId="7381193A">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道路两侧路名牌、指路牌、交通护栏以及路灯杆、交通指示牌杆等无污迹、无积尘、无乱张贴。</w:t>
            </w:r>
          </w:p>
        </w:tc>
        <w:tc>
          <w:tcPr>
            <w:tcW w:w="1165" w:type="pct"/>
            <w:vAlign w:val="center"/>
          </w:tcPr>
          <w:p w14:paraId="3AB1B26B">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发现任何一项不合格，每发现一处扣0.2分。</w:t>
            </w:r>
          </w:p>
        </w:tc>
      </w:tr>
      <w:tr w14:paraId="22A48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50270A8D">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w:t>
            </w:r>
          </w:p>
        </w:tc>
        <w:tc>
          <w:tcPr>
            <w:tcW w:w="656" w:type="pct"/>
            <w:shd w:val="clear" w:color="auto" w:fill="auto"/>
            <w:vAlign w:val="center"/>
          </w:tcPr>
          <w:p w14:paraId="04CC9905">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公交候车站</w:t>
            </w:r>
          </w:p>
        </w:tc>
        <w:tc>
          <w:tcPr>
            <w:tcW w:w="1082" w:type="pct"/>
            <w:shd w:val="clear" w:color="auto" w:fill="auto"/>
            <w:vAlign w:val="center"/>
          </w:tcPr>
          <w:p w14:paraId="38170778">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现场随机查看</w:t>
            </w:r>
          </w:p>
        </w:tc>
        <w:tc>
          <w:tcPr>
            <w:tcW w:w="1824" w:type="pct"/>
            <w:vAlign w:val="center"/>
          </w:tcPr>
          <w:p w14:paraId="66865857">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公交候车站应保持整洁，其保洁质量应与所在道路保洁质量标准相同，无乱张贴、乱涂画。</w:t>
            </w:r>
          </w:p>
        </w:tc>
        <w:tc>
          <w:tcPr>
            <w:tcW w:w="1165" w:type="pct"/>
            <w:vAlign w:val="center"/>
          </w:tcPr>
          <w:p w14:paraId="4AF7E1F7">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发现任何一项不合格，每发现一处扣0.3分。</w:t>
            </w:r>
          </w:p>
        </w:tc>
      </w:tr>
      <w:tr w14:paraId="7A512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1D6EFFDF">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w:t>
            </w:r>
          </w:p>
        </w:tc>
        <w:tc>
          <w:tcPr>
            <w:tcW w:w="656" w:type="pct"/>
            <w:shd w:val="clear" w:color="auto" w:fill="auto"/>
            <w:vAlign w:val="center"/>
          </w:tcPr>
          <w:p w14:paraId="465AD678">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公共绿地保洁</w:t>
            </w:r>
          </w:p>
        </w:tc>
        <w:tc>
          <w:tcPr>
            <w:tcW w:w="1082" w:type="pct"/>
            <w:shd w:val="clear" w:color="auto" w:fill="auto"/>
            <w:vAlign w:val="center"/>
          </w:tcPr>
          <w:p w14:paraId="25E285DF">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考核面积不小于20%</w:t>
            </w:r>
          </w:p>
        </w:tc>
        <w:tc>
          <w:tcPr>
            <w:tcW w:w="1824" w:type="pct"/>
            <w:vAlign w:val="center"/>
          </w:tcPr>
          <w:p w14:paraId="7E369267">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绿地各部位整洁，无垃圾(包括无主建筑垃圾)、土渣、污水、烟头、纸屑、瓜果皮核、人畜粪便及其他污物。</w:t>
            </w:r>
          </w:p>
        </w:tc>
        <w:tc>
          <w:tcPr>
            <w:tcW w:w="1165" w:type="pct"/>
            <w:vAlign w:val="center"/>
          </w:tcPr>
          <w:p w14:paraId="0E9B63D2">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发现任何一项不合格，每发现一处扣0.3分。</w:t>
            </w:r>
          </w:p>
        </w:tc>
      </w:tr>
      <w:tr w14:paraId="082C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271" w:type="pct"/>
            <w:vMerge w:val="restart"/>
            <w:shd w:val="clear" w:color="auto" w:fill="auto"/>
            <w:vAlign w:val="center"/>
          </w:tcPr>
          <w:p w14:paraId="15480F89">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9</w:t>
            </w:r>
          </w:p>
        </w:tc>
        <w:tc>
          <w:tcPr>
            <w:tcW w:w="656" w:type="pct"/>
            <w:vMerge w:val="restart"/>
            <w:shd w:val="clear" w:color="auto" w:fill="auto"/>
            <w:vAlign w:val="center"/>
          </w:tcPr>
          <w:p w14:paraId="0888A8DB">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车辆管理及维修</w:t>
            </w:r>
          </w:p>
        </w:tc>
        <w:tc>
          <w:tcPr>
            <w:tcW w:w="1082" w:type="pct"/>
            <w:vMerge w:val="restart"/>
            <w:shd w:val="clear" w:color="auto" w:fill="auto"/>
            <w:vAlign w:val="center"/>
          </w:tcPr>
          <w:p w14:paraId="7DC281DE">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环卫车队停车场和作业现场，现场随机查看车辆</w:t>
            </w:r>
          </w:p>
        </w:tc>
        <w:tc>
          <w:tcPr>
            <w:tcW w:w="1824" w:type="pct"/>
            <w:vAlign w:val="center"/>
          </w:tcPr>
          <w:p w14:paraId="29FD1736">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清扫保洁车辆作业完毕后车厢内无残留垃圾杂物，车容干净整洁，号牌清晰。</w:t>
            </w:r>
          </w:p>
        </w:tc>
        <w:tc>
          <w:tcPr>
            <w:tcW w:w="1165" w:type="pct"/>
            <w:vMerge w:val="restart"/>
            <w:vAlign w:val="center"/>
          </w:tcPr>
          <w:p w14:paraId="6D704C4E">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发现任何一项不合格，每发现一辆扣0.2分。</w:t>
            </w:r>
          </w:p>
        </w:tc>
      </w:tr>
      <w:tr w14:paraId="5D1F3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271" w:type="pct"/>
            <w:vMerge w:val="continue"/>
            <w:shd w:val="clear" w:color="auto" w:fill="auto"/>
            <w:vAlign w:val="center"/>
          </w:tcPr>
          <w:p w14:paraId="233121F5">
            <w:pPr>
              <w:widowControl/>
              <w:rPr>
                <w:rFonts w:hint="eastAsia" w:ascii="仿宋" w:hAnsi="仿宋" w:eastAsia="仿宋" w:cs="仿宋"/>
                <w:color w:val="auto"/>
                <w:kern w:val="0"/>
                <w:sz w:val="21"/>
                <w:szCs w:val="21"/>
                <w:highlight w:val="none"/>
              </w:rPr>
            </w:pPr>
          </w:p>
        </w:tc>
        <w:tc>
          <w:tcPr>
            <w:tcW w:w="656" w:type="pct"/>
            <w:vMerge w:val="continue"/>
            <w:shd w:val="clear" w:color="auto" w:fill="auto"/>
            <w:vAlign w:val="center"/>
          </w:tcPr>
          <w:p w14:paraId="2EF0817B">
            <w:pPr>
              <w:widowControl/>
              <w:rPr>
                <w:rFonts w:hint="eastAsia" w:ascii="仿宋" w:hAnsi="仿宋" w:eastAsia="仿宋" w:cs="仿宋"/>
                <w:color w:val="auto"/>
                <w:kern w:val="0"/>
                <w:sz w:val="21"/>
                <w:szCs w:val="21"/>
                <w:highlight w:val="none"/>
              </w:rPr>
            </w:pPr>
          </w:p>
        </w:tc>
        <w:tc>
          <w:tcPr>
            <w:tcW w:w="1082" w:type="pct"/>
            <w:vMerge w:val="continue"/>
            <w:shd w:val="clear" w:color="auto" w:fill="auto"/>
            <w:vAlign w:val="center"/>
          </w:tcPr>
          <w:p w14:paraId="5BA41E7A">
            <w:pPr>
              <w:widowControl/>
              <w:jc w:val="left"/>
              <w:rPr>
                <w:rFonts w:hint="eastAsia" w:ascii="仿宋" w:hAnsi="仿宋" w:eastAsia="仿宋" w:cs="仿宋"/>
                <w:color w:val="auto"/>
                <w:kern w:val="0"/>
                <w:sz w:val="21"/>
                <w:szCs w:val="21"/>
                <w:highlight w:val="none"/>
              </w:rPr>
            </w:pPr>
          </w:p>
        </w:tc>
        <w:tc>
          <w:tcPr>
            <w:tcW w:w="1824" w:type="pct"/>
            <w:vAlign w:val="center"/>
          </w:tcPr>
          <w:p w14:paraId="42322382">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清扫保洁车辆定期油饰和维修，保持完好无损。</w:t>
            </w:r>
          </w:p>
        </w:tc>
        <w:tc>
          <w:tcPr>
            <w:tcW w:w="1165" w:type="pct"/>
            <w:vMerge w:val="continue"/>
            <w:vAlign w:val="center"/>
          </w:tcPr>
          <w:p w14:paraId="18890F5D">
            <w:pPr>
              <w:widowControl/>
              <w:jc w:val="left"/>
              <w:rPr>
                <w:rFonts w:hint="eastAsia" w:ascii="仿宋" w:hAnsi="仿宋" w:eastAsia="仿宋" w:cs="仿宋"/>
                <w:color w:val="auto"/>
                <w:kern w:val="0"/>
                <w:sz w:val="21"/>
                <w:szCs w:val="21"/>
                <w:highlight w:val="none"/>
              </w:rPr>
            </w:pPr>
          </w:p>
        </w:tc>
      </w:tr>
      <w:tr w14:paraId="50192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1120C66A">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w:t>
            </w:r>
          </w:p>
        </w:tc>
        <w:tc>
          <w:tcPr>
            <w:tcW w:w="656" w:type="pct"/>
            <w:shd w:val="clear" w:color="auto" w:fill="auto"/>
            <w:vAlign w:val="center"/>
          </w:tcPr>
          <w:p w14:paraId="316888DB">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果皮箱管理</w:t>
            </w:r>
          </w:p>
        </w:tc>
        <w:tc>
          <w:tcPr>
            <w:tcW w:w="1082" w:type="pct"/>
            <w:shd w:val="clear" w:color="auto" w:fill="auto"/>
            <w:vAlign w:val="center"/>
          </w:tcPr>
          <w:p w14:paraId="125703D1">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镇墟道路15-25条(如镇墟不到15条，全部纳入考核)</w:t>
            </w:r>
          </w:p>
        </w:tc>
        <w:tc>
          <w:tcPr>
            <w:tcW w:w="1824" w:type="pct"/>
            <w:vAlign w:val="center"/>
          </w:tcPr>
          <w:p w14:paraId="2F3A1CA1">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按间隔100-200m设置。公交站点要单独设置果皮箱，人流量大的站点要设置两个果皮箱。果皮箱应无残缺、破损，箱体周围地面无抛洒、暴露垃圾，箱内垃圾无满溢。</w:t>
            </w:r>
          </w:p>
        </w:tc>
        <w:tc>
          <w:tcPr>
            <w:tcW w:w="1165" w:type="pct"/>
            <w:vAlign w:val="center"/>
          </w:tcPr>
          <w:p w14:paraId="63690CB3">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不按照规定标准设置的，每处扣0.2分。</w:t>
            </w:r>
          </w:p>
        </w:tc>
      </w:tr>
      <w:tr w14:paraId="520B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6F4A3238">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w:t>
            </w:r>
          </w:p>
        </w:tc>
        <w:tc>
          <w:tcPr>
            <w:tcW w:w="656" w:type="pct"/>
            <w:shd w:val="clear" w:color="auto" w:fill="auto"/>
            <w:vAlign w:val="center"/>
          </w:tcPr>
          <w:p w14:paraId="0C7575E6">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垃圾桶管理</w:t>
            </w:r>
          </w:p>
        </w:tc>
        <w:tc>
          <w:tcPr>
            <w:tcW w:w="1082" w:type="pct"/>
            <w:shd w:val="clear" w:color="auto" w:fill="auto"/>
            <w:vAlign w:val="center"/>
          </w:tcPr>
          <w:p w14:paraId="1138AD3C">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镇墟道路15-25条，农村15个自然村</w:t>
            </w:r>
          </w:p>
        </w:tc>
        <w:tc>
          <w:tcPr>
            <w:tcW w:w="1824" w:type="pct"/>
            <w:vAlign w:val="center"/>
          </w:tcPr>
          <w:p w14:paraId="465A7E82">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垃圾桶应定位设置，摆放整齐。垃圾桶应无残缺、破损，封闭性好，外体干净。垃圾桶及周围5m内应整洁，无散落垃圾、污水和杂草。</w:t>
            </w:r>
          </w:p>
        </w:tc>
        <w:tc>
          <w:tcPr>
            <w:tcW w:w="1165" w:type="pct"/>
            <w:vAlign w:val="center"/>
          </w:tcPr>
          <w:p w14:paraId="18B42569">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不按规定设置的，每处扣0.2分。</w:t>
            </w:r>
          </w:p>
        </w:tc>
      </w:tr>
      <w:tr w14:paraId="2D03D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71" w:type="pct"/>
            <w:vMerge w:val="restart"/>
            <w:shd w:val="clear" w:color="auto" w:fill="auto"/>
            <w:vAlign w:val="center"/>
          </w:tcPr>
          <w:p w14:paraId="2BDD6F22">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w:t>
            </w:r>
          </w:p>
        </w:tc>
        <w:tc>
          <w:tcPr>
            <w:tcW w:w="656" w:type="pct"/>
            <w:vMerge w:val="restart"/>
            <w:shd w:val="clear" w:color="auto" w:fill="auto"/>
            <w:vAlign w:val="center"/>
          </w:tcPr>
          <w:p w14:paraId="68FD46E9">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安全生产</w:t>
            </w:r>
          </w:p>
        </w:tc>
        <w:tc>
          <w:tcPr>
            <w:tcW w:w="1082" w:type="pct"/>
            <w:vMerge w:val="restart"/>
            <w:shd w:val="clear" w:color="auto" w:fill="auto"/>
            <w:vAlign w:val="center"/>
          </w:tcPr>
          <w:p w14:paraId="5796577F">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考评时间内，上路随机考核</w:t>
            </w:r>
          </w:p>
        </w:tc>
        <w:tc>
          <w:tcPr>
            <w:tcW w:w="1824" w:type="pct"/>
            <w:vAlign w:val="center"/>
          </w:tcPr>
          <w:p w14:paraId="3DA790D5">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机械化清扫、冲洗、洒水等作业车辆作业时应开警示灯。</w:t>
            </w:r>
          </w:p>
        </w:tc>
        <w:tc>
          <w:tcPr>
            <w:tcW w:w="1165" w:type="pct"/>
            <w:vAlign w:val="center"/>
          </w:tcPr>
          <w:p w14:paraId="606C1238">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凡发现不按规定开警示灯的，该作业车辆扣0.2分。</w:t>
            </w:r>
          </w:p>
        </w:tc>
      </w:tr>
      <w:tr w14:paraId="76E7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71" w:type="pct"/>
            <w:vMerge w:val="continue"/>
            <w:shd w:val="clear" w:color="auto" w:fill="auto"/>
            <w:vAlign w:val="center"/>
          </w:tcPr>
          <w:p w14:paraId="08230238">
            <w:pPr>
              <w:widowControl/>
              <w:rPr>
                <w:rFonts w:hint="eastAsia" w:ascii="仿宋" w:hAnsi="仿宋" w:eastAsia="仿宋" w:cs="仿宋"/>
                <w:color w:val="auto"/>
                <w:kern w:val="0"/>
                <w:sz w:val="21"/>
                <w:szCs w:val="21"/>
                <w:highlight w:val="none"/>
              </w:rPr>
            </w:pPr>
          </w:p>
        </w:tc>
        <w:tc>
          <w:tcPr>
            <w:tcW w:w="656" w:type="pct"/>
            <w:vMerge w:val="continue"/>
            <w:shd w:val="clear" w:color="auto" w:fill="auto"/>
            <w:vAlign w:val="center"/>
          </w:tcPr>
          <w:p w14:paraId="4218DD95">
            <w:pPr>
              <w:widowControl/>
              <w:rPr>
                <w:rFonts w:hint="eastAsia" w:ascii="仿宋" w:hAnsi="仿宋" w:eastAsia="仿宋" w:cs="仿宋"/>
                <w:color w:val="auto"/>
                <w:kern w:val="0"/>
                <w:sz w:val="21"/>
                <w:szCs w:val="21"/>
                <w:highlight w:val="none"/>
              </w:rPr>
            </w:pPr>
          </w:p>
        </w:tc>
        <w:tc>
          <w:tcPr>
            <w:tcW w:w="1082" w:type="pct"/>
            <w:vMerge w:val="continue"/>
            <w:shd w:val="clear" w:color="auto" w:fill="auto"/>
            <w:vAlign w:val="center"/>
          </w:tcPr>
          <w:p w14:paraId="4EF982A8">
            <w:pPr>
              <w:widowControl/>
              <w:jc w:val="left"/>
              <w:rPr>
                <w:rFonts w:hint="eastAsia" w:ascii="仿宋" w:hAnsi="仿宋" w:eastAsia="仿宋" w:cs="仿宋"/>
                <w:color w:val="auto"/>
                <w:kern w:val="0"/>
                <w:sz w:val="21"/>
                <w:szCs w:val="21"/>
                <w:highlight w:val="none"/>
              </w:rPr>
            </w:pPr>
          </w:p>
        </w:tc>
        <w:tc>
          <w:tcPr>
            <w:tcW w:w="1824" w:type="pct"/>
            <w:vAlign w:val="center"/>
          </w:tcPr>
          <w:p w14:paraId="55164597">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环卫工人作业时应穿着带反光条的工作制服。</w:t>
            </w:r>
          </w:p>
        </w:tc>
        <w:tc>
          <w:tcPr>
            <w:tcW w:w="1165" w:type="pct"/>
            <w:vAlign w:val="center"/>
          </w:tcPr>
          <w:p w14:paraId="52789489">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凡发现工人不按规定穿着带反光条的工作制服的，该名工人扣0.2分。</w:t>
            </w:r>
          </w:p>
        </w:tc>
      </w:tr>
    </w:tbl>
    <w:p w14:paraId="1DDF74BB">
      <w:pPr>
        <w:rPr>
          <w:rFonts w:hint="eastAsia"/>
          <w:color w:val="auto"/>
          <w:highlight w:val="none"/>
        </w:rPr>
        <w:sectPr>
          <w:pgSz w:w="16838" w:h="11906" w:orient="landscape"/>
          <w:pgMar w:top="1797" w:right="1440" w:bottom="1797" w:left="1440" w:header="851" w:footer="1020" w:gutter="0"/>
          <w:cols w:space="720" w:num="1"/>
          <w:titlePg/>
          <w:docGrid w:type="lines" w:linePitch="312" w:charSpace="0"/>
        </w:sect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1860"/>
        <w:gridCol w:w="3067"/>
        <w:gridCol w:w="5171"/>
        <w:gridCol w:w="3308"/>
      </w:tblGrid>
      <w:tr w14:paraId="02591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000" w:type="pct"/>
            <w:gridSpan w:val="5"/>
            <w:shd w:val="clear" w:color="auto" w:fill="auto"/>
            <w:vAlign w:val="center"/>
          </w:tcPr>
          <w:p w14:paraId="208DFE15">
            <w:pPr>
              <w:widowControl/>
              <w:jc w:val="center"/>
              <w:rPr>
                <w:rFonts w:hint="eastAsia" w:ascii="仿宋" w:hAnsi="仿宋" w:eastAsia="仿宋" w:cs="仿宋"/>
                <w:color w:val="auto"/>
                <w:kern w:val="0"/>
                <w:sz w:val="21"/>
                <w:szCs w:val="21"/>
                <w:highlight w:val="none"/>
              </w:rPr>
            </w:pPr>
            <w:r>
              <w:rPr>
                <w:rFonts w:hint="eastAsia" w:ascii="仿宋" w:hAnsi="仿宋" w:eastAsia="仿宋" w:cs="仿宋"/>
                <w:b/>
                <w:bCs/>
                <w:color w:val="auto"/>
                <w:sz w:val="21"/>
                <w:szCs w:val="21"/>
                <w:highlight w:val="none"/>
              </w:rPr>
              <w:t>生活垃圾收集清运（30分）</w:t>
            </w:r>
          </w:p>
        </w:tc>
      </w:tr>
      <w:tr w14:paraId="1D9D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271" w:type="pct"/>
            <w:shd w:val="clear" w:color="auto" w:fill="auto"/>
            <w:vAlign w:val="center"/>
          </w:tcPr>
          <w:p w14:paraId="2FF141A5">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序号</w:t>
            </w:r>
          </w:p>
        </w:tc>
        <w:tc>
          <w:tcPr>
            <w:tcW w:w="656" w:type="pct"/>
            <w:shd w:val="clear" w:color="auto" w:fill="auto"/>
            <w:vAlign w:val="center"/>
          </w:tcPr>
          <w:p w14:paraId="55702F0F">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考核内容</w:t>
            </w:r>
          </w:p>
        </w:tc>
        <w:tc>
          <w:tcPr>
            <w:tcW w:w="1082" w:type="pct"/>
            <w:shd w:val="clear" w:color="auto" w:fill="auto"/>
            <w:vAlign w:val="center"/>
          </w:tcPr>
          <w:p w14:paraId="4BCA344E">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样本及数量</w:t>
            </w:r>
          </w:p>
        </w:tc>
        <w:tc>
          <w:tcPr>
            <w:tcW w:w="1824" w:type="pct"/>
            <w:vAlign w:val="center"/>
          </w:tcPr>
          <w:p w14:paraId="274576B8">
            <w:pPr>
              <w:widowControl w:val="0"/>
              <w:ind w:firstLine="0"/>
              <w:jc w:val="center"/>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管理要求</w:t>
            </w:r>
          </w:p>
        </w:tc>
        <w:tc>
          <w:tcPr>
            <w:tcW w:w="1167" w:type="pct"/>
            <w:vAlign w:val="center"/>
          </w:tcPr>
          <w:p w14:paraId="2EE83747">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评分标准</w:t>
            </w:r>
          </w:p>
        </w:tc>
      </w:tr>
      <w:tr w14:paraId="4FAE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3BAE4198">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656" w:type="pct"/>
            <w:shd w:val="clear" w:color="auto" w:fill="auto"/>
            <w:vAlign w:val="center"/>
          </w:tcPr>
          <w:p w14:paraId="27174481">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垃圾收集</w:t>
            </w:r>
          </w:p>
        </w:tc>
        <w:tc>
          <w:tcPr>
            <w:tcW w:w="1082" w:type="pct"/>
            <w:vMerge w:val="restart"/>
            <w:shd w:val="clear" w:color="auto" w:fill="auto"/>
            <w:vAlign w:val="center"/>
          </w:tcPr>
          <w:p w14:paraId="42ABCC00">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环卫车队停车场和作业现场，现场随机查看车辆</w:t>
            </w:r>
          </w:p>
        </w:tc>
        <w:tc>
          <w:tcPr>
            <w:tcW w:w="1824" w:type="pct"/>
            <w:vAlign w:val="center"/>
          </w:tcPr>
          <w:p w14:paraId="53BDEC3F">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定时定点收集，日产日清，不得堆积、滞留；生活垃圾应及时收集、清运。凡发现任何一项不合格，每个收集点扣0.5分。</w:t>
            </w:r>
          </w:p>
        </w:tc>
        <w:tc>
          <w:tcPr>
            <w:tcW w:w="1167" w:type="pct"/>
            <w:vAlign w:val="center"/>
          </w:tcPr>
          <w:p w14:paraId="381D1B55">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凡发现任何一项不合格，每个收集点扣0.5分。</w:t>
            </w:r>
          </w:p>
        </w:tc>
      </w:tr>
      <w:tr w14:paraId="3588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6EFFE6D8">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p>
        </w:tc>
        <w:tc>
          <w:tcPr>
            <w:tcW w:w="656" w:type="pct"/>
            <w:shd w:val="clear" w:color="auto" w:fill="auto"/>
            <w:vAlign w:val="center"/>
          </w:tcPr>
          <w:p w14:paraId="6A47D4FE">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垃圾运输</w:t>
            </w:r>
          </w:p>
        </w:tc>
        <w:tc>
          <w:tcPr>
            <w:tcW w:w="1082" w:type="pct"/>
            <w:vMerge w:val="continue"/>
            <w:shd w:val="clear" w:color="auto" w:fill="auto"/>
            <w:vAlign w:val="center"/>
          </w:tcPr>
          <w:p w14:paraId="60C2FD19">
            <w:pPr>
              <w:widowControl/>
              <w:jc w:val="center"/>
              <w:rPr>
                <w:rFonts w:hint="eastAsia" w:ascii="仿宋" w:hAnsi="仿宋" w:eastAsia="仿宋" w:cs="仿宋"/>
                <w:color w:val="auto"/>
                <w:kern w:val="0"/>
                <w:sz w:val="21"/>
                <w:szCs w:val="21"/>
                <w:highlight w:val="none"/>
              </w:rPr>
            </w:pPr>
          </w:p>
        </w:tc>
        <w:tc>
          <w:tcPr>
            <w:tcW w:w="1824" w:type="pct"/>
            <w:vAlign w:val="center"/>
          </w:tcPr>
          <w:p w14:paraId="33748658">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运送垃圾的过程应覆盖密闭，实行“垃圾不落地”作业，不 得有滴冒撒漏现象。</w:t>
            </w:r>
          </w:p>
        </w:tc>
        <w:tc>
          <w:tcPr>
            <w:tcW w:w="1167" w:type="pct"/>
            <w:vAlign w:val="center"/>
          </w:tcPr>
          <w:p w14:paraId="1852A4C7">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凡发现任何一项不合格，该作业车辆扣0.5分。</w:t>
            </w:r>
          </w:p>
        </w:tc>
      </w:tr>
      <w:tr w14:paraId="74648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450EA12C">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p>
        </w:tc>
        <w:tc>
          <w:tcPr>
            <w:tcW w:w="656" w:type="pct"/>
            <w:shd w:val="clear" w:color="auto" w:fill="auto"/>
            <w:vAlign w:val="center"/>
          </w:tcPr>
          <w:p w14:paraId="5D49F724">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垃圾清运车车辆管理及维修</w:t>
            </w:r>
          </w:p>
        </w:tc>
        <w:tc>
          <w:tcPr>
            <w:tcW w:w="1082" w:type="pct"/>
            <w:vMerge w:val="continue"/>
            <w:shd w:val="clear" w:color="auto" w:fill="auto"/>
            <w:vAlign w:val="center"/>
          </w:tcPr>
          <w:p w14:paraId="799AF7F7">
            <w:pPr>
              <w:widowControl/>
              <w:jc w:val="center"/>
              <w:rPr>
                <w:rFonts w:hint="eastAsia" w:ascii="仿宋" w:hAnsi="仿宋" w:eastAsia="仿宋" w:cs="仿宋"/>
                <w:color w:val="auto"/>
                <w:kern w:val="0"/>
                <w:sz w:val="21"/>
                <w:szCs w:val="21"/>
                <w:highlight w:val="none"/>
              </w:rPr>
            </w:pPr>
          </w:p>
        </w:tc>
        <w:tc>
          <w:tcPr>
            <w:tcW w:w="1824" w:type="pct"/>
            <w:vAlign w:val="center"/>
          </w:tcPr>
          <w:p w14:paraId="4927C168">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垃圾清运车辆车容整洁，车况良好，车牌号码完整，不得遮挡。垃圾清运车辆定期油饰和维修，保持完好无损。</w:t>
            </w:r>
          </w:p>
        </w:tc>
        <w:tc>
          <w:tcPr>
            <w:tcW w:w="1167" w:type="pct"/>
            <w:vAlign w:val="center"/>
          </w:tcPr>
          <w:p w14:paraId="1533843B">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凡发现任何车辆不合格，该作业车辆扣0.3分。</w:t>
            </w:r>
          </w:p>
        </w:tc>
      </w:tr>
      <w:tr w14:paraId="75D4F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50F204F5">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w:t>
            </w:r>
          </w:p>
        </w:tc>
        <w:tc>
          <w:tcPr>
            <w:tcW w:w="656" w:type="pct"/>
            <w:shd w:val="clear" w:color="auto" w:fill="auto"/>
            <w:vAlign w:val="center"/>
          </w:tcPr>
          <w:p w14:paraId="6FB51C11">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小型垃圾转运站管理</w:t>
            </w:r>
          </w:p>
        </w:tc>
        <w:tc>
          <w:tcPr>
            <w:tcW w:w="1082" w:type="pct"/>
            <w:shd w:val="clear" w:color="auto" w:fill="auto"/>
            <w:vAlign w:val="center"/>
          </w:tcPr>
          <w:p w14:paraId="1202BC0D">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所有小型垃圾转运站</w:t>
            </w:r>
          </w:p>
        </w:tc>
        <w:tc>
          <w:tcPr>
            <w:tcW w:w="1824" w:type="pct"/>
            <w:vAlign w:val="center"/>
          </w:tcPr>
          <w:p w14:paraId="0DF50C94">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小型垃圾转运站应定期清洗、喷洒消毒、灭蚊蝇药物。在可视范围内，苍蝇应少于3只/次，并无活鼠等；装运作业时应避免扰民。</w:t>
            </w:r>
          </w:p>
        </w:tc>
        <w:tc>
          <w:tcPr>
            <w:tcW w:w="1167" w:type="pct"/>
            <w:vAlign w:val="center"/>
          </w:tcPr>
          <w:p w14:paraId="0CF032AE">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凡发现任何一项不合格，该站扣0.3分。</w:t>
            </w:r>
          </w:p>
        </w:tc>
      </w:tr>
      <w:tr w14:paraId="41E91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1" w:type="pct"/>
            <w:shd w:val="clear" w:color="auto" w:fill="auto"/>
            <w:vAlign w:val="center"/>
          </w:tcPr>
          <w:p w14:paraId="062515F9">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w:t>
            </w:r>
          </w:p>
        </w:tc>
        <w:tc>
          <w:tcPr>
            <w:tcW w:w="656" w:type="pct"/>
            <w:shd w:val="clear" w:color="auto" w:fill="auto"/>
            <w:vAlign w:val="center"/>
          </w:tcPr>
          <w:p w14:paraId="57C8B138">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安全生产</w:t>
            </w:r>
          </w:p>
        </w:tc>
        <w:tc>
          <w:tcPr>
            <w:tcW w:w="1082" w:type="pct"/>
            <w:shd w:val="clear" w:color="auto" w:fill="auto"/>
            <w:vAlign w:val="center"/>
          </w:tcPr>
          <w:p w14:paraId="4943A149">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考评时间内，上路随机考核</w:t>
            </w:r>
          </w:p>
        </w:tc>
        <w:tc>
          <w:tcPr>
            <w:tcW w:w="1824" w:type="pct"/>
            <w:vAlign w:val="center"/>
          </w:tcPr>
          <w:p w14:paraId="428F5598">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垃圾清运司机和操作工人应穿反光衣，车道作业设有安全防范措施。</w:t>
            </w:r>
          </w:p>
        </w:tc>
        <w:tc>
          <w:tcPr>
            <w:tcW w:w="1167" w:type="pct"/>
            <w:vAlign w:val="center"/>
          </w:tcPr>
          <w:p w14:paraId="0FD38D86">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凡发现任何一项不合格，扣0.2 分。</w:t>
            </w:r>
          </w:p>
        </w:tc>
      </w:tr>
    </w:tbl>
    <w:p w14:paraId="263106ED">
      <w:pPr>
        <w:rPr>
          <w:rFonts w:hint="eastAsia"/>
          <w:color w:val="auto"/>
          <w:highlight w:val="none"/>
        </w:rPr>
        <w:sectPr>
          <w:pgSz w:w="16838" w:h="11906" w:orient="landscape"/>
          <w:pgMar w:top="1797" w:right="1440" w:bottom="1797" w:left="1440" w:header="851" w:footer="1020" w:gutter="0"/>
          <w:cols w:space="720" w:num="1"/>
          <w:titlePg/>
          <w:docGrid w:type="lines" w:linePitch="312" w:charSpace="0"/>
        </w:sect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1857"/>
        <w:gridCol w:w="3062"/>
        <w:gridCol w:w="5171"/>
        <w:gridCol w:w="3345"/>
      </w:tblGrid>
      <w:tr w14:paraId="4CD63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000" w:type="pct"/>
            <w:gridSpan w:val="5"/>
            <w:shd w:val="clear" w:color="auto" w:fill="auto"/>
            <w:vAlign w:val="center"/>
          </w:tcPr>
          <w:p w14:paraId="41E36CEB">
            <w:pPr>
              <w:widowControl/>
              <w:jc w:val="center"/>
              <w:rPr>
                <w:rFonts w:hint="eastAsia" w:ascii="仿宋" w:hAnsi="仿宋" w:eastAsia="仿宋" w:cs="仿宋"/>
                <w:color w:val="auto"/>
                <w:kern w:val="0"/>
                <w:sz w:val="21"/>
                <w:szCs w:val="21"/>
                <w:highlight w:val="none"/>
              </w:rPr>
            </w:pPr>
            <w:r>
              <w:rPr>
                <w:rFonts w:hint="eastAsia" w:ascii="仿宋" w:hAnsi="仿宋" w:eastAsia="仿宋" w:cs="仿宋"/>
                <w:b/>
                <w:bCs/>
                <w:color w:val="auto"/>
                <w:sz w:val="21"/>
                <w:szCs w:val="21"/>
                <w:highlight w:val="none"/>
              </w:rPr>
              <w:t>公厕运营管理（20分）</w:t>
            </w:r>
          </w:p>
        </w:tc>
      </w:tr>
      <w:tr w14:paraId="7E70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261" w:type="pct"/>
            <w:shd w:val="clear" w:color="auto" w:fill="auto"/>
            <w:vAlign w:val="center"/>
          </w:tcPr>
          <w:p w14:paraId="51FE5D93">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序号</w:t>
            </w:r>
          </w:p>
        </w:tc>
        <w:tc>
          <w:tcPr>
            <w:tcW w:w="655" w:type="pct"/>
            <w:shd w:val="clear" w:color="auto" w:fill="auto"/>
            <w:vAlign w:val="center"/>
          </w:tcPr>
          <w:p w14:paraId="2658C358">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考核内容</w:t>
            </w:r>
          </w:p>
        </w:tc>
        <w:tc>
          <w:tcPr>
            <w:tcW w:w="1080" w:type="pct"/>
            <w:shd w:val="clear" w:color="auto" w:fill="auto"/>
            <w:vAlign w:val="center"/>
          </w:tcPr>
          <w:p w14:paraId="364AD2DF">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样本及数量</w:t>
            </w:r>
          </w:p>
        </w:tc>
        <w:tc>
          <w:tcPr>
            <w:tcW w:w="1824" w:type="pct"/>
            <w:vAlign w:val="center"/>
          </w:tcPr>
          <w:p w14:paraId="6F888EEC">
            <w:pPr>
              <w:widowControl w:val="0"/>
              <w:ind w:firstLine="0"/>
              <w:jc w:val="center"/>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管理要求</w:t>
            </w:r>
          </w:p>
        </w:tc>
        <w:tc>
          <w:tcPr>
            <w:tcW w:w="1180" w:type="pct"/>
            <w:vAlign w:val="center"/>
          </w:tcPr>
          <w:p w14:paraId="64DFF2BC">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评分标准</w:t>
            </w:r>
          </w:p>
        </w:tc>
      </w:tr>
      <w:tr w14:paraId="09338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2C6F85EF">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655" w:type="pct"/>
            <w:vMerge w:val="restart"/>
            <w:shd w:val="clear" w:color="auto" w:fill="auto"/>
            <w:vAlign w:val="center"/>
          </w:tcPr>
          <w:p w14:paraId="4D71E615">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公厕管理</w:t>
            </w:r>
          </w:p>
        </w:tc>
        <w:tc>
          <w:tcPr>
            <w:tcW w:w="1080" w:type="pct"/>
            <w:vMerge w:val="restart"/>
            <w:shd w:val="clear" w:color="auto" w:fill="auto"/>
            <w:vAlign w:val="center"/>
          </w:tcPr>
          <w:p w14:paraId="25949FAD">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随机抽查，镇级考核数量不低 于50%，区级考核数量不低于</w:t>
            </w:r>
          </w:p>
          <w:p w14:paraId="51BE86D7">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w:t>
            </w:r>
          </w:p>
        </w:tc>
        <w:tc>
          <w:tcPr>
            <w:tcW w:w="1824" w:type="pct"/>
            <w:vAlign w:val="center"/>
          </w:tcPr>
          <w:p w14:paraId="1547BB87">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公共厕所内无臭味、蚊蝇，地面无痰迹、烟头、污物，公厕每天应全面冲洗两次以上并随时保洁。</w:t>
            </w:r>
          </w:p>
        </w:tc>
        <w:tc>
          <w:tcPr>
            <w:tcW w:w="1180" w:type="pct"/>
            <w:vAlign w:val="center"/>
          </w:tcPr>
          <w:p w14:paraId="7BF1E036">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凡发现任何一项不合格，扣0.2分。</w:t>
            </w:r>
          </w:p>
        </w:tc>
      </w:tr>
      <w:tr w14:paraId="44EA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18688F84">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p>
        </w:tc>
        <w:tc>
          <w:tcPr>
            <w:tcW w:w="655" w:type="pct"/>
            <w:vMerge w:val="continue"/>
            <w:shd w:val="clear" w:color="auto" w:fill="auto"/>
            <w:vAlign w:val="center"/>
          </w:tcPr>
          <w:p w14:paraId="7E567E3C">
            <w:pPr>
              <w:widowControl/>
              <w:jc w:val="center"/>
              <w:rPr>
                <w:rFonts w:hint="eastAsia" w:ascii="仿宋" w:hAnsi="仿宋" w:eastAsia="仿宋" w:cs="仿宋"/>
                <w:color w:val="auto"/>
                <w:kern w:val="0"/>
                <w:sz w:val="21"/>
                <w:szCs w:val="21"/>
                <w:highlight w:val="none"/>
              </w:rPr>
            </w:pPr>
          </w:p>
        </w:tc>
        <w:tc>
          <w:tcPr>
            <w:tcW w:w="1080" w:type="pct"/>
            <w:vMerge w:val="continue"/>
            <w:shd w:val="clear" w:color="auto" w:fill="auto"/>
            <w:vAlign w:val="center"/>
          </w:tcPr>
          <w:p w14:paraId="5735C858">
            <w:pPr>
              <w:widowControl/>
              <w:jc w:val="center"/>
              <w:rPr>
                <w:rFonts w:hint="eastAsia" w:ascii="仿宋" w:hAnsi="仿宋" w:eastAsia="仿宋" w:cs="仿宋"/>
                <w:color w:val="auto"/>
                <w:kern w:val="0"/>
                <w:sz w:val="21"/>
                <w:szCs w:val="21"/>
                <w:highlight w:val="none"/>
              </w:rPr>
            </w:pPr>
          </w:p>
        </w:tc>
        <w:tc>
          <w:tcPr>
            <w:tcW w:w="1824" w:type="pct"/>
            <w:vAlign w:val="center"/>
          </w:tcPr>
          <w:p w14:paraId="4553BE3F">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厕内墙面、门窗、隔离板等洁净，无积尘，污迹、蛛网。</w:t>
            </w:r>
          </w:p>
        </w:tc>
        <w:tc>
          <w:tcPr>
            <w:tcW w:w="1180" w:type="pct"/>
            <w:vAlign w:val="center"/>
          </w:tcPr>
          <w:p w14:paraId="38B64E67">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凡发现任何一项不合格，扣0.2分。</w:t>
            </w:r>
          </w:p>
        </w:tc>
      </w:tr>
      <w:tr w14:paraId="5734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78D26E4D">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w:t>
            </w:r>
          </w:p>
        </w:tc>
        <w:tc>
          <w:tcPr>
            <w:tcW w:w="655" w:type="pct"/>
            <w:vMerge w:val="continue"/>
            <w:shd w:val="clear" w:color="auto" w:fill="auto"/>
            <w:vAlign w:val="center"/>
          </w:tcPr>
          <w:p w14:paraId="3BDE68F3">
            <w:pPr>
              <w:widowControl/>
              <w:jc w:val="center"/>
              <w:rPr>
                <w:rFonts w:hint="eastAsia" w:ascii="仿宋" w:hAnsi="仿宋" w:eastAsia="仿宋" w:cs="仿宋"/>
                <w:color w:val="auto"/>
                <w:kern w:val="0"/>
                <w:sz w:val="21"/>
                <w:szCs w:val="21"/>
                <w:highlight w:val="none"/>
              </w:rPr>
            </w:pPr>
          </w:p>
        </w:tc>
        <w:tc>
          <w:tcPr>
            <w:tcW w:w="1080" w:type="pct"/>
            <w:vMerge w:val="continue"/>
            <w:shd w:val="clear" w:color="auto" w:fill="auto"/>
            <w:vAlign w:val="center"/>
          </w:tcPr>
          <w:p w14:paraId="5E6CF82F">
            <w:pPr>
              <w:widowControl/>
              <w:jc w:val="center"/>
              <w:rPr>
                <w:rFonts w:hint="eastAsia" w:ascii="仿宋" w:hAnsi="仿宋" w:eastAsia="仿宋" w:cs="仿宋"/>
                <w:color w:val="auto"/>
                <w:kern w:val="0"/>
                <w:sz w:val="21"/>
                <w:szCs w:val="21"/>
                <w:highlight w:val="none"/>
              </w:rPr>
            </w:pPr>
          </w:p>
        </w:tc>
        <w:tc>
          <w:tcPr>
            <w:tcW w:w="1824" w:type="pct"/>
            <w:vAlign w:val="center"/>
          </w:tcPr>
          <w:p w14:paraId="157A0EF9">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吸粪车清吸作业后，及时盖好井盖，化粪井周围整洁无粪迹。</w:t>
            </w:r>
          </w:p>
        </w:tc>
        <w:tc>
          <w:tcPr>
            <w:tcW w:w="1180" w:type="pct"/>
            <w:vAlign w:val="center"/>
          </w:tcPr>
          <w:p w14:paraId="069D2F84">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凡发现任何一项不合格，扣0.2分。</w:t>
            </w:r>
          </w:p>
        </w:tc>
      </w:tr>
      <w:tr w14:paraId="7E3D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16DB7D0A">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w:t>
            </w:r>
          </w:p>
        </w:tc>
        <w:tc>
          <w:tcPr>
            <w:tcW w:w="655" w:type="pct"/>
            <w:vMerge w:val="continue"/>
            <w:shd w:val="clear" w:color="auto" w:fill="auto"/>
            <w:vAlign w:val="center"/>
          </w:tcPr>
          <w:p w14:paraId="7D58AFA9">
            <w:pPr>
              <w:widowControl/>
              <w:jc w:val="center"/>
              <w:rPr>
                <w:rFonts w:hint="eastAsia" w:ascii="仿宋" w:hAnsi="仿宋" w:eastAsia="仿宋" w:cs="仿宋"/>
                <w:color w:val="auto"/>
                <w:kern w:val="0"/>
                <w:sz w:val="21"/>
                <w:szCs w:val="21"/>
                <w:highlight w:val="none"/>
              </w:rPr>
            </w:pPr>
          </w:p>
        </w:tc>
        <w:tc>
          <w:tcPr>
            <w:tcW w:w="1080" w:type="pct"/>
            <w:vMerge w:val="continue"/>
            <w:shd w:val="clear" w:color="auto" w:fill="auto"/>
            <w:vAlign w:val="center"/>
          </w:tcPr>
          <w:p w14:paraId="4E57EE17">
            <w:pPr>
              <w:widowControl/>
              <w:jc w:val="center"/>
              <w:rPr>
                <w:rFonts w:hint="eastAsia" w:ascii="仿宋" w:hAnsi="仿宋" w:eastAsia="仿宋" w:cs="仿宋"/>
                <w:color w:val="auto"/>
                <w:kern w:val="0"/>
                <w:sz w:val="21"/>
                <w:szCs w:val="21"/>
                <w:highlight w:val="none"/>
              </w:rPr>
            </w:pPr>
          </w:p>
        </w:tc>
        <w:tc>
          <w:tcPr>
            <w:tcW w:w="1824" w:type="pct"/>
            <w:vAlign w:val="center"/>
          </w:tcPr>
          <w:p w14:paraId="1E55C066">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保洁工具使用完毕应整齐存放在不显眼的位置或存放在工具房(箱)内；不得将保洁工具放在便器、洗手盆或楼梯</w:t>
            </w:r>
          </w:p>
        </w:tc>
        <w:tc>
          <w:tcPr>
            <w:tcW w:w="1180" w:type="pct"/>
            <w:vAlign w:val="center"/>
          </w:tcPr>
          <w:p w14:paraId="5AC2CCF0">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凡发现任何一项不合格，扣0.2分。</w:t>
            </w:r>
          </w:p>
        </w:tc>
      </w:tr>
      <w:tr w14:paraId="26808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059F91B7">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w:t>
            </w:r>
          </w:p>
        </w:tc>
        <w:tc>
          <w:tcPr>
            <w:tcW w:w="655" w:type="pct"/>
            <w:vMerge w:val="continue"/>
            <w:shd w:val="clear" w:color="auto" w:fill="auto"/>
            <w:vAlign w:val="center"/>
          </w:tcPr>
          <w:p w14:paraId="55A5C6A9">
            <w:pPr>
              <w:widowControl/>
              <w:jc w:val="center"/>
              <w:rPr>
                <w:rFonts w:hint="eastAsia" w:ascii="仿宋" w:hAnsi="仿宋" w:eastAsia="仿宋" w:cs="仿宋"/>
                <w:color w:val="auto"/>
                <w:kern w:val="0"/>
                <w:sz w:val="21"/>
                <w:szCs w:val="21"/>
                <w:highlight w:val="none"/>
              </w:rPr>
            </w:pPr>
          </w:p>
        </w:tc>
        <w:tc>
          <w:tcPr>
            <w:tcW w:w="1080" w:type="pct"/>
            <w:vMerge w:val="continue"/>
            <w:shd w:val="clear" w:color="auto" w:fill="auto"/>
            <w:vAlign w:val="center"/>
          </w:tcPr>
          <w:p w14:paraId="53C32F8A">
            <w:pPr>
              <w:widowControl/>
              <w:jc w:val="center"/>
              <w:rPr>
                <w:rFonts w:hint="eastAsia" w:ascii="仿宋" w:hAnsi="仿宋" w:eastAsia="仿宋" w:cs="仿宋"/>
                <w:color w:val="auto"/>
                <w:kern w:val="0"/>
                <w:sz w:val="21"/>
                <w:szCs w:val="21"/>
                <w:highlight w:val="none"/>
              </w:rPr>
            </w:pPr>
          </w:p>
        </w:tc>
        <w:tc>
          <w:tcPr>
            <w:tcW w:w="1824" w:type="pct"/>
            <w:vAlign w:val="center"/>
          </w:tcPr>
          <w:p w14:paraId="02039B6D">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定期清除公厕贮(化)粪池内的粪便或粪渣，粪水不溢。要如实做好定期抽粪记录，不得弄虚作假。</w:t>
            </w:r>
          </w:p>
        </w:tc>
        <w:tc>
          <w:tcPr>
            <w:tcW w:w="1180" w:type="pct"/>
            <w:vAlign w:val="center"/>
          </w:tcPr>
          <w:p w14:paraId="5F6E535A">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凡发现任何一项不合格，扣0.2分。</w:t>
            </w:r>
          </w:p>
        </w:tc>
      </w:tr>
      <w:tr w14:paraId="2971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2C56C2AF">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w:t>
            </w:r>
          </w:p>
        </w:tc>
        <w:tc>
          <w:tcPr>
            <w:tcW w:w="655" w:type="pct"/>
            <w:vMerge w:val="continue"/>
            <w:shd w:val="clear" w:color="auto" w:fill="auto"/>
            <w:vAlign w:val="center"/>
          </w:tcPr>
          <w:p w14:paraId="1777877F">
            <w:pPr>
              <w:widowControl/>
              <w:jc w:val="center"/>
              <w:rPr>
                <w:rFonts w:hint="eastAsia" w:ascii="仿宋" w:hAnsi="仿宋" w:eastAsia="仿宋" w:cs="仿宋"/>
                <w:color w:val="auto"/>
                <w:kern w:val="0"/>
                <w:sz w:val="21"/>
                <w:szCs w:val="21"/>
                <w:highlight w:val="none"/>
              </w:rPr>
            </w:pPr>
          </w:p>
        </w:tc>
        <w:tc>
          <w:tcPr>
            <w:tcW w:w="1080" w:type="pct"/>
            <w:vMerge w:val="continue"/>
            <w:shd w:val="clear" w:color="auto" w:fill="auto"/>
            <w:vAlign w:val="center"/>
          </w:tcPr>
          <w:p w14:paraId="5F95D765">
            <w:pPr>
              <w:widowControl/>
              <w:jc w:val="center"/>
              <w:rPr>
                <w:rFonts w:hint="eastAsia" w:ascii="仿宋" w:hAnsi="仿宋" w:eastAsia="仿宋" w:cs="仿宋"/>
                <w:color w:val="auto"/>
                <w:kern w:val="0"/>
                <w:sz w:val="21"/>
                <w:szCs w:val="21"/>
                <w:highlight w:val="none"/>
              </w:rPr>
            </w:pPr>
          </w:p>
        </w:tc>
        <w:tc>
          <w:tcPr>
            <w:tcW w:w="1824" w:type="pct"/>
            <w:vAlign w:val="center"/>
          </w:tcPr>
          <w:p w14:paraId="127529BE">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公厕内地面应保持整洁，粪槽、便槽和管道应无破损，内外墙应无剥落。</w:t>
            </w:r>
          </w:p>
        </w:tc>
        <w:tc>
          <w:tcPr>
            <w:tcW w:w="1180" w:type="pct"/>
            <w:vAlign w:val="center"/>
          </w:tcPr>
          <w:p w14:paraId="33CF0EA7">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凡发现任何一项不合格，扣0.2分。</w:t>
            </w:r>
          </w:p>
        </w:tc>
      </w:tr>
      <w:tr w14:paraId="1BFF7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13611288">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w:t>
            </w:r>
          </w:p>
        </w:tc>
        <w:tc>
          <w:tcPr>
            <w:tcW w:w="655" w:type="pct"/>
            <w:vMerge w:val="continue"/>
            <w:shd w:val="clear" w:color="auto" w:fill="auto"/>
            <w:vAlign w:val="center"/>
          </w:tcPr>
          <w:p w14:paraId="0E10AB66">
            <w:pPr>
              <w:widowControl/>
              <w:jc w:val="center"/>
              <w:rPr>
                <w:rFonts w:hint="eastAsia" w:ascii="仿宋" w:hAnsi="仿宋" w:eastAsia="仿宋" w:cs="仿宋"/>
                <w:color w:val="auto"/>
                <w:kern w:val="0"/>
                <w:sz w:val="21"/>
                <w:szCs w:val="21"/>
                <w:highlight w:val="none"/>
              </w:rPr>
            </w:pPr>
          </w:p>
        </w:tc>
        <w:tc>
          <w:tcPr>
            <w:tcW w:w="1080" w:type="pct"/>
            <w:vMerge w:val="continue"/>
            <w:shd w:val="clear" w:color="auto" w:fill="auto"/>
            <w:vAlign w:val="center"/>
          </w:tcPr>
          <w:p w14:paraId="308C202D">
            <w:pPr>
              <w:widowControl/>
              <w:jc w:val="center"/>
              <w:rPr>
                <w:rFonts w:hint="eastAsia" w:ascii="仿宋" w:hAnsi="仿宋" w:eastAsia="仿宋" w:cs="仿宋"/>
                <w:color w:val="auto"/>
                <w:kern w:val="0"/>
                <w:sz w:val="21"/>
                <w:szCs w:val="21"/>
                <w:highlight w:val="none"/>
              </w:rPr>
            </w:pPr>
          </w:p>
        </w:tc>
        <w:tc>
          <w:tcPr>
            <w:tcW w:w="1824" w:type="pct"/>
            <w:vAlign w:val="center"/>
          </w:tcPr>
          <w:p w14:paraId="0ABB3A10">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公厕四周3-5m范围内，应无垃圾、粪便、污水等污物。</w:t>
            </w:r>
          </w:p>
        </w:tc>
        <w:tc>
          <w:tcPr>
            <w:tcW w:w="1180" w:type="pct"/>
            <w:vAlign w:val="center"/>
          </w:tcPr>
          <w:p w14:paraId="4BAF37E0">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凡发现任何一项不合格，扣0.2分。</w:t>
            </w:r>
          </w:p>
        </w:tc>
      </w:tr>
      <w:tr w14:paraId="4D3A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31BEA99C">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w:t>
            </w:r>
          </w:p>
        </w:tc>
        <w:tc>
          <w:tcPr>
            <w:tcW w:w="655" w:type="pct"/>
            <w:vMerge w:val="continue"/>
            <w:shd w:val="clear" w:color="auto" w:fill="auto"/>
            <w:vAlign w:val="center"/>
          </w:tcPr>
          <w:p w14:paraId="7A7D861B">
            <w:pPr>
              <w:widowControl/>
              <w:jc w:val="center"/>
              <w:rPr>
                <w:rFonts w:hint="eastAsia" w:ascii="仿宋" w:hAnsi="仿宋" w:eastAsia="仿宋" w:cs="仿宋"/>
                <w:color w:val="auto"/>
                <w:kern w:val="0"/>
                <w:sz w:val="21"/>
                <w:szCs w:val="21"/>
                <w:highlight w:val="none"/>
              </w:rPr>
            </w:pPr>
          </w:p>
        </w:tc>
        <w:tc>
          <w:tcPr>
            <w:tcW w:w="1080" w:type="pct"/>
            <w:vMerge w:val="continue"/>
            <w:shd w:val="clear" w:color="auto" w:fill="auto"/>
            <w:vAlign w:val="center"/>
          </w:tcPr>
          <w:p w14:paraId="3C8EC21B">
            <w:pPr>
              <w:widowControl/>
              <w:jc w:val="center"/>
              <w:rPr>
                <w:rFonts w:hint="eastAsia" w:ascii="仿宋" w:hAnsi="仿宋" w:eastAsia="仿宋" w:cs="仿宋"/>
                <w:color w:val="auto"/>
                <w:kern w:val="0"/>
                <w:sz w:val="21"/>
                <w:szCs w:val="21"/>
                <w:highlight w:val="none"/>
              </w:rPr>
            </w:pPr>
          </w:p>
        </w:tc>
        <w:tc>
          <w:tcPr>
            <w:tcW w:w="1824" w:type="pct"/>
            <w:vAlign w:val="center"/>
          </w:tcPr>
          <w:p w14:paraId="4BB948DE">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公厕内自然通气良好，自然光线充足，有通风设施和照明设施，厕内设施完好无缺损。</w:t>
            </w:r>
          </w:p>
        </w:tc>
        <w:tc>
          <w:tcPr>
            <w:tcW w:w="1180" w:type="pct"/>
            <w:vAlign w:val="center"/>
          </w:tcPr>
          <w:p w14:paraId="1E2D5C4B">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凡发现任何一项不合格，扣0.2分。</w:t>
            </w:r>
          </w:p>
        </w:tc>
      </w:tr>
      <w:tr w14:paraId="6470E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56B88C33">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9</w:t>
            </w:r>
          </w:p>
        </w:tc>
        <w:tc>
          <w:tcPr>
            <w:tcW w:w="655" w:type="pct"/>
            <w:vMerge w:val="continue"/>
            <w:shd w:val="clear" w:color="auto" w:fill="auto"/>
            <w:vAlign w:val="center"/>
          </w:tcPr>
          <w:p w14:paraId="00E76F0D">
            <w:pPr>
              <w:widowControl/>
              <w:jc w:val="center"/>
              <w:rPr>
                <w:rFonts w:hint="eastAsia" w:ascii="仿宋" w:hAnsi="仿宋" w:eastAsia="仿宋" w:cs="仿宋"/>
                <w:color w:val="auto"/>
                <w:kern w:val="0"/>
                <w:sz w:val="21"/>
                <w:szCs w:val="21"/>
                <w:highlight w:val="none"/>
              </w:rPr>
            </w:pPr>
          </w:p>
        </w:tc>
        <w:tc>
          <w:tcPr>
            <w:tcW w:w="1080" w:type="pct"/>
            <w:vMerge w:val="continue"/>
            <w:shd w:val="clear" w:color="auto" w:fill="auto"/>
            <w:vAlign w:val="center"/>
          </w:tcPr>
          <w:p w14:paraId="499BF620">
            <w:pPr>
              <w:widowControl/>
              <w:jc w:val="center"/>
              <w:rPr>
                <w:rFonts w:hint="eastAsia" w:ascii="仿宋" w:hAnsi="仿宋" w:eastAsia="仿宋" w:cs="仿宋"/>
                <w:color w:val="auto"/>
                <w:kern w:val="0"/>
                <w:sz w:val="21"/>
                <w:szCs w:val="21"/>
                <w:highlight w:val="none"/>
              </w:rPr>
            </w:pPr>
          </w:p>
        </w:tc>
        <w:tc>
          <w:tcPr>
            <w:tcW w:w="1824" w:type="pct"/>
            <w:vAlign w:val="center"/>
          </w:tcPr>
          <w:p w14:paraId="7F3E1080">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公厕标识牌整洁、规范，设置明显。</w:t>
            </w:r>
          </w:p>
        </w:tc>
        <w:tc>
          <w:tcPr>
            <w:tcW w:w="1180" w:type="pct"/>
            <w:vAlign w:val="center"/>
          </w:tcPr>
          <w:p w14:paraId="0B0BF2DE">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凡发现任何一项不合格，扣0.2分。</w:t>
            </w:r>
          </w:p>
        </w:tc>
      </w:tr>
      <w:tr w14:paraId="4AF08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5A23F159">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w:t>
            </w:r>
          </w:p>
        </w:tc>
        <w:tc>
          <w:tcPr>
            <w:tcW w:w="655" w:type="pct"/>
            <w:vMerge w:val="continue"/>
            <w:shd w:val="clear" w:color="auto" w:fill="auto"/>
            <w:vAlign w:val="center"/>
          </w:tcPr>
          <w:p w14:paraId="2FEEBEF8">
            <w:pPr>
              <w:widowControl/>
              <w:jc w:val="center"/>
              <w:rPr>
                <w:rFonts w:hint="eastAsia" w:ascii="仿宋" w:hAnsi="仿宋" w:eastAsia="仿宋" w:cs="仿宋"/>
                <w:color w:val="auto"/>
                <w:kern w:val="0"/>
                <w:sz w:val="21"/>
                <w:szCs w:val="21"/>
                <w:highlight w:val="none"/>
              </w:rPr>
            </w:pPr>
          </w:p>
        </w:tc>
        <w:tc>
          <w:tcPr>
            <w:tcW w:w="1080" w:type="pct"/>
            <w:vMerge w:val="continue"/>
            <w:shd w:val="clear" w:color="auto" w:fill="auto"/>
            <w:vAlign w:val="center"/>
          </w:tcPr>
          <w:p w14:paraId="75210F8D">
            <w:pPr>
              <w:widowControl/>
              <w:jc w:val="center"/>
              <w:rPr>
                <w:rFonts w:hint="eastAsia" w:ascii="仿宋" w:hAnsi="仿宋" w:eastAsia="仿宋" w:cs="仿宋"/>
                <w:color w:val="auto"/>
                <w:kern w:val="0"/>
                <w:sz w:val="21"/>
                <w:szCs w:val="21"/>
                <w:highlight w:val="none"/>
              </w:rPr>
            </w:pPr>
          </w:p>
        </w:tc>
        <w:tc>
          <w:tcPr>
            <w:tcW w:w="1824" w:type="pct"/>
            <w:vAlign w:val="center"/>
          </w:tcPr>
          <w:p w14:paraId="105E7DCD">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公厕内水管、水龙头、冲水器损坏，及时维修，厕内灯具、 洗手盆(池)损坏，及时维修。</w:t>
            </w:r>
          </w:p>
        </w:tc>
        <w:tc>
          <w:tcPr>
            <w:tcW w:w="1180" w:type="pct"/>
            <w:vAlign w:val="center"/>
          </w:tcPr>
          <w:p w14:paraId="140CD267">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凡发现任何一项不合格，扣0.2分。</w:t>
            </w:r>
          </w:p>
        </w:tc>
      </w:tr>
      <w:tr w14:paraId="611FA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261" w:type="pct"/>
            <w:shd w:val="clear" w:color="auto" w:fill="auto"/>
            <w:vAlign w:val="center"/>
          </w:tcPr>
          <w:p w14:paraId="08121663">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w:t>
            </w:r>
          </w:p>
        </w:tc>
        <w:tc>
          <w:tcPr>
            <w:tcW w:w="655" w:type="pct"/>
            <w:vMerge w:val="continue"/>
            <w:shd w:val="clear" w:color="auto" w:fill="auto"/>
            <w:vAlign w:val="center"/>
          </w:tcPr>
          <w:p w14:paraId="38F19574">
            <w:pPr>
              <w:widowControl/>
              <w:jc w:val="center"/>
              <w:rPr>
                <w:rFonts w:hint="eastAsia" w:ascii="仿宋" w:hAnsi="仿宋" w:eastAsia="仿宋" w:cs="仿宋"/>
                <w:color w:val="auto"/>
                <w:kern w:val="0"/>
                <w:sz w:val="21"/>
                <w:szCs w:val="21"/>
                <w:highlight w:val="none"/>
              </w:rPr>
            </w:pPr>
          </w:p>
        </w:tc>
        <w:tc>
          <w:tcPr>
            <w:tcW w:w="1080" w:type="pct"/>
            <w:vMerge w:val="continue"/>
            <w:shd w:val="clear" w:color="auto" w:fill="auto"/>
            <w:vAlign w:val="center"/>
          </w:tcPr>
          <w:p w14:paraId="26FF538A">
            <w:pPr>
              <w:widowControl/>
              <w:jc w:val="center"/>
              <w:rPr>
                <w:rFonts w:hint="eastAsia" w:ascii="仿宋" w:hAnsi="仿宋" w:eastAsia="仿宋" w:cs="仿宋"/>
                <w:color w:val="auto"/>
                <w:kern w:val="0"/>
                <w:sz w:val="21"/>
                <w:szCs w:val="21"/>
                <w:highlight w:val="none"/>
              </w:rPr>
            </w:pPr>
          </w:p>
        </w:tc>
        <w:tc>
          <w:tcPr>
            <w:tcW w:w="1824" w:type="pct"/>
            <w:vAlign w:val="center"/>
          </w:tcPr>
          <w:p w14:paraId="2C34AB27">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公共厕所要配置管理人员，公共厕所管理人员保持衣冠整齐，管理人员办公室整洁美观，有明显所属单位标志；文明作业、礼貌服务。</w:t>
            </w:r>
          </w:p>
        </w:tc>
        <w:tc>
          <w:tcPr>
            <w:tcW w:w="1180" w:type="pct"/>
            <w:vAlign w:val="center"/>
          </w:tcPr>
          <w:p w14:paraId="7B96BEB9">
            <w:pPr>
              <w:widowControl/>
              <w:jc w:val="left"/>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rPr>
              <w:t>凡发现任何一项不合格，扣0.2分</w:t>
            </w:r>
            <w:r>
              <w:rPr>
                <w:rFonts w:hint="eastAsia" w:ascii="仿宋" w:hAnsi="仿宋" w:eastAsia="仿宋" w:cs="仿宋"/>
                <w:color w:val="auto"/>
                <w:kern w:val="0"/>
                <w:sz w:val="21"/>
                <w:szCs w:val="21"/>
                <w:highlight w:val="none"/>
                <w:lang w:eastAsia="zh-CN"/>
              </w:rPr>
              <w:t>。</w:t>
            </w:r>
          </w:p>
        </w:tc>
      </w:tr>
      <w:tr w14:paraId="60AAA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16EE3446">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w:t>
            </w:r>
          </w:p>
        </w:tc>
        <w:tc>
          <w:tcPr>
            <w:tcW w:w="655" w:type="pct"/>
            <w:vMerge w:val="continue"/>
            <w:shd w:val="clear" w:color="auto" w:fill="auto"/>
            <w:vAlign w:val="center"/>
          </w:tcPr>
          <w:p w14:paraId="4B582EE8">
            <w:pPr>
              <w:widowControl/>
              <w:jc w:val="center"/>
              <w:rPr>
                <w:rFonts w:hint="eastAsia" w:ascii="仿宋" w:hAnsi="仿宋" w:eastAsia="仿宋" w:cs="仿宋"/>
                <w:color w:val="auto"/>
                <w:kern w:val="0"/>
                <w:sz w:val="21"/>
                <w:szCs w:val="21"/>
                <w:highlight w:val="none"/>
              </w:rPr>
            </w:pPr>
          </w:p>
        </w:tc>
        <w:tc>
          <w:tcPr>
            <w:tcW w:w="1080" w:type="pct"/>
            <w:vMerge w:val="continue"/>
            <w:shd w:val="clear" w:color="auto" w:fill="auto"/>
            <w:vAlign w:val="center"/>
          </w:tcPr>
          <w:p w14:paraId="110C4D15">
            <w:pPr>
              <w:widowControl/>
              <w:jc w:val="center"/>
              <w:rPr>
                <w:rFonts w:hint="eastAsia" w:ascii="仿宋" w:hAnsi="仿宋" w:eastAsia="仿宋" w:cs="仿宋"/>
                <w:color w:val="auto"/>
                <w:kern w:val="0"/>
                <w:sz w:val="21"/>
                <w:szCs w:val="21"/>
                <w:highlight w:val="none"/>
              </w:rPr>
            </w:pPr>
          </w:p>
        </w:tc>
        <w:tc>
          <w:tcPr>
            <w:tcW w:w="1824" w:type="pct"/>
            <w:vAlign w:val="center"/>
          </w:tcPr>
          <w:p w14:paraId="1FF5C718">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不得占用或妨碍残疾人公共厕所的正常使用。</w:t>
            </w:r>
          </w:p>
        </w:tc>
        <w:tc>
          <w:tcPr>
            <w:tcW w:w="1180" w:type="pct"/>
            <w:vAlign w:val="center"/>
          </w:tcPr>
          <w:p w14:paraId="32E39A7E">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凡发现任何一项不合格，扣0.2分。</w:t>
            </w:r>
          </w:p>
        </w:tc>
      </w:tr>
      <w:tr w14:paraId="43F5B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 w:type="pct"/>
            <w:shd w:val="clear" w:color="auto" w:fill="auto"/>
            <w:vAlign w:val="center"/>
          </w:tcPr>
          <w:p w14:paraId="0D8E6053">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w:t>
            </w:r>
          </w:p>
        </w:tc>
        <w:tc>
          <w:tcPr>
            <w:tcW w:w="655" w:type="pct"/>
            <w:vMerge w:val="continue"/>
            <w:shd w:val="clear" w:color="auto" w:fill="auto"/>
            <w:vAlign w:val="center"/>
          </w:tcPr>
          <w:p w14:paraId="2A120880">
            <w:pPr>
              <w:widowControl/>
              <w:jc w:val="center"/>
              <w:rPr>
                <w:rFonts w:hint="eastAsia" w:ascii="仿宋" w:hAnsi="仿宋" w:eastAsia="仿宋" w:cs="仿宋"/>
                <w:color w:val="auto"/>
                <w:kern w:val="0"/>
                <w:sz w:val="21"/>
                <w:szCs w:val="21"/>
                <w:highlight w:val="none"/>
              </w:rPr>
            </w:pPr>
          </w:p>
        </w:tc>
        <w:tc>
          <w:tcPr>
            <w:tcW w:w="1080" w:type="pct"/>
            <w:vMerge w:val="continue"/>
            <w:shd w:val="clear" w:color="auto" w:fill="auto"/>
            <w:vAlign w:val="center"/>
          </w:tcPr>
          <w:p w14:paraId="10DCE0C2">
            <w:pPr>
              <w:widowControl/>
              <w:jc w:val="center"/>
              <w:rPr>
                <w:rFonts w:hint="eastAsia" w:ascii="仿宋" w:hAnsi="仿宋" w:eastAsia="仿宋" w:cs="仿宋"/>
                <w:color w:val="auto"/>
                <w:kern w:val="0"/>
                <w:sz w:val="21"/>
                <w:szCs w:val="21"/>
                <w:highlight w:val="none"/>
              </w:rPr>
            </w:pPr>
          </w:p>
        </w:tc>
        <w:tc>
          <w:tcPr>
            <w:tcW w:w="1824" w:type="pct"/>
            <w:vAlign w:val="center"/>
          </w:tcPr>
          <w:p w14:paraId="04A7262E">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建立安全生产管理制度和落实安全生产责任人，并有完整的作业和检查记录。</w:t>
            </w:r>
          </w:p>
        </w:tc>
        <w:tc>
          <w:tcPr>
            <w:tcW w:w="1180" w:type="pct"/>
            <w:vAlign w:val="center"/>
          </w:tcPr>
          <w:p w14:paraId="1B7072ED">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凡发现任何一项不合格，扣0.2分。</w:t>
            </w:r>
          </w:p>
        </w:tc>
      </w:tr>
    </w:tbl>
    <w:p w14:paraId="451889F9">
      <w:pPr>
        <w:rPr>
          <w:rFonts w:hint="eastAsia"/>
          <w:color w:val="auto"/>
          <w:highlight w:val="none"/>
        </w:rPr>
      </w:pPr>
    </w:p>
    <w:p w14:paraId="3AA9C633">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p w14:paraId="0D49EE37">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p w14:paraId="658C8E8C">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p w14:paraId="326E74CC">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p w14:paraId="715AAF5A">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p w14:paraId="794CBF27">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p w14:paraId="38EB7EF4">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p w14:paraId="2252DE1E">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p w14:paraId="7C0B73B7">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p w14:paraId="5B9DC381">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p w14:paraId="2CE48001">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p w14:paraId="03BC511D">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p w14:paraId="73A65B45">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p w14:paraId="79A847F5">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p w14:paraId="40B37A2A">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p w14:paraId="5A1961FE">
      <w:pPr>
        <w:widowControl w:val="0"/>
        <w:ind w:firstLine="420"/>
        <w:jc w:val="both"/>
        <w:rPr>
          <w:rFonts w:hint="eastAsia" w:ascii="Times New Roman" w:hAnsi="Times New Roman" w:eastAsiaTheme="minorEastAsia" w:cstheme="minorBidi"/>
          <w:color w:val="auto"/>
          <w:kern w:val="2"/>
          <w:sz w:val="21"/>
          <w:szCs w:val="20"/>
          <w:highlight w:val="none"/>
          <w:lang w:val="en-US" w:eastAsia="zh-CN" w:bidi="ar-SA"/>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857"/>
        <w:gridCol w:w="3062"/>
        <w:gridCol w:w="5171"/>
        <w:gridCol w:w="3365"/>
      </w:tblGrid>
      <w:tr w14:paraId="7666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000" w:type="pct"/>
            <w:gridSpan w:val="5"/>
            <w:shd w:val="clear" w:color="auto" w:fill="auto"/>
            <w:vAlign w:val="center"/>
          </w:tcPr>
          <w:p w14:paraId="30BF8085">
            <w:pPr>
              <w:widowControl/>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b/>
                <w:bCs/>
                <w:color w:val="auto"/>
                <w:sz w:val="21"/>
                <w:szCs w:val="21"/>
                <w:highlight w:val="none"/>
                <w:lang w:val="en-US" w:eastAsia="zh-CN"/>
              </w:rPr>
              <w:t>额外扣分项</w:t>
            </w:r>
          </w:p>
        </w:tc>
      </w:tr>
      <w:tr w14:paraId="7C717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254" w:type="pct"/>
            <w:shd w:val="clear" w:color="auto" w:fill="auto"/>
            <w:vAlign w:val="center"/>
          </w:tcPr>
          <w:p w14:paraId="2919A7D6">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序号</w:t>
            </w:r>
          </w:p>
        </w:tc>
        <w:tc>
          <w:tcPr>
            <w:tcW w:w="655" w:type="pct"/>
            <w:shd w:val="clear" w:color="auto" w:fill="auto"/>
            <w:vAlign w:val="center"/>
          </w:tcPr>
          <w:p w14:paraId="01E860D6">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考核内容</w:t>
            </w:r>
          </w:p>
        </w:tc>
        <w:tc>
          <w:tcPr>
            <w:tcW w:w="1080" w:type="pct"/>
            <w:shd w:val="clear" w:color="auto" w:fill="auto"/>
            <w:vAlign w:val="center"/>
          </w:tcPr>
          <w:p w14:paraId="5076964E">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样本及数量</w:t>
            </w:r>
          </w:p>
        </w:tc>
        <w:tc>
          <w:tcPr>
            <w:tcW w:w="1824" w:type="pct"/>
            <w:vAlign w:val="center"/>
          </w:tcPr>
          <w:p w14:paraId="1880A3C4">
            <w:pPr>
              <w:widowControl w:val="0"/>
              <w:ind w:firstLine="0"/>
              <w:jc w:val="center"/>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管理要求</w:t>
            </w:r>
          </w:p>
        </w:tc>
        <w:tc>
          <w:tcPr>
            <w:tcW w:w="1185" w:type="pct"/>
            <w:vAlign w:val="center"/>
          </w:tcPr>
          <w:p w14:paraId="0ED96AD3">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评分标准</w:t>
            </w:r>
          </w:p>
        </w:tc>
      </w:tr>
      <w:tr w14:paraId="5799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4" w:type="pct"/>
            <w:shd w:val="clear" w:color="auto" w:fill="auto"/>
            <w:vAlign w:val="center"/>
          </w:tcPr>
          <w:p w14:paraId="46F2A01B">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p>
        </w:tc>
        <w:tc>
          <w:tcPr>
            <w:tcW w:w="4745" w:type="pct"/>
            <w:gridSpan w:val="4"/>
            <w:shd w:val="clear" w:color="auto" w:fill="auto"/>
            <w:vAlign w:val="center"/>
          </w:tcPr>
          <w:p w14:paraId="6DFA0142">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若镇墟环卫企业各月配置的本项目作业人员数量均低于区环卫局批准的作业人员数量，则区环卫局将根据该季度内缺少人数额最小的月份的缺少人员数量，按照2010元/人的标准直接扣减当季度应支付的服务费；若镇墟环卫企业配置的本项目环卫设备资产年度折旧额低于方案折旧额，则区环卫局将按照（方案折旧额-实际配置的环卫设备资产年度折旧额）/12×未足额配置月数的标准（实际配置的环卫设备资产年度折旧额以镇墟环卫企业报送的环卫设备配置方案中年度折旧额为参考依据，以区环卫局认定的折旧额为准），直接扣减当季度应支付的服务费，其中，未足额配置月数不足一个月的按一个月计算。</w:t>
            </w:r>
          </w:p>
        </w:tc>
      </w:tr>
      <w:tr w14:paraId="0574F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4" w:type="pct"/>
            <w:shd w:val="clear" w:color="auto" w:fill="auto"/>
            <w:vAlign w:val="center"/>
          </w:tcPr>
          <w:p w14:paraId="546EAAAD">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w:t>
            </w:r>
          </w:p>
        </w:tc>
        <w:tc>
          <w:tcPr>
            <w:tcW w:w="4745" w:type="pct"/>
            <w:gridSpan w:val="4"/>
            <w:shd w:val="clear" w:color="auto" w:fill="auto"/>
            <w:vAlign w:val="center"/>
          </w:tcPr>
          <w:p w14:paraId="67A18F25">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镇墟环卫企业应按要求制订安全生产应急预案。发生安全生产事故，造成人员死亡的在当周考核得分中扣10分，伤残的扣5分；发生重大交通事故并负主要责任的（以交警裁定结果为准）在当周考核得分中扣5分；发生重大事故且未在第一时间上报或隐瞒不报的，在当月考核得分中扣4分。</w:t>
            </w:r>
          </w:p>
        </w:tc>
      </w:tr>
      <w:tr w14:paraId="06349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4" w:type="pct"/>
            <w:shd w:val="clear" w:color="auto" w:fill="auto"/>
            <w:vAlign w:val="center"/>
          </w:tcPr>
          <w:p w14:paraId="07457376">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3</w:t>
            </w:r>
          </w:p>
        </w:tc>
        <w:tc>
          <w:tcPr>
            <w:tcW w:w="4745" w:type="pct"/>
            <w:gridSpan w:val="4"/>
            <w:shd w:val="clear" w:color="auto" w:fill="auto"/>
            <w:vAlign w:val="center"/>
          </w:tcPr>
          <w:p w14:paraId="1598E029">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每月度，由区环卫局负责统计各镇政府收到的当月度涉及到项目作业范围内的12345热线投诉件、新闻媒体报告、省市领导点名批示。累计存在五件12345热线投诉件以上，每多一件扣1分，最多扣4分；每有一起新闻媒体报告或省市领导点名批示扣4分。</w:t>
            </w:r>
          </w:p>
        </w:tc>
      </w:tr>
    </w:tbl>
    <w:p w14:paraId="10AAE1D4">
      <w:pPr>
        <w:rPr>
          <w:color w:val="auto"/>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075067"/>
    <w:multiLevelType w:val="singleLevel"/>
    <w:tmpl w:val="DC075067"/>
    <w:lvl w:ilvl="0" w:tentative="0">
      <w:start w:val="5"/>
      <w:numFmt w:val="decimal"/>
      <w:suff w:val="nothing"/>
      <w:lvlText w:val="（%1）"/>
      <w:lvlJc w:val="left"/>
    </w:lvl>
  </w:abstractNum>
  <w:abstractNum w:abstractNumId="1">
    <w:nsid w:val="108C44CD"/>
    <w:multiLevelType w:val="singleLevel"/>
    <w:tmpl w:val="108C44CD"/>
    <w:lvl w:ilvl="0" w:tentative="0">
      <w:start w:val="4"/>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D52C82"/>
    <w:rsid w:val="241A6D9C"/>
    <w:rsid w:val="2471672F"/>
    <w:rsid w:val="320028F8"/>
    <w:rsid w:val="516D2842"/>
    <w:rsid w:val="69744656"/>
    <w:rsid w:val="7DD52C82"/>
    <w:rsid w:val="7F892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新宋体" w:eastAsia="仿宋_GB2312" w:cs="Times New Roman"/>
      <w:kern w:val="2"/>
      <w:sz w:val="32"/>
      <w:szCs w:val="24"/>
      <w:lang w:val="en-US" w:eastAsia="zh-CN" w:bidi="ar-SA"/>
    </w:rPr>
  </w:style>
  <w:style w:type="paragraph" w:styleId="3">
    <w:name w:val="heading 3"/>
    <w:basedOn w:val="1"/>
    <w:next w:val="1"/>
    <w:qFormat/>
    <w:uiPriority w:val="9"/>
    <w:pPr>
      <w:keepNext/>
      <w:keepLines/>
      <w:tabs>
        <w:tab w:val="left" w:pos="0"/>
      </w:tabs>
      <w:spacing w:before="260" w:after="260" w:line="416" w:lineRule="auto"/>
      <w:ind w:left="181" w:leftChars="86"/>
      <w:jc w:val="center"/>
      <w:outlineLvl w:val="2"/>
    </w:pPr>
    <w:rPr>
      <w:rFonts w:ascii="Calibri" w:hAnsi="Calibri" w:eastAsia="仿宋" w:cs="Times New Roman"/>
      <w:b/>
      <w:bCs/>
      <w:sz w:val="3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rPr>
      <w:rFonts w:ascii="Times New Roman" w:hAnsi="Times New Roman"/>
      <w:szCs w:val="20"/>
    </w:rPr>
  </w:style>
  <w:style w:type="paragraph" w:styleId="4">
    <w:name w:val="Body Text Indent"/>
    <w:basedOn w:val="1"/>
    <w:unhideWhenUsed/>
    <w:qFormat/>
    <w:uiPriority w:val="99"/>
    <w:pPr>
      <w:spacing w:before="100" w:beforeAutospacing="1" w:after="120"/>
      <w:ind w:left="420" w:leftChars="200"/>
    </w:pPr>
    <w:rPr>
      <w:rFonts w:ascii="Calibri" w:hAnsi="Calibri" w:eastAsia="仿宋" w:cs="Times New Roman"/>
      <w:kern w:val="0"/>
      <w:sz w:val="20"/>
      <w:szCs w:val="21"/>
    </w:rPr>
  </w:style>
  <w:style w:type="paragraph" w:styleId="5">
    <w:name w:val="Body Text First Indent 2"/>
    <w:basedOn w:val="4"/>
    <w:unhideWhenUsed/>
    <w:qFormat/>
    <w:uiPriority w:val="99"/>
    <w:pPr>
      <w:spacing w:before="0" w:beforeAutospacing="0" w:after="0"/>
      <w:ind w:left="0" w:leftChars="0"/>
      <w:jc w:val="right"/>
    </w:pPr>
    <w:rPr>
      <w:rFonts w:ascii="Times New Roman" w:hAnsi="Times New Roman"/>
      <w:sz w:val="24"/>
      <w:szCs w:val="24"/>
    </w:rPr>
  </w:style>
  <w:style w:type="paragraph" w:customStyle="1" w:styleId="8">
    <w:name w:val="列出段落1"/>
    <w:basedOn w:val="1"/>
    <w:qFormat/>
    <w:uiPriority w:val="99"/>
    <w:pPr>
      <w:ind w:firstLine="420" w:firstLineChars="200"/>
    </w:pPr>
    <w:rPr>
      <w:rFonts w:ascii="Calibri" w:hAnsi="Calibri" w:eastAsia="仿宋" w:cs="黑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9615</Words>
  <Characters>10446</Characters>
  <Lines>0</Lines>
  <Paragraphs>0</Paragraphs>
  <TotalTime>2</TotalTime>
  <ScaleCrop>false</ScaleCrop>
  <LinksUpToDate>false</LinksUpToDate>
  <CharactersWithSpaces>10470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2025-09-26T09:55:00Z</dcterms:created>
  <dc:creator>严冬</dc:creator>
  <cp:lastModifiedBy>严冬</cp:lastModifiedBy>
  <dcterms:modified xsi:type="dcterms:W3CDTF">2025-09-29T11:33:29Z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14E13731617C448AAD2F44904D772D5A_11</vt:lpwstr>
  </property>
  <property fmtid="{D5CDD505-2E9C-101B-9397-08002B2CF9AE}" pid="4" name="KSOTemplateDocerSaveRecord">
    <vt:lpwstr>eyJoZGlkIjoiZDBmMGEzNGJkZGI5ODBkY2U5MTRkZjhiZGM0Y2ZiM2MiLCJ1c2VySWQiOiIxMDE3OTk0NTUwIn0=</vt:lpwstr>
  </property>
</Properties>
</file>