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海口市美兰区乡镇环卫项目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HNZY-2025-37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海口市美兰区环境卫生管理局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海南中由项目管理有限公司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海口市美兰区环境卫生管理局</w:t>
      </w:r>
      <w:r>
        <w:rPr>
          <w:rFonts w:ascii="仿宋_GB2312" w:hAnsi="仿宋_GB2312" w:cs="仿宋_GB2312" w:eastAsia="仿宋_GB2312"/>
        </w:rPr>
        <w:t xml:space="preserve"> 委托， </w:t>
      </w:r>
      <w:r>
        <w:rPr>
          <w:rFonts w:ascii="仿宋_GB2312" w:hAnsi="仿宋_GB2312" w:cs="仿宋_GB2312" w:eastAsia="仿宋_GB2312"/>
        </w:rPr>
        <w:t>海南中由项目管理有限公司</w:t>
      </w:r>
      <w:r>
        <w:rPr>
          <w:rFonts w:ascii="仿宋_GB2312" w:hAnsi="仿宋_GB2312" w:cs="仿宋_GB2312" w:eastAsia="仿宋_GB2312"/>
        </w:rPr>
        <w:t xml:space="preserve"> 对 </w:t>
      </w:r>
      <w:r>
        <w:rPr>
          <w:rFonts w:ascii="仿宋_GB2312" w:hAnsi="仿宋_GB2312" w:cs="仿宋_GB2312" w:eastAsia="仿宋_GB2312"/>
        </w:rPr>
        <w:t>海口市美兰区乡镇环卫项目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HNZY-2025-37</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海口市美兰区乡镇环卫项目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125,141,700.00元</w:t>
      </w:r>
      <w:r>
        <w:rPr>
          <w:rFonts w:ascii="仿宋_GB2312" w:hAnsi="仿宋_GB2312" w:cs="仿宋_GB2312" w:eastAsia="仿宋_GB2312"/>
        </w:rPr>
        <w:t>壹亿贰仟伍佰壹拾肆万壹仟柒佰元整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3年</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https://ccgp?hainan.gov.cn/maincms-web/)。关于本项目采购文件的补遗、澄清及变更信息以上述网站公告为准，代理机构不再另行通知，采购文件与更正公告的内容相互矛盾时，以最后发出的更正公告内容为准。 2.投标人须在海南政府采购网(https://ccgp-hainan.gov.cn/maincms-web/)中的海南省政府采购智慧云平台进行注册并完善信息，然后下载参与投标项目电子招标文件（数据包）及其他文件； 3.注意事项：电子标采用全程电子化操作，供应商应详细阅读海南政府采购网的通知《海南省财政厅关于进一步推进政府采购全流程电子化的通知》，供应商使用交易系统遇到问题可致电技术支持：4001691288。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海口市美兰区环境卫生管理局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海口市美兰区环卫局办公室（海口市美兰区琼山大道63-1号永泰花苑小区北门西侧海口市综合行政执法局美兰分局5楼）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0898-65374155</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海南中由项目管理有限公司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海南省海口市美兰区蓝天街道名门广场北区B（6-9）座28层2806房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0898-65323219</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采购包1：125,141,700.00元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采购包1保证金金额：250,000.00元</w:t>
            </w:r>
          </w:p>
          <w:p>
            <w:pPr>
              <w:pStyle w:val="null3"/>
              <w:jc w:val="left"/>
            </w:pPr>
            <w:r>
              <w:rPr>
                <w:rFonts w:ascii="仿宋_GB2312" w:hAnsi="仿宋_GB2312" w:cs="仿宋_GB2312" w:eastAsia="仿宋_GB2312"/>
              </w:rPr>
              <w:t>缴交渠道：保函,银行转账,支票、汇票、本票</w:t>
            </w:r>
          </w:p>
          <w:p>
            <w:pPr>
              <w:pStyle w:val="null3"/>
              <w:jc w:val="left"/>
            </w:pPr>
            <w:r>
              <w:rPr>
                <w:rFonts w:ascii="仿宋_GB2312" w:hAnsi="仿宋_GB2312" w:cs="仿宋_GB2312" w:eastAsia="仿宋_GB2312"/>
              </w:rPr>
              <w:t>开户行名称：海南中由项目管理有限公司</w:t>
            </w:r>
          </w:p>
          <w:p>
            <w:pPr>
              <w:pStyle w:val="null3"/>
              <w:jc w:val="left"/>
            </w:pPr>
            <w:r>
              <w:rPr>
                <w:rFonts w:ascii="仿宋_GB2312" w:hAnsi="仿宋_GB2312" w:cs="仿宋_GB2312" w:eastAsia="仿宋_GB2312"/>
              </w:rPr>
              <w:t>开户银行：中国建设银行股份有限公司海口蓝天路支行</w:t>
            </w:r>
          </w:p>
          <w:p>
            <w:pPr>
              <w:pStyle w:val="null3"/>
              <w:jc w:val="left"/>
            </w:pPr>
            <w:r>
              <w:rPr>
                <w:rFonts w:ascii="仿宋_GB2312" w:hAnsi="仿宋_GB2312" w:cs="仿宋_GB2312" w:eastAsia="仿宋_GB2312"/>
              </w:rPr>
              <w:t>银行账号：46050100463600000597</w:t>
            </w:r>
          </w:p>
          <w:p>
            <w:pPr>
              <w:pStyle w:val="null3"/>
              <w:jc w:val="left"/>
            </w:pPr>
            <w:r>
              <w:rPr>
                <w:rFonts w:ascii="仿宋_GB2312" w:hAnsi="仿宋_GB2312" w:cs="仿宋_GB2312" w:eastAsia="仿宋_GB2312"/>
              </w:rPr>
              <w:t>汇票、本票提取方式：/,其他说明： 1、缴纳截止时间为本项目投标（报价）截止时间，以保证金账户实际收款为准； 2、采用线下缴纳的，投标单位必须通过基本账户转账至保证金账户，在汇款时要在备注信息中注明本项目的编号及用途（如“项目编号，投标保证金”）。 投标保函提交方式：投标保证金可以以电子投标保函（保险）形式提供，</w:t>
            </w:r>
          </w:p>
          <w:p>
            <w:pPr>
              <w:pStyle w:val="null3"/>
              <w:jc w:val="left"/>
            </w:pPr>
            <w:r>
              <w:rPr>
                <w:rFonts w:ascii="仿宋_GB2312" w:hAnsi="仿宋_GB2312" w:cs="仿宋_GB2312" w:eastAsia="仿宋_GB2312"/>
              </w:rPr>
              <w:t xml:space="preserve"> 其他说明：</w:t>
            </w:r>
          </w:p>
          <w:p>
            <w:pPr>
              <w:pStyle w:val="null3"/>
              <w:jc w:val="left"/>
            </w:pPr>
            <w:r>
              <w:rPr>
                <w:rFonts w:ascii="仿宋_GB2312" w:hAnsi="仿宋_GB2312" w:cs="仿宋_GB2312" w:eastAsia="仿宋_GB2312"/>
              </w:rPr>
              <w:t xml:space="preserve"> 1、缴纳截止时间为本项目投标（报价）截止时间，以保证金账户实际收款为准；</w:t>
            </w:r>
          </w:p>
          <w:p>
            <w:pPr>
              <w:pStyle w:val="null3"/>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说明：履约担保金额：签订合同价金额的3%， （1）履约担保形式：银行转账、支票、汇票、本票或者金融机构、担保机构保险公司出具的保险保证、银行的保函、法定担保机构出具的保函等非现金形式提交，银行转账以外方式递交投标保证金的应符合现行相关规定。 （2）若以支票、汇票、本票或者金融机构、担保机构出具的保函形式提交的，受益人均为采购单位。</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自投标文件递交截止之日起60天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代理服务费收费标准：1.招标代理费参照《海南省物价局关于降低部分招标代理服务收费标准的通知》（琼价费管[2011]225号）文件标准和招标代理服务收费管理办法执行计算规定按下浮52% 优惠计取本次招标代理服务费，在中标（成交）通知书签发前一次性付清。2.本项目采用公证，公证费由中标供应商按照国家标准向公证单位支付。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因投标人自身原因导致无法解密或解密失败的，自行承担不利后果。 2.本项目为非专门面向中小企业，给予小微企业的价格扣除优惠为10%。 3.签字和（或）盖章要求： 3.1 电子标盖章要求：使用 CA 锁在投标文件制作工具中逐页加盖单位公章。 3.2 电子标签字以下四种形式之一均有效： （1）投标文件制作工具中加盖签名章或签字章； （2）投标文件制作工具中使用“手写签名”签字； （3）投标文件打印为文本签字后扫描上传； （4）投标文件打印为文本盖签名章或签字章后扫描上传。 4.供应商如遇技术问题自行联系海南省政府采购智慧云平台客服。 5.投标无效情形： ①如投标人在非开标现场上传的电子标书的IP地址相同，则IP地址相同的投标按无效标处理。 ②如投标人提交的投标文件为虚假材料的，按无效标处理。 6.委托代表人的资格条件：投标时须提供法定代表人授权委托书和被授权人身份证复印件。 委托代表人的代理权限：委托代表人只能代表委托人处置投标活动中的一般事务。提出质疑、投诉等特殊事项，必须经法定代表人特别授权。 7.是否允许选择性报价：不接受选择性报价 8.本项目所属行业：根据《统计上大中小微型企业划分办法（2017）》，本项目所有采购标的所属行业均为：其他未列明行业。 9.评标委员会的组建： （1）评标委员会由采购人代表和评审专家共7人以上单数组成，其中采购人代表2人、专家5人组成。 （2）评审专家从：海南省公共资源交易综合评标评审专家库中随机抽取。 10.充分、公平竞争保障措施：提供相同品牌产品处理： （1）采用最低评标价法的采购项目。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 （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 11.其他要求：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联系人：朱工</w:t>
      </w:r>
    </w:p>
    <w:p>
      <w:pPr>
        <w:pStyle w:val="null3"/>
        <w:jc w:val="left"/>
      </w:pPr>
      <w:r>
        <w:rPr>
          <w:rFonts w:ascii="仿宋_GB2312" w:hAnsi="仿宋_GB2312" w:cs="仿宋_GB2312" w:eastAsia="仿宋_GB2312"/>
        </w:rPr>
        <w:t>联系电话：0898-65323219</w:t>
      </w:r>
    </w:p>
    <w:p>
      <w:pPr>
        <w:pStyle w:val="null3"/>
        <w:jc w:val="left"/>
      </w:pPr>
      <w:r>
        <w:rPr>
          <w:rFonts w:ascii="仿宋_GB2312" w:hAnsi="仿宋_GB2312" w:cs="仿宋_GB2312" w:eastAsia="仿宋_GB2312"/>
        </w:rPr>
        <w:t>地址：海南省海口市美兰区蓝天街道名门广场北区B（6-9）座28层2806房</w:t>
      </w:r>
    </w:p>
    <w:p>
      <w:pPr>
        <w:pStyle w:val="null3"/>
        <w:jc w:val="left"/>
      </w:pPr>
      <w:r>
        <w:rPr>
          <w:rFonts w:ascii="仿宋_GB2312" w:hAnsi="仿宋_GB2312" w:cs="仿宋_GB2312" w:eastAsia="仿宋_GB2312"/>
        </w:rPr>
        <w:t>邮编：570203</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2"/>
        </w:rPr>
        <w:t>一、项目概况</w:t>
      </w:r>
    </w:p>
    <w:p>
      <w:pPr>
        <w:pStyle w:val="null3"/>
        <w:ind w:firstLine="560"/>
        <w:jc w:val="left"/>
      </w:pPr>
      <w:r>
        <w:rPr>
          <w:rFonts w:ascii="仿宋_GB2312" w:hAnsi="仿宋_GB2312" w:cs="仿宋_GB2312" w:eastAsia="仿宋_GB2312"/>
          <w:sz w:val="22"/>
          <w:u w:val="single"/>
        </w:rPr>
        <w:t>1、项目名称：海口市美兰区乡镇环卫项目</w:t>
      </w:r>
    </w:p>
    <w:p>
      <w:pPr>
        <w:pStyle w:val="null3"/>
        <w:ind w:firstLine="560"/>
        <w:jc w:val="left"/>
      </w:pPr>
      <w:r>
        <w:rPr>
          <w:rFonts w:ascii="仿宋_GB2312" w:hAnsi="仿宋_GB2312" w:cs="仿宋_GB2312" w:eastAsia="仿宋_GB2312"/>
          <w:sz w:val="22"/>
          <w:u w:val="single"/>
        </w:rPr>
        <w:t>2.预算金额：125141700.00元，</w:t>
      </w:r>
      <w:r>
        <w:rPr>
          <w:rFonts w:ascii="仿宋_GB2312" w:hAnsi="仿宋_GB2312" w:cs="仿宋_GB2312" w:eastAsia="仿宋_GB2312"/>
          <w:sz w:val="22"/>
          <w:u w:val="single"/>
        </w:rPr>
        <w:t>投标人报价不得超过最高限价</w:t>
      </w:r>
      <w:r>
        <w:rPr>
          <w:rFonts w:ascii="仿宋_GB2312" w:hAnsi="仿宋_GB2312" w:cs="仿宋_GB2312" w:eastAsia="仿宋_GB2312"/>
          <w:sz w:val="22"/>
          <w:u w:val="single"/>
        </w:rPr>
        <w:t>或</w:t>
      </w:r>
      <w:r>
        <w:rPr>
          <w:rFonts w:ascii="仿宋_GB2312" w:hAnsi="仿宋_GB2312" w:cs="仿宋_GB2312" w:eastAsia="仿宋_GB2312"/>
          <w:sz w:val="22"/>
          <w:u w:val="single"/>
        </w:rPr>
        <w:t>综合单价</w:t>
      </w:r>
      <w:r>
        <w:rPr>
          <w:rFonts w:ascii="仿宋_GB2312" w:hAnsi="仿宋_GB2312" w:cs="仿宋_GB2312" w:eastAsia="仿宋_GB2312"/>
          <w:sz w:val="22"/>
          <w:u w:val="single"/>
        </w:rPr>
        <w:t>限价</w:t>
      </w:r>
      <w:r>
        <w:rPr>
          <w:rFonts w:ascii="仿宋_GB2312" w:hAnsi="仿宋_GB2312" w:cs="仿宋_GB2312" w:eastAsia="仿宋_GB2312"/>
          <w:sz w:val="22"/>
          <w:u w:val="single"/>
        </w:rPr>
        <w:t>，</w:t>
      </w:r>
      <w:r>
        <w:rPr>
          <w:rFonts w:ascii="仿宋_GB2312" w:hAnsi="仿宋_GB2312" w:cs="仿宋_GB2312" w:eastAsia="仿宋_GB2312"/>
          <w:sz w:val="22"/>
          <w:u w:val="single"/>
        </w:rPr>
        <w:t>否则</w:t>
      </w:r>
      <w:r>
        <w:rPr>
          <w:rFonts w:ascii="仿宋_GB2312" w:hAnsi="仿宋_GB2312" w:cs="仿宋_GB2312" w:eastAsia="仿宋_GB2312"/>
          <w:sz w:val="22"/>
          <w:u w:val="single"/>
        </w:rPr>
        <w:t>视为无效投标。</w:t>
      </w:r>
    </w:p>
    <w:p>
      <w:pPr>
        <w:pStyle w:val="null3"/>
        <w:ind w:firstLine="560"/>
        <w:jc w:val="left"/>
      </w:pPr>
      <w:r>
        <w:rPr>
          <w:rFonts w:ascii="仿宋_GB2312" w:hAnsi="仿宋_GB2312" w:cs="仿宋_GB2312" w:eastAsia="仿宋_GB2312"/>
          <w:sz w:val="22"/>
          <w:u w:val="single"/>
        </w:rPr>
        <w:t>3.最高限价：125141607.03元</w:t>
      </w:r>
    </w:p>
    <w:p>
      <w:pPr>
        <w:pStyle w:val="null3"/>
        <w:ind w:firstLine="560"/>
        <w:jc w:val="left"/>
      </w:pPr>
      <w:r>
        <w:rPr>
          <w:rFonts w:ascii="仿宋_GB2312" w:hAnsi="仿宋_GB2312" w:cs="仿宋_GB2312" w:eastAsia="仿宋_GB2312"/>
          <w:sz w:val="22"/>
          <w:u w:val="single"/>
        </w:rPr>
        <w:t>4.项目背景：</w:t>
      </w:r>
    </w:p>
    <w:p>
      <w:pPr>
        <w:pStyle w:val="null3"/>
        <w:ind w:firstLine="560"/>
        <w:jc w:val="left"/>
      </w:pPr>
      <w:r>
        <w:rPr>
          <w:rFonts w:ascii="仿宋_GB2312" w:hAnsi="仿宋_GB2312" w:cs="仿宋_GB2312" w:eastAsia="仿宋_GB2312"/>
          <w:sz w:val="22"/>
          <w:u w:val="single"/>
        </w:rPr>
        <w:t>为贯彻落实</w:t>
      </w:r>
      <w:r>
        <w:rPr>
          <w:rFonts w:ascii="仿宋_GB2312" w:hAnsi="仿宋_GB2312" w:cs="仿宋_GB2312" w:eastAsia="仿宋_GB2312"/>
          <w:sz w:val="22"/>
          <w:u w:val="single"/>
        </w:rPr>
        <w:t>2023年国务院政府工作报告中提出的“贯彻以人民为中心的发展思想，持续增加民生投入，着力保基本、兜底线、促公平，提升公共服务水平，推进基本公共服务均等化，在发展中不断增进民生福祉”的要求、积极响应海口市市委市政府的工作号召，通过对完全市场化、政府完全自管等二种模式的财政资金使用效益和优缺点进行充分比对，同时结合海口市美兰区乡镇环卫项目（海口市美兰区乡镇环卫一体化项目）的实际开展情况以及实际需求，拟通过政府采购服务方式选定的镇墟环卫企业负责，通过本项目的实施，旨在实现杜绝环境卫生管理的“死角”或盲区的目标，创新环境卫生管理机制，将责任落实到位，巩固美兰区的整体水平和市容环境质量。</w:t>
      </w:r>
    </w:p>
    <w:p>
      <w:pPr>
        <w:pStyle w:val="null3"/>
        <w:ind w:firstLine="420"/>
        <w:jc w:val="both"/>
      </w:pPr>
      <w:r>
        <w:rPr>
          <w:rFonts w:ascii="仿宋_GB2312" w:hAnsi="仿宋_GB2312" w:cs="仿宋_GB2312" w:eastAsia="仿宋_GB2312"/>
          <w:sz w:val="22"/>
          <w:u w:val="single"/>
        </w:rPr>
        <w:t>备注：海口市美兰区乡镇环卫项目与海口市美兰区乡镇环卫一体化项目为同一项目</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125,141,700.00</w:t>
      </w:r>
    </w:p>
    <w:p>
      <w:pPr>
        <w:pStyle w:val="null3"/>
        <w:jc w:val="left"/>
      </w:pPr>
      <w:r>
        <w:rPr>
          <w:rFonts w:ascii="仿宋_GB2312" w:hAnsi="仿宋_GB2312" w:cs="仿宋_GB2312" w:eastAsia="仿宋_GB2312"/>
        </w:rPr>
        <w:t>采购包最高限价（元）: 125,141,607.03</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C13050100-清扫服务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125,141,700.00</w:t>
            </w:r>
          </w:p>
        </w:tc>
        <w:tc>
          <w:tcPr>
            <w:tcW w:type="dxa" w:w="831"/>
          </w:tcPr>
          <w:p>
            <w:pPr>
              <w:pStyle w:val="null3"/>
              <w:jc w:val="left"/>
            </w:pPr>
            <w:r>
              <w:rPr>
                <w:rFonts w:ascii="仿宋_GB2312" w:hAnsi="仿宋_GB2312" w:cs="仿宋_GB2312" w:eastAsia="仿宋_GB2312"/>
              </w:rPr>
              <w:t>元/平方米</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C13050100-清扫服务</w:t>
            </w:r>
          </w:p>
        </w:tc>
        <w:tc>
          <w:tcPr>
            <w:tcW w:type="dxa" w:w="554"/>
          </w:tcPr>
          <w:p>
            <w:pPr>
              <w:pStyle w:val="null3"/>
              <w:jc w:val="left"/>
            </w:pPr>
            <w:r>
              <w:rPr>
                <w:rFonts w:ascii="仿宋_GB2312" w:hAnsi="仿宋_GB2312" w:cs="仿宋_GB2312" w:eastAsia="仿宋_GB2312"/>
              </w:rPr>
              <w:t>元/平方米</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125,141,607.03</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标的名称：C13050100-清扫服务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具体详见附件第三章采购需求</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sz w:val="24"/>
                <w:color w:val="000000"/>
              </w:rPr>
              <w:t>具体详见附件第三章采购需求</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自觉抵制政府采购领域商业贿赂行为承诺书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供应商应提交的相关证明材料 封面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技术、商务参数响应表 自觉抵制政府采购领域商业贿赂行为承诺书 法定代表人资格证明书或法定代表人授权委托书 投标保证金缴纳证明材料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中小企业声明函 残疾人福利性单位声明函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技术部分62.00分</w:t>
            </w:r>
          </w:p>
          <w:p>
            <w:pPr>
              <w:pStyle w:val="null3"/>
              <w:jc w:val="both"/>
            </w:pPr>
            <w:r>
              <w:rPr>
                <w:rFonts w:ascii="仿宋_GB2312" w:hAnsi="仿宋_GB2312" w:cs="仿宋_GB2312" w:eastAsia="仿宋_GB2312"/>
              </w:rPr>
              <w:t>商务部分28.00分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环卫信息管理平台</w:t>
            </w:r>
          </w:p>
        </w:tc>
        <w:tc>
          <w:tcPr>
            <w:tcW w:type="dxa" w:w="2492"/>
          </w:tcPr>
          <w:p>
            <w:pPr>
              <w:pStyle w:val="null3"/>
              <w:jc w:val="both"/>
            </w:pPr>
            <w:r>
              <w:rPr>
                <w:rFonts w:ascii="仿宋_GB2312" w:hAnsi="仿宋_GB2312" w:cs="仿宋_GB2312" w:eastAsia="仿宋_GB2312"/>
              </w:rPr>
              <w:t>投标人提供环卫信息管理平台（内容包括但不限于：定位系统、 视频实时监控系统、作业人员及车辆运行轨迹等类似功能）的 得6分；在此基础上，如平台内容存在缺陷或漏洞，没有针对性，表述不够深入，技术措施不合理、不可行等， 每有一处扣2分，扣完为止。 （须提供平台演示功能截图，包含平台登录界面截图以及体现 上述功能的截图及相关文字描述等。投标人中标后，在合同签 订前需向采购人演示上述功能，投标人无法演示或者演示内容 与投标文件提供的截图不符，将被视为虚假应标。）</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道路及公共区域清扫保洁方案</w:t>
            </w:r>
          </w:p>
        </w:tc>
        <w:tc>
          <w:tcPr>
            <w:tcW w:type="dxa" w:w="2492"/>
          </w:tcPr>
          <w:p>
            <w:pPr>
              <w:pStyle w:val="null3"/>
              <w:jc w:val="both"/>
            </w:pPr>
            <w:r>
              <w:rPr>
                <w:rFonts w:ascii="仿宋_GB2312" w:hAnsi="仿宋_GB2312" w:cs="仿宋_GB2312" w:eastAsia="仿宋_GB2312"/>
              </w:rPr>
              <w:t>投标人根据本项目采购需求及自行踏勘情况提供道路及公共区域清扫保洁方案，包括但不限于：①人员数量合理性（根据项目区域面积、清扫难度等因素，合理配置清扫保洁人员）；②人员培训计划（包括安全培训、作业技能培训等）；③人员考勤与监督机制（需有明确的监督检查机制确保员工按时到岗、规范作业）；④清扫保洁作业流程（包含普扫作业安排、巡回保洁频次与质量保证措施、针对绿化带、人行道、边角地带等特殊区域的清扫工作、清扫作业方式与工具使用）等方面进行评审： 1、方案涵盖上述所有内容且满足或优于采购需求，得12分； 2、上述4项内容缺少一项扣3分；每项方案存在缺陷的，每个缺陷扣1分，因缺陷每项最多扣3分。 注：内容缺陷指不满足本项目采购需求 ，存在不适用本项目实际情况的情形（与项目实际不匹配、不符合项目特点）、凭空捏造、逻辑漏洞、科学原理错误及不可实现的夸大情形等） 3、根据上述4项内容对投标人提供的方案进行细化分解，方案内容除以上方面外，可根据包括但不限于管理方案、工作流程、服务标准等方面进行评比。 ①考虑充分，服务方案定位准确，流程条理清晰，管理措施得当，标准明确客观，针对性与操作性强的得3分； ②服务方案定位基本准确，有管理措施，针对性与操作性基本合理，基本满足项目要求的得2分； ③服务方案不够完整、不具备操作性的得1分；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生活垃圾收集清运方案</w:t>
            </w:r>
          </w:p>
        </w:tc>
        <w:tc>
          <w:tcPr>
            <w:tcW w:type="dxa" w:w="2492"/>
          </w:tcPr>
          <w:p>
            <w:pPr>
              <w:pStyle w:val="null3"/>
              <w:jc w:val="both"/>
            </w:pPr>
            <w:r>
              <w:rPr>
                <w:rFonts w:ascii="仿宋_GB2312" w:hAnsi="仿宋_GB2312" w:cs="仿宋_GB2312" w:eastAsia="仿宋_GB2312"/>
              </w:rPr>
              <w:t>投标人根据本项目采购需求及自行踏勘情况提供生活垃圾收集清运方案，包括但不限于：①收集清运设备配置（根据各区域人口密度、垃圾产生量等因素，合理设置垃圾收集容器）；②清运车辆配备（针对相应区域配备足够数量、性能良好的垃圾清运车辆，车辆类型和载重量符合项目需求）；③人员考勤与监督机制（需有明确的监督检查机制确保员工按时到岗、规范作业）；④设备维护计划（制定垃圾收集容器和清运车辆的维护计划，定期进行维护保养，确保设备正常运行）、⑤收集清运作业流程（合理规划垃圾收集时间和路线，明确垃圾收集作业规范标准，加强清运车辆管理，按规定路线行驶、按时清运垃圾，保持车辆整洁）等方面进行评审： 1、方案涵盖上述所有内容且满足或优于采购需求，得10分； 2、上述5项内容缺少一项扣2分；每项方案存在缺陷的，每个缺陷扣1分，因缺陷每项最多扣2分。 注：内容缺陷指不满足本项目采购需求 ，存在不适用本项目实际情况的情形（与项目实际不匹配、不符合项目特点）、凭空捏造、逻辑漏洞、科学原理错误及不可实现的夸大情形等） 3、根据上述5项内容对投标人提供的方案进行细化分解，方案内容除以上方面外，可根据包括但不限于管理方案、工作流程、服务标准等方面进行评比。 ①考虑充分，服务方案定位准确，流程条理清晰，管理措施得当，标准明确客观，针对性与操作性强的得3分； ②服务方案定位基本准确，有管理措施，针对性与操作性基本合理，基本满足项目要求的得2分； ③服务方案不够完整、不具备操作性的得1分；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公共厕所运维管理方案</w:t>
            </w:r>
          </w:p>
        </w:tc>
        <w:tc>
          <w:tcPr>
            <w:tcW w:type="dxa" w:w="2492"/>
          </w:tcPr>
          <w:p>
            <w:pPr>
              <w:pStyle w:val="null3"/>
              <w:jc w:val="both"/>
            </w:pPr>
            <w:r>
              <w:rPr>
                <w:rFonts w:ascii="仿宋_GB2312" w:hAnsi="仿宋_GB2312" w:cs="仿宋_GB2312" w:eastAsia="仿宋_GB2312"/>
              </w:rPr>
              <w:t>投标人根据本项目采购需求及自行踏勘情况提供公共厕所运维管理方案，包括但不限于：①定期对公共厕所设施设备进行检查和维护方案；②制定公共厕所保洁标准和保洁频率方案；③制定保洁作业规范；④公共厕所安全管理制度（包括用电安全、防火安全、设置必要的便民服务设施，如残疾人专用设施、休息座椅等）等方面进行评审： 1、方案涵盖上述所有内容且满足或优于采购需求，得12分； 2、上述4项内容缺少一项扣3分；每项方案存在缺陷的，每个缺陷扣1分，因缺陷每项最多扣3分。 注：内容缺陷指不满足本项目采购需求 ，存在不适用本项目实际情况的情形（与项目实际不匹配、不符合项目特点）、凭空捏造、逻辑漏洞、科学原理错误及不可实现的夸大情形等） 3、根据上述4项内容对投标人提供的方案进行细化分解，方案内容除以上方面外，可根据包括但不限于管理方案、工作流程、服务标准等方面进行评比。 ①考虑充分，服务方案定位准确，流程条理清晰，管理措施得当，标准明确客观，针对性与操作性强的得3分； ②服务方案定位基本准确，有管理措施，针对性与操作性基本合理，基本满足项目要求的得2分； ③服务方案不够完整、不具备操作性的得1分；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特殊情况下的环卫保障方案</w:t>
            </w:r>
          </w:p>
        </w:tc>
        <w:tc>
          <w:tcPr>
            <w:tcW w:type="dxa" w:w="2492"/>
          </w:tcPr>
          <w:p>
            <w:pPr>
              <w:pStyle w:val="null3"/>
              <w:jc w:val="both"/>
            </w:pPr>
            <w:r>
              <w:rPr>
                <w:rFonts w:ascii="仿宋_GB2312" w:hAnsi="仿宋_GB2312" w:cs="仿宋_GB2312" w:eastAsia="仿宋_GB2312"/>
              </w:rPr>
              <w:t>投标人根据本项目采购需求及管理经验提供特殊情况下的环卫保障方案，包括但不限于：①自然灾害（针对暴雨、海南季节性台风、超大台风等恶劣天气，制定应对预案，明确应急响应流程、人员职责和作业措施）；②突发事件（针对如爆管、停水停电、火灾等导致环境卫生污染等情况，制定应急处理流程和具体措施，包括现场清理、污染物处理等）；③重大活动（根据重大活动的规模、地点和特点，对活动期间可能出现的突发环境卫生制定具有针对性的环卫保障方案，明确保障任务、人员安排和作业要求）等方面进行评审： 1、方案涵盖上述所有内容且满足或优于采购需求，得6分； 2、上述3项内容缺少一项扣2分；每项方案存在缺陷的，每个缺陷扣1分，因缺陷每项最多扣2分。 注：内容缺陷指不满足本项目采购需求 ，存在不适用本项目实际情况的情形（与项目实际不匹配、不符合项目特点）、凭空捏造、逻辑漏洞、科学原理错误及不可实现的夸大情形等） 3、根据上述3项内容对投标人提供的环卫保障方案进行细化分解，（包括但不限于自然灾害、突发事件、重大活动等）： ①考虑充分，服务方案定位准确，流程条理清晰，管理措施得当，标准明确客观，针对性与操作性强的，得3分； ②服务方案定位基本准确，有管理措施，针对性与操作性基本合理，基本满足项目要求的，得2分； ③服务方案不够完整、不具备操作性的，得1分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人员、设备配置方案</w:t>
            </w:r>
          </w:p>
        </w:tc>
        <w:tc>
          <w:tcPr>
            <w:tcW w:type="dxa" w:w="2492"/>
          </w:tcPr>
          <w:p>
            <w:pPr>
              <w:pStyle w:val="null3"/>
              <w:jc w:val="both"/>
            </w:pPr>
            <w:r>
              <w:rPr>
                <w:rFonts w:ascii="仿宋_GB2312" w:hAnsi="仿宋_GB2312" w:cs="仿宋_GB2312" w:eastAsia="仿宋_GB2312"/>
              </w:rPr>
              <w:t>投标人根据本项目采购需求及自行踏勘情况，提供人员、设备配置方案（包括但不限于①人员配置管理方案（制定应急、重大活动保障需求的临时调配人员方案）、②人员培训（制定应急作业培训）等方面进行评审： 1、方案涵盖上述所有内容且满足或优于采购需求，得4分； 2、上述2项内容缺少一项扣2分；每项方案存在缺陷的，每个缺陷扣1分，因缺陷每项最多扣2分。 注：内容缺陷指不满足本项目采购需求 ，存在不适用本项目实际情况的情形（与项目实际不匹配、不符合项目特点）、凭空捏造、逻辑漏洞、科学原理错误及不可实现的夸大情形等）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投标人提供与本项目服务内容类似的业绩（类似业绩指：需包含清扫保洁、垃圾收运、公厕运维等服务内容），每提供一个业绩得2分，最高得8分。 证明材料：须提供项目合同复印件并加盖公章（合同复印件至少包括合同关键页、合同主体内容、双方盖章页，如合同无法体现项目内容、规模或年服务费等信息的，须提供政府主管部门出具的证明），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1.拟担任本项目的项目经理具有环境保护或环卫工程专业中级职称的得1分； 2.投标人拟担任本项目的项目经理具有环境保护或环卫工程专业高级或以上职称的，得3分。 证明材料：提供相关职称证书复印件及2025年4月至今连续三个月在本单位缴纳社保的证明材料复印件，加盖投标人公章，不提供不得分。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其他人员配置</w:t>
            </w:r>
          </w:p>
        </w:tc>
        <w:tc>
          <w:tcPr>
            <w:tcW w:type="dxa" w:w="2492"/>
          </w:tcPr>
          <w:p>
            <w:pPr>
              <w:pStyle w:val="null3"/>
              <w:jc w:val="both"/>
            </w:pPr>
            <w:r>
              <w:rPr>
                <w:rFonts w:ascii="仿宋_GB2312" w:hAnsi="仿宋_GB2312" w:cs="仿宋_GB2312" w:eastAsia="仿宋_GB2312"/>
              </w:rPr>
              <w:t>1.除项目经理外，拟配备的管理团队成员中具有环境保护类相关专业高级及以上职称的,每提供1人得1分,最多得5分 2.投标人拟投入本项目的人员中获得全国劳动模范荣誉的，每有 1人得2分，最多得4分；获得省级劳动模范荣誉的，每有1人得1分，最多得2分；同一人员获得多个级别荣誉的，以最高分计，不累计计分。本小项最高得4分，没有不得分。 证明材料：以上人员不重复计分，提供相关职称证书复印件或劳动模范证书复印件及2025年4月至今连续三个月在本单位缴纳社保的证明材料复印件，加盖投标人公章，不提供不得分。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综合实力</w:t>
            </w:r>
          </w:p>
        </w:tc>
        <w:tc>
          <w:tcPr>
            <w:tcW w:type="dxa" w:w="2492"/>
          </w:tcPr>
          <w:p>
            <w:pPr>
              <w:pStyle w:val="null3"/>
              <w:jc w:val="both"/>
            </w:pPr>
            <w:r>
              <w:rPr>
                <w:rFonts w:ascii="仿宋_GB2312" w:hAnsi="仿宋_GB2312" w:cs="仿宋_GB2312" w:eastAsia="仿宋_GB2312"/>
              </w:rPr>
              <w:t>1.投标供应商具有质量体系认证证书、环境管理体系认证证书、职业健康安全管理体系认证证书，且证书中的认证范围包含与环卫服务相关的内容，三体系证书齐全的得3分，每缺1项认证证书扣1分； 证明材料：提供相关认证机构颁发的有效期内的认证证书复印件及国家市场监督管理总局“全国认证认可信息公共服务平台（查询网址：http://cx.cnca.cn/CertECloud/index/index/page）”认证信息查询截图（截图需显示证书状态为有效）并加盖公章，提供不全或提供无效的均不得分。 2.供应商运营的环卫项目获得过国家级荣誉奖项（行政主管部门颁发）的，得3分；运营的环卫项目获得过省市级荣誉奖项（行政主管部门颁发）的，每个奖项得1分，最多得2分。本小项满分5分。 证明材料：同一项目同时取得过省市级和国家级荣誉的，按照高级别奖项计分，不重复计分。须提供表彰文件（须含文号）或获奖证书或政府官方网站公示截图，并提供运营项目的合同关键页。如荣誉奖项为投标人为运营项目设立的控股项目公司获得，还须提供业主证明（证明投标人投资并运营该项目）及股权证明材料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供应商应提交的相关证明材料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详见附件：采购服务合同.docx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HNZY-2025-37</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海口市美兰区乡镇环卫项目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项目本身</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C13050100-清扫服务</w:t>
            </w:r>
          </w:p>
        </w:tc>
        <w:tc>
          <w:tcPr>
            <w:tcW w:type="dxa" w:w="1038"/>
          </w:tcPr>
          <w:p>
            <w:pPr>
              <w:pStyle w:val="null3"/>
              <w:jc w:val="left"/>
            </w:pPr>
            <w:r>
              <w:rPr>
                <w:rFonts w:ascii="仿宋_GB2312" w:hAnsi="仿宋_GB2312" w:cs="仿宋_GB2312" w:eastAsia="仿宋_GB2312"/>
              </w:rPr>
              <w:t xml:space="preserve"> 1.00元/平方米</w:t>
            </w:r>
          </w:p>
        </w:tc>
        <w:tc>
          <w:tcPr>
            <w:tcW w:type="dxa" w:w="1038"/>
          </w:tcPr>
          <w:p>
            <w:pPr>
              <w:pStyle w:val="null3"/>
              <w:jc w:val="left"/>
            </w:pPr>
            <w:r>
              <w:rPr>
                <w:rFonts w:ascii="仿宋_GB2312" w:hAnsi="仿宋_GB2312" w:cs="仿宋_GB2312" w:eastAsia="仿宋_GB2312"/>
              </w:rPr>
              <w:t xml:space="preserve"> 125141607.03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详见附件：技术、商务参数响应表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详见附件：资格承诺函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