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农村人居环境整治项目（工程）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DXHN-2024-0830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海口市琼山区三门坡镇人民政府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东信工程项目管理有限公司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海口市琼山区三门坡镇人民政府</w:t>
      </w:r>
      <w:r>
        <w:rPr>
          <w:rFonts w:ascii="仿宋_GB2312" w:hAnsi="仿宋_GB2312" w:cs="仿宋_GB2312" w:eastAsia="仿宋_GB2312"/>
        </w:rPr>
        <w:t xml:space="preserve"> 的委托， </w:t>
      </w:r>
      <w:r>
        <w:rPr>
          <w:rFonts w:ascii="仿宋_GB2312" w:hAnsi="仿宋_GB2312" w:cs="仿宋_GB2312" w:eastAsia="仿宋_GB2312"/>
        </w:rPr>
        <w:t>东信工程项目管理有限公司</w:t>
      </w:r>
      <w:r>
        <w:rPr>
          <w:rFonts w:ascii="仿宋_GB2312" w:hAnsi="仿宋_GB2312" w:cs="仿宋_GB2312" w:eastAsia="仿宋_GB2312"/>
        </w:rPr>
        <w:t xml:space="preserve"> 对 </w:t>
      </w:r>
      <w:r>
        <w:rPr>
          <w:rFonts w:ascii="仿宋_GB2312" w:hAnsi="仿宋_GB2312" w:cs="仿宋_GB2312" w:eastAsia="仿宋_GB2312"/>
        </w:rPr>
        <w:t>农村人居环境整治项目（工程）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DXHN-2024-0830</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农村人居环境整治项目（工程）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3,900,000.00元</w:t>
      </w:r>
      <w:r>
        <w:rPr>
          <w:rFonts w:ascii="仿宋_GB2312" w:hAnsi="仿宋_GB2312" w:cs="仿宋_GB2312" w:eastAsia="仿宋_GB2312"/>
        </w:rPr>
        <w:t>叁佰玖拾万元整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合同签订之日起120日历天。7.最高限价：3,665,360.75元（因系统原因，本项目最高限价以此为准）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注册，具有独立承担民事责任能力的法人，企业需提供营业执照，事业单位需提供事业单位法人证书，其他组织提供法人登记证书等相关证明文件：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 如供应商是银行、保险、石油石化、电力、电信行业的，分支机构可参与本项目的政府采购活动。磋商文件中涉及要求提供“法定代表人”相关证明材料的，提供分支机构“负责人”的相关证明材料。 只有中国公民才能以自然人的身份参加本项目的政府采购活动。</w:t>
      </w:r>
    </w:p>
    <w:p>
      <w:pPr>
        <w:pStyle w:val="null3"/>
        <w:jc w:val="left"/>
      </w:pPr>
      <w:r>
        <w:rPr>
          <w:rFonts w:ascii="仿宋_GB2312" w:hAnsi="仿宋_GB2312" w:cs="仿宋_GB2312" w:eastAsia="仿宋_GB2312"/>
        </w:rPr>
        <w:t>2、满足《中华人民共和国政府采购法》第二十二条规定。：提供满足《中华人民共和国政府采购法》第二十二条规定的承诺函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3、参加政府采购活动前三年内（成立不足三年的从成立之日起算），在经营活动中无环保类行政处罚记录：提供无环保类行政处罚记录承诺函加盖公章。</w:t>
      </w:r>
    </w:p>
    <w:p>
      <w:pPr>
        <w:pStyle w:val="null3"/>
        <w:jc w:val="left"/>
      </w:pPr>
      <w:r>
        <w:rPr>
          <w:rFonts w:ascii="仿宋_GB2312" w:hAnsi="仿宋_GB2312" w:cs="仿宋_GB2312" w:eastAsia="仿宋_GB2312"/>
        </w:rPr>
        <w:t>4、投标人须具备有效期内的安全生产许可证，且具备市政公用工程施工总承包叁级或以上资质或根据《住房和城乡建设部关于印发建设工程企业资质管理制度改革方案的通知（建市〔2020 〕94号）的规定已换发新证取得相应资质，并在人员、设备、资金等方面具有相应的施工能力。：提供相关证书加盖公章，格式自拟</w:t>
      </w:r>
    </w:p>
    <w:p>
      <w:pPr>
        <w:pStyle w:val="null3"/>
        <w:jc w:val="left"/>
      </w:pPr>
      <w:r>
        <w:rPr>
          <w:rFonts w:ascii="仿宋_GB2312" w:hAnsi="仿宋_GB2312" w:cs="仿宋_GB2312" w:eastAsia="仿宋_GB2312"/>
        </w:rPr>
        <w:t>5、拟派项目经理或项目负责人须具备市政公用工程专业二级或以上注册建造师执业资格，且未担任其他在施工程项目的项目经理或项目负责人：供相关证书及项目经理无在建工程承诺函加盖公章，格式自拟</w:t>
      </w:r>
    </w:p>
    <w:p>
      <w:pPr>
        <w:pStyle w:val="null3"/>
        <w:jc w:val="left"/>
      </w:pPr>
      <w:r>
        <w:rPr>
          <w:rFonts w:ascii="仿宋_GB2312" w:hAnsi="仿宋_GB2312" w:cs="仿宋_GB2312" w:eastAsia="仿宋_GB2312"/>
        </w:rPr>
        <w:t>6、投标人须具有《海南省建筑企业诚信档案手册》：供应商参与政府采购活动前，应当根据《海南省建筑企业诚信档案手册管理办法》的规定，通过省住房和城乡建设厅网站（http://www.hnjst.gov.cn/）登录海南省建筑市场监管公共服务平台填报项目名称、项目地址、派驻的项目班子关键岗位人员信息，打印生成诚信档案手册，与竞争性磋商响应文件一并密封提交竞争性磋商小组。</w:t>
      </w:r>
    </w:p>
    <w:p>
      <w:pPr>
        <w:pStyle w:val="null3"/>
        <w:jc w:val="left"/>
      </w:pPr>
      <w:r>
        <w:rPr>
          <w:rFonts w:ascii="仿宋_GB2312" w:hAnsi="仿宋_GB2312" w:cs="仿宋_GB2312" w:eastAsia="仿宋_GB2312"/>
        </w:rPr>
        <w:t>7、根据《海南省建筑工程施工现场关键岗位人员配备和在岗履职管理办法》（琼建管〔2021〕281号）要求，配备施工项目部关键岗位人员如下：项目负责人（项目经理）1人、项目技术负责人1人（可兼任）、施工员1人、专职安全生产管理人员1人、质量员1人（可兼任）、劳资专管员1人（可兼任）、资料员1人（可兼任）：供应商需提供本项目管理机构人员的证件如下：1、项目经理建造师注册证；2、技术负责人职称证；3、专职安全生产管理人员岗位证或安全生产考核合格证或职业培训合格证；施工员、质量员、资料员提供岗位证书或职业培训合格证；劳资专管员提供身份证，并在响应文件中注明。（相关证书须由建设行政主管部门或其认可的机构颁发）备注：提供相关证书及2024年6月1日至今任意连续三个月在本单位的社保缴纳证明复印件加盖公章。</w:t>
      </w:r>
    </w:p>
    <w:p>
      <w:pPr>
        <w:pStyle w:val="null3"/>
        <w:jc w:val="left"/>
      </w:pPr>
      <w:r>
        <w:rPr>
          <w:rFonts w:ascii="仿宋_GB2312" w:hAnsi="仿宋_GB2312" w:cs="仿宋_GB2312" w:eastAsia="仿宋_GB2312"/>
        </w:rPr>
        <w:t>8、未被列入“中国执行信息公开网”（http://zxgk.court.gov.cn）“失信被执行人”及未被列入信用中国网站(www.creditchina.gov.cn)“重大税收违法失信主体”、“政府采购严重违法失信名单”和中国政府采购网(www.ccgp.gov.cn)“政府采购严重违法失信行为记录名单”：提供承诺函</w:t>
      </w:r>
    </w:p>
    <w:p>
      <w:pPr>
        <w:pStyle w:val="null3"/>
        <w:jc w:val="left"/>
      </w:pPr>
      <w:r>
        <w:rPr>
          <w:rFonts w:ascii="仿宋_GB2312" w:hAnsi="仿宋_GB2312" w:cs="仿宋_GB2312" w:eastAsia="仿宋_GB2312"/>
        </w:rPr>
        <w:t>9、本项目接受联合体投标。：联合体投标的应提供联合体协议书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2.本项目全程线上开标。如需云平台相关咨询，请拨打以下热线电话： 热线一：0898-66220881 热线二：0898-66220882 3.《政府采购促进中小企业发展管理办法》、《关于进一步加大政府采购支持中小企业力度的通知》、《财政部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农业农村部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海南省工业和信息化厅关于落实超常规举措加大对中小企业政府采购支持的通知》等政府采购政策。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海口市琼山区三门坡镇人民政府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海口市琼山区三门坡镇三门街77号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林伟兴</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0898-65680033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东信工程项目管理有限公司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海口市美兰区瓦灶路美舍嘉苑（北区）一期5栋21楼2101室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周秀丽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13876642616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代理服务费收费标准：按本项目代理协议约定收取。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1、资金来源：财政资金； 2、项目属性：根据本项目采购需求，结合《政府采购品目分类目录》，本项目标的名称为城市道路工程施工，品目分类编码B02050000，故本项目属性为：工程。 3、供应商必须书面承诺：供应商成交后按开工时间安排响应文件中填报的拟派项目管理机构人员派驻施工现场，否则视为严重违约，采购人有权没收履约保证金，并有权单方面解除承包合同。（提供承诺函，格式自拟。） 4、供应商从响应文件递交截止之日起至评审结束之日，关键岗位人员不得在其他项目投标中重复使用。已经中标的关键岗位人员不得重复参与其他项目投标。（提供承诺函，格式自拟。） 5、根据关于印发《海南省组织贫困劳动力积极务工专项行动工作方案》琼脱贫指〔2020〕5号的通知，所有投标单位参与投标时，在响应文件中提供“若中标本项目，新招劳动力优先考虑贫困劳动力，且贫困劳动力不低于新招录人员数量10%”的承诺，承诺函具体格式由供应商自拟。 6、落实政府采购政策的说明：（1）对本章7.6.3落实政府采购政策以本须知附前表内容为准。（2）对于经主管预算单位统筹后未预留份额专门面向中小企业采购的采购项目，以及预留份额项目中的非预留部分采购包，符合《关于印发＜政府采购促进中小企业发展管理办法＞的通知》（财库〔2020〕46号）规定的小微企业报价给予10%（工程项目为3%）的扣除，用扣除后的价格参加评审。适用招标投标法的政府采购工程建设项目，采用综合评估法但未采用低价优先法计算价格分的，评标时应当在采用原报价进行评分的基础上增加其价格得分的3%作为其价格分。(2)接受大中型企业与小微企业组成联合体或者允许大中型企业向一家或者多家小微企业分包的采购项目，对于联合协议或者分包意向协议约定小微企业的合同份额占到合同总金额30%以上的，采购人、招标代理机构应当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3）在政府采购活动中，监狱企业、残疾人福利性单位视同小型、微型企业，享受小型、微型企业价格扣除优惠。（4）以联合体形式参加政府采购活动，联合体各方均为中小企业的，联合体视同中小企业。其中，联合体各方均为小微企业的，联合体视同小微企业。（5）相关要求：①价格扣除比例或者价格分加分比例对小型企业和微型企业同等对待，不作区分。②依据《关于印发＜政府采购促进中小企业发展管理办法＞的通知》（财库〔2020〕46号）规定享受扶持政策获得政府采购合同的，小微企业不得将合同分包给大中型企业，中型企业不得将合同分包给大型企业。③采购标的对应的中小企业划分标准所属行业详见【供应商须知前附表】。④中小企业在资金支付期限、预款比例等方面的优惠措施，依据国务院令第728号《保障中小企业款项支付条例》实施。⑤在政府采购活动中，供应商提供的货物、工程或者服务符合下列情形的，享受本办法规定的中小企业扶持政策：在服务采购项目中，服务由中小企业承接，即提供服务的人员为中小企业依照《中华人民共和国劳动民法典》订立劳动合同的从业人员。⑥依据《政府采购促进中小企业发展管理办法》规定享受扶持政策获得政府采购合同的，小微企业不得将合同分包给大中型企业，中型企业不得将合同分包给大型企业； 7、信用信息查询：对本章6.4.3有关信用信息相关内容以须知附前表内容为准。信用信息查询的截止时点：至本项目投标文件提交截止时间止（无需提前装订在响应文件里）。 8、政府采购合同信用融资：详见海南省政府采购网。 9、工程承包价确定原则:取成交供应商的响应报价为该工程的承包价。本项目最终工程费以相关职能部门审定的工程费为准。 10、投标报价文件由供应商自行编制的，应当由本企业的造价专业人员（注册造价工程师或具有建筑工程定额与预算职称资格人员）加盖执业专用章（仅由注册造价工程师提供，职称资格人员不做要求）；供应商委托他人编制投标报价文件的，应当委托具有相应资质的工程造价咨询单位编制并在响应文件中附有委托合同；其投标报价文件应当加盖委托人和被委托人各自的法人公章，同时应由被委托人的注册造价工程师加盖执业专用章。工程造价咨询机构在同一招标项目中，只可以接受采购人或一个供应商的委托并编制招标控制价或投标报价，不得为同一招标项目的两个或者两个以上供应商编制投标报价，亦不得既为采购人编制招标控制价同时又为供应商编制投标报价，否则其编制的招标控制价和投标报价无效并视为存在相互串通投标行为。 11、本项目为远程不见面投标。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联系人：东信工程项目管理有限公司</w:t>
      </w:r>
    </w:p>
    <w:p>
      <w:pPr>
        <w:pStyle w:val="null3"/>
        <w:jc w:val="left"/>
      </w:pPr>
      <w:r>
        <w:rPr>
          <w:rFonts w:ascii="仿宋_GB2312" w:hAnsi="仿宋_GB2312" w:cs="仿宋_GB2312" w:eastAsia="仿宋_GB2312"/>
        </w:rPr>
        <w:t>联系电话：13876642616</w:t>
      </w:r>
    </w:p>
    <w:p>
      <w:pPr>
        <w:pStyle w:val="null3"/>
        <w:jc w:val="left"/>
      </w:pPr>
      <w:r>
        <w:rPr>
          <w:rFonts w:ascii="仿宋_GB2312" w:hAnsi="仿宋_GB2312" w:cs="仿宋_GB2312" w:eastAsia="仿宋_GB2312"/>
        </w:rPr>
        <w:t>地址：海口市美兰区瓦灶路美舍嘉苑（北区）一期5栋21楼2101室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根据《海南省海口市琼山区农村综合性改革试点试验实施方案》要求，建设宜居宜业和美乡村，持续加强乡村基础设施建设，农村人居环境整治计划于</w:t>
      </w:r>
      <w:r>
        <w:rPr>
          <w:rFonts w:ascii="仿宋_GB2312" w:hAnsi="仿宋_GB2312" w:cs="仿宋_GB2312" w:eastAsia="仿宋_GB2312"/>
          <w:sz w:val="21"/>
        </w:rPr>
        <w:t>2024年开展实施，重点用于进一步提升龙马村委会（龙鳞村）人居环境水平；加强乡村风貌引导，推进村庄整治和庭院整治，完善“三三制”、“巷长制”“积分制”等乡村治理和村规民约，突出本土特色和地域特点，弘扬荔枝文化，优化村庄生产生活生态空间；巩固拓展农村综合性改革试点试验建设项目成果，全面提升农村人居环境质量。</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3,900,000.00</w:t>
      </w:r>
    </w:p>
    <w:p>
      <w:pPr>
        <w:pStyle w:val="null3"/>
        <w:jc w:val="left"/>
      </w:pPr>
      <w:r>
        <w:rPr>
          <w:rFonts w:ascii="仿宋_GB2312" w:hAnsi="仿宋_GB2312" w:cs="仿宋_GB2312" w:eastAsia="仿宋_GB2312"/>
        </w:rPr>
        <w:t>采购包最高限价（元）: 3,900,000.00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详见附件《工程量清单》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1．合同履行期限（工期）、地点及方式</w:t>
            </w:r>
          </w:p>
          <w:p>
            <w:pPr>
              <w:pStyle w:val="null3"/>
              <w:jc w:val="left"/>
            </w:pPr>
            <w:r>
              <w:rPr>
                <w:rFonts w:ascii="仿宋_GB2312" w:hAnsi="仿宋_GB2312" w:cs="仿宋_GB2312" w:eastAsia="仿宋_GB2312"/>
              </w:rPr>
              <w:t>2.1．合同履行期限（工期）：合同签订</w:t>
            </w:r>
            <w:r>
              <w:rPr>
                <w:rFonts w:ascii="仿宋_GB2312" w:hAnsi="仿宋_GB2312" w:cs="仿宋_GB2312" w:eastAsia="仿宋_GB2312"/>
              </w:rPr>
              <w:t>之日起</w:t>
            </w:r>
            <w:r>
              <w:rPr>
                <w:rFonts w:ascii="仿宋_GB2312" w:hAnsi="仿宋_GB2312" w:cs="仿宋_GB2312" w:eastAsia="仿宋_GB2312"/>
              </w:rPr>
              <w:t>120</w:t>
            </w:r>
            <w:r>
              <w:rPr>
                <w:rFonts w:ascii="仿宋_GB2312" w:hAnsi="仿宋_GB2312" w:cs="仿宋_GB2312" w:eastAsia="仿宋_GB2312"/>
              </w:rPr>
              <w:t>日历天</w:t>
            </w:r>
            <w:r>
              <w:rPr>
                <w:rFonts w:ascii="仿宋_GB2312" w:hAnsi="仿宋_GB2312" w:cs="仿宋_GB2312" w:eastAsia="仿宋_GB2312"/>
              </w:rPr>
              <w:t>。</w:t>
            </w:r>
          </w:p>
          <w:p>
            <w:pPr>
              <w:pStyle w:val="null3"/>
              <w:jc w:val="left"/>
            </w:pPr>
            <w:r>
              <w:rPr>
                <w:rFonts w:ascii="仿宋_GB2312" w:hAnsi="仿宋_GB2312" w:cs="仿宋_GB2312" w:eastAsia="仿宋_GB2312"/>
              </w:rPr>
              <w:t>2.2．履约地点：采购人指定地点</w:t>
            </w:r>
          </w:p>
          <w:p>
            <w:pPr>
              <w:pStyle w:val="null3"/>
              <w:jc w:val="left"/>
            </w:pPr>
            <w:r>
              <w:rPr>
                <w:rFonts w:ascii="仿宋_GB2312" w:hAnsi="仿宋_GB2312" w:cs="仿宋_GB2312" w:eastAsia="仿宋_GB2312"/>
              </w:rPr>
              <w:t>2.3．履约方式：按采购文件、响应文件以及后续合同约定实施。</w:t>
            </w:r>
          </w:p>
          <w:p>
            <w:pPr>
              <w:pStyle w:val="null3"/>
              <w:jc w:val="left"/>
            </w:pPr>
            <w:r>
              <w:rPr>
                <w:rFonts w:ascii="仿宋_GB2312" w:hAnsi="仿宋_GB2312" w:cs="仿宋_GB2312" w:eastAsia="仿宋_GB2312"/>
              </w:rPr>
              <w:t>2．付款时间、方式及条件：</w:t>
            </w:r>
          </w:p>
          <w:p>
            <w:pPr>
              <w:pStyle w:val="null3"/>
              <w:jc w:val="left"/>
            </w:pPr>
            <w:r>
              <w:rPr>
                <w:rFonts w:ascii="仿宋_GB2312" w:hAnsi="仿宋_GB2312" w:cs="仿宋_GB2312" w:eastAsia="仿宋_GB2312"/>
                <w:color w:val="000000"/>
              </w:rPr>
              <w:t>(1)签订合同后，采购人收到成交供应商提供的等额、有效、合法发票等请款材料5个工作日内，支付本项目合同金额30%预付款；(2)工程施工进度完成总工程量的80%后再支付工程款总价的40%；(3)工程施工进度达100%，并通过验收后再支付工程总价款的15%；(4)工程办理工程决算，经工程审计后5个工作日内，支付工程款的12%。(5)剩余工程款总额的3%作为工程质保金（质保期为工程验收合格之日起满壹年），质保期满后无息结清。</w:t>
            </w:r>
          </w:p>
          <w:p>
            <w:pPr>
              <w:pStyle w:val="null3"/>
              <w:jc w:val="left"/>
            </w:pPr>
            <w:r>
              <w:rPr>
                <w:rFonts w:ascii="仿宋_GB2312" w:hAnsi="仿宋_GB2312" w:cs="仿宋_GB2312" w:eastAsia="仿宋_GB2312"/>
              </w:rPr>
              <w:t>3．其他</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项目的实质性要求：按本磋商文件要求和成交供应商响应文件内容实施。</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合同的实质性条款：采购人与成交供应商响应文件的名称和住所、标的、数量、质量、价款或者报酬、履行期限及地点和方式、验收要求、违约责任、解决争议的方法等内容。</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安全标准：符合国家、地方和行业的相关政策、法规。</w:t>
            </w:r>
          </w:p>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验收方法及标准：按本磋商文件要求和成交供应商响应文件的内容及国家、地方和行业的相关政策、法规实施。</w:t>
            </w:r>
          </w:p>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法律法规规定的强制性标准：无。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）因系统原因导致项目概况中的最高限价为3,900,000.00元,实际</w:t>
            </w:r>
            <w:r>
              <w:rPr>
                <w:rFonts w:ascii="仿宋_GB2312" w:hAnsi="仿宋_GB2312" w:cs="仿宋_GB2312" w:eastAsia="仿宋_GB2312"/>
                <w:sz w:val="21"/>
              </w:rPr>
              <w:t>最高限价为</w:t>
            </w:r>
            <w:r>
              <w:rPr>
                <w:rFonts w:ascii="仿宋_GB2312" w:hAnsi="仿宋_GB2312" w:cs="仿宋_GB2312" w:eastAsia="仿宋_GB2312"/>
                <w:sz w:val="21"/>
              </w:rPr>
              <w:t>3,665,360.75</w:t>
            </w:r>
            <w:r>
              <w:rPr>
                <w:rFonts w:ascii="仿宋_GB2312" w:hAnsi="仿宋_GB2312" w:cs="仿宋_GB2312" w:eastAsia="仿宋_GB2312"/>
                <w:sz w:val="21"/>
              </w:rPr>
              <w:t>元（以此为准），供应商报价超过</w:t>
            </w:r>
            <w:r>
              <w:rPr>
                <w:rFonts w:ascii="仿宋_GB2312" w:hAnsi="仿宋_GB2312" w:cs="仿宋_GB2312" w:eastAsia="仿宋_GB2312"/>
                <w:sz w:val="21"/>
              </w:rPr>
              <w:t>3,665,360.75</w:t>
            </w:r>
            <w:r>
              <w:rPr>
                <w:rFonts w:ascii="仿宋_GB2312" w:hAnsi="仿宋_GB2312" w:cs="仿宋_GB2312" w:eastAsia="仿宋_GB2312"/>
                <w:sz w:val="21"/>
              </w:rPr>
              <w:t>元</w:t>
            </w:r>
            <w:r>
              <w:rPr>
                <w:rFonts w:ascii="仿宋_GB2312" w:hAnsi="仿宋_GB2312" w:cs="仿宋_GB2312" w:eastAsia="仿宋_GB2312"/>
                <w:sz w:val="21"/>
              </w:rPr>
              <w:t>最高限价的按无效投标处理。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其他资格承诺函 符合法律、行政法规规定的声明函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在中华人民共和国注册，具有独立承担民事责任能力的法人，企业需提供营业执照，事业单位需提供事业单位法人证书，其他组织提供法人登记证书等相关证明文件</w:t>
            </w:r>
          </w:p>
        </w:tc>
        <w:tc>
          <w:tcPr>
            <w:tcW w:type="dxa" w:w="3322"/>
          </w:tcPr>
          <w:p>
            <w:pPr>
              <w:pStyle w:val="null3"/>
              <w:jc w:val="left"/>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 如供应商是银行、保险、石油石化、电力、电信行业的，分支机构可参与本项目的政府采购活动。磋商文件中涉及要求提供“法定代表人”相关证明材料的，提供分支机构“负责人”的相关证明材料。 只有中国公民才能以自然人的身份参加本项目的政府采购活动。</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符合法律、行政法规规定的声明函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提供无环保类行政处罚记录承诺函加盖公章。</w:t>
            </w:r>
          </w:p>
        </w:tc>
        <w:tc>
          <w:tcPr>
            <w:tcW w:type="dxa" w:w="1661"/>
          </w:tcPr>
          <w:p>
            <w:pPr>
              <w:pStyle w:val="null3"/>
              <w:jc w:val="left"/>
            </w:pPr>
            <w:r>
              <w:rPr>
                <w:rFonts w:ascii="仿宋_GB2312" w:hAnsi="仿宋_GB2312" w:cs="仿宋_GB2312" w:eastAsia="仿宋_GB2312"/>
              </w:rPr>
              <w:t>无环保类行政处罚记录承诺函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投标人须具备有效期内的安全生产许可证，且具备市政公用工程施工总承包叁级或以上资质或根据《住房和城乡建设部关于印发建设工程企业资质管理制度改革方案的通知（建市〔2020 〕94号）的规定已换发新证取得相应资质，并在人员、设备、资金等方面具有相应的施工能力。</w:t>
            </w:r>
          </w:p>
        </w:tc>
        <w:tc>
          <w:tcPr>
            <w:tcW w:type="dxa" w:w="3322"/>
          </w:tcPr>
          <w:p>
            <w:pPr>
              <w:pStyle w:val="null3"/>
              <w:jc w:val="left"/>
            </w:pPr>
            <w:r>
              <w:rPr>
                <w:rFonts w:ascii="仿宋_GB2312" w:hAnsi="仿宋_GB2312" w:cs="仿宋_GB2312" w:eastAsia="仿宋_GB2312"/>
              </w:rPr>
              <w:t>提供相关证书加盖公章，格式自拟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拟派项目经理或项目负责人须具备市政公用工程专业二级或以上注册建造师执业资格，且未担任其他在施工程项目的项目经理或项目负责人</w:t>
            </w:r>
          </w:p>
        </w:tc>
        <w:tc>
          <w:tcPr>
            <w:tcW w:type="dxa" w:w="3322"/>
          </w:tcPr>
          <w:p>
            <w:pPr>
              <w:pStyle w:val="null3"/>
              <w:jc w:val="left"/>
            </w:pPr>
            <w:r>
              <w:rPr>
                <w:rFonts w:ascii="仿宋_GB2312" w:hAnsi="仿宋_GB2312" w:cs="仿宋_GB2312" w:eastAsia="仿宋_GB2312"/>
              </w:rPr>
              <w:t>供相关证书及项目经理无在建工程承诺函加盖公章，格式自拟</w:t>
            </w:r>
          </w:p>
        </w:tc>
        <w:tc>
          <w:tcPr>
            <w:tcW w:type="dxa" w:w="1661"/>
          </w:tcPr>
          <w:p>
            <w:pPr>
              <w:pStyle w:val="null3"/>
              <w:jc w:val="left"/>
            </w:pPr>
            <w:r>
              <w:rPr>
                <w:rFonts w:ascii="仿宋_GB2312" w:hAnsi="仿宋_GB2312" w:cs="仿宋_GB2312" w:eastAsia="仿宋_GB2312"/>
              </w:rPr>
              <w:t>项目管理人员情况表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投标人须具有《海南省建筑企业诚信档案手册》</w:t>
            </w:r>
          </w:p>
        </w:tc>
        <w:tc>
          <w:tcPr>
            <w:tcW w:type="dxa" w:w="3322"/>
          </w:tcPr>
          <w:p>
            <w:pPr>
              <w:pStyle w:val="null3"/>
              <w:jc w:val="left"/>
            </w:pPr>
            <w:r>
              <w:rPr>
                <w:rFonts w:ascii="仿宋_GB2312" w:hAnsi="仿宋_GB2312" w:cs="仿宋_GB2312" w:eastAsia="仿宋_GB2312"/>
              </w:rPr>
              <w:t>供应商参与政府采购活动前，应当根据《海南省建筑企业诚信档案手册管理办法》的规定，通过省住房和城乡建设厅网站（http://www.hnjst.gov.cn/）登录海南省建筑市场监管公共服务平台填报项目名称、项目地址、派驻的项目班子关键岗位人员信息，打印生成诚信档案手册，与竞争性磋商响应文件一并密封提交竞争性磋商小组。</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根据《海南省建筑工程施工现场关键岗位人员配备和在岗履职管理办法》（琼建管〔2021〕281号）要求，配备施工项目部关键岗位人员如下：项目负责人（项目经理）1人、项目技术负责人1人（可兼任）、施工员1人、专职安全生产管理人员1人、质量员1人（可兼任）、劳资专管员1人（可兼任）、资料员1人（可兼任）</w:t>
            </w:r>
          </w:p>
        </w:tc>
        <w:tc>
          <w:tcPr>
            <w:tcW w:type="dxa" w:w="3322"/>
          </w:tcPr>
          <w:p>
            <w:pPr>
              <w:pStyle w:val="null3"/>
              <w:jc w:val="left"/>
            </w:pPr>
            <w:r>
              <w:rPr>
                <w:rFonts w:ascii="仿宋_GB2312" w:hAnsi="仿宋_GB2312" w:cs="仿宋_GB2312" w:eastAsia="仿宋_GB2312"/>
              </w:rPr>
              <w:t>供应商需提供本项目管理机构人员的证件如下：1、项目经理建造师注册证；2、技术负责人职称证；3、专职安全生产管理人员岗位证或安全生产考核合格证或职业培训合格证；施工员、质量员、资料员提供岗位证书或职业培训合格证；劳资专管员提供身份证，并在响应文件中注明。（相关证书须由建设行政主管部门或其认可的机构颁发）备注：提供相关证书及2024年6月1日至今任意连续三个月在本单位的社保缴纳证明复印件加盖公章。</w:t>
            </w:r>
          </w:p>
        </w:tc>
        <w:tc>
          <w:tcPr>
            <w:tcW w:type="dxa" w:w="1661"/>
          </w:tcPr>
          <w:p>
            <w:pPr>
              <w:pStyle w:val="null3"/>
              <w:jc w:val="left"/>
            </w:pPr>
            <w:r>
              <w:rPr>
                <w:rFonts w:ascii="仿宋_GB2312" w:hAnsi="仿宋_GB2312" w:cs="仿宋_GB2312" w:eastAsia="仿宋_GB2312"/>
              </w:rPr>
              <w:t>项目管理人员情况表 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未被列入“中国执行信息公开网”（http://zxgk.court.gov.cn）“失信被执行人”及未被列入信用中国网站(www.creditchina.gov.cn)“重大税收违法失信主体”、“政府采购严重违法失信名单”和中国政府采购网(www.ccgp.gov.cn)“政府采购严重违法失信行为记录名单”</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本项目接受联合体投标。</w:t>
            </w:r>
          </w:p>
        </w:tc>
        <w:tc>
          <w:tcPr>
            <w:tcW w:type="dxa" w:w="3322"/>
          </w:tcPr>
          <w:p>
            <w:pPr>
              <w:pStyle w:val="null3"/>
              <w:jc w:val="left"/>
            </w:pPr>
            <w:r>
              <w:rPr>
                <w:rFonts w:ascii="仿宋_GB2312" w:hAnsi="仿宋_GB2312" w:cs="仿宋_GB2312" w:eastAsia="仿宋_GB2312"/>
              </w:rPr>
              <w:t>联合体投标的应提供联合体协议书</w:t>
            </w:r>
          </w:p>
        </w:tc>
        <w:tc>
          <w:tcPr>
            <w:tcW w:type="dxa" w:w="1661"/>
          </w:tcPr>
          <w:p>
            <w:pPr>
              <w:pStyle w:val="null3"/>
              <w:jc w:val="left"/>
            </w:pPr>
            <w:r>
              <w:rPr>
                <w:rFonts w:ascii="仿宋_GB2312" w:hAnsi="仿宋_GB2312" w:cs="仿宋_GB2312" w:eastAsia="仿宋_GB2312"/>
              </w:rPr>
              <w:t>联合体协议书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异常低价投标（响应）审查</w:t>
            </w:r>
          </w:p>
        </w:tc>
        <w:tc>
          <w:tcPr>
            <w:tcW w:type="dxa" w:w="3322"/>
          </w:tcPr>
          <w:p>
            <w:pPr>
              <w:pStyle w:val="null3"/>
              <w:jc w:val="left"/>
            </w:pPr>
            <w:r>
              <w:rPr>
                <w:rFonts w:ascii="仿宋_GB2312" w:hAnsi="仿宋_GB2312" w:cs="仿宋_GB2312" w:eastAsia="仿宋_GB2312"/>
              </w:rPr>
              <w:t>异常低价的情形（详见第二章）</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技术部分61.00分</w:t>
            </w:r>
          </w:p>
          <w:p>
            <w:pPr>
              <w:pStyle w:val="null3"/>
              <w:jc w:val="left"/>
            </w:pPr>
            <w:r>
              <w:rPr>
                <w:rFonts w:ascii="仿宋_GB2312" w:hAnsi="仿宋_GB2312" w:cs="仿宋_GB2312" w:eastAsia="仿宋_GB2312"/>
              </w:rPr>
              <w:t>商务部分9.00分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交的施工方案与技术措施进行综合评分，内容包括但不限于：①施工重点与难点及绿色施工的总体安排；②施工工艺；③施工机械。供应商提交施工方案与技术措施的得15分，如每缺少一项内容扣5分，扣完为止；对施工方案与技术措施内容存在一处缺陷（缺陷是指方案内容非专门针对本项目或不适用项目特性的情形、内容不够完整或缺少关键节点、内容前后矛盾、涉及的规范及标准错误、存在无法实现预期目标的风险等）扣1分，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交的工程进度计划与措施进行综合评分，内容包括但不限于：①整体的施工进度计划；②关键节点的控制措施。供应商提交工程进度计划与措施的得10分，如每缺少一项内容扣5分，扣完为止；对工程进度计划与措施内容存在一处缺陷（缺陷是指方案内容非专门针对本项目或不适用项目特性的情形、内容不够完整或缺少关键节点、内容前后矛盾、涉及的规范及标准错误、存在无法实现预期目标的风险等）扣1分，扣完为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交的质量管理体系与措施进行综合评分，内容包括但不限于：①质量管理体系；②工程质量承诺；③质量保证措施。供应商提交质量管理体系与措施的得12分，如每缺少一项内容扣4分，扣完为止；对质量管理体系与措施内容存在一处缺陷（缺陷是指方案内容非专门针对本项目或不适用项目特性的情形、内容不够完整或缺少关键节点、内容前后矛盾、涉及的规范及标准错误、存在无法实现预期目标的风险等）扣1分，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交的安全管理体系与措施进行综合评分，内容包括但不限于：①施工安全生产保障体系；②施工安全生产目标、现场管理人员安全生产职责；③针对项目特点、周边环境和施工工艺制定的防护措施。供应商提交安全管理体系与措施的得12分，如每缺少一项内容扣4分，扣完为止；对安全管理体系与措施内容存在一处缺陷（缺陷是指方案内容非专门针对本项目或不适用项目特性的情形、内容不够完整或缺少关键节点、内容前后矛盾、涉及的规范及标准错误、存在无法实现预期目标的风险等）扣1分，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环境保护管理体系与措施</w:t>
            </w:r>
          </w:p>
        </w:tc>
        <w:tc>
          <w:tcPr>
            <w:tcW w:type="dxa" w:w="2492"/>
          </w:tcPr>
          <w:p>
            <w:pPr>
              <w:pStyle w:val="null3"/>
              <w:jc w:val="left"/>
            </w:pPr>
            <w:r>
              <w:rPr>
                <w:rFonts w:ascii="仿宋_GB2312" w:hAnsi="仿宋_GB2312" w:cs="仿宋_GB2312" w:eastAsia="仿宋_GB2312"/>
              </w:rPr>
              <w:t>根据供应商提交的环境保护管理体系与措施进行综合评分，内容包括但不限于：①环境保护措施；②创文明工地目标措施；③施工现场扬尘治理措施。供应商提交环境保护管理体系与措施的得12分，如每缺少一项内容扣4分，扣完为止；对环境保护管理体系与措施内容存在一处缺陷（缺陷是指方案内容非专门针对本项目或不适用项目特性的情形、内容不够完整或缺少关键节点、内容前后矛盾、涉及的规范及标准错误、存在无法实现预期目标的风险等）扣1分，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2022年1月1日至今，供应商承接过市政工程类业绩，每提供一项得4.5分，满分9分。证明材料：提供中标（成交）通知书或合同复印件关键页，加盖公章。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1.00%</w:t>
            </w:r>
          </w:p>
        </w:tc>
        <w:tc>
          <w:tcPr>
            <w:tcW w:type="dxa" w:w="1661"/>
          </w:tcPr>
          <w:p>
            <w:pPr>
              <w:pStyle w:val="null3"/>
              <w:jc w:val="left"/>
            </w:pPr>
            <w:r>
              <w:rPr>
                <w:rFonts w:ascii="仿宋_GB2312" w:hAnsi="仿宋_GB2312" w:cs="仿宋_GB2312" w:eastAsia="仿宋_GB2312"/>
              </w:rPr>
              <w:t>接受大中型企业与小微企业组成联合体或者允许大中型企业向一家或者多家小微企业分包的采购项目，对于联合协议或者分包意向协议约定小微企业的合同份额占到合同总金额30%以上的，采购人、招标代理机构应当对联合体或者大中型企业的报价给予4%（工程项目为1%）的扣除，用扣除后的价格参加评审</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详见附件：农村人居环境整治项目合同文本.docx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DXHN-2024-0830</w:t>
      </w:r>
    </w:p>
    <w:p>
      <w:pPr>
        <w:pStyle w:val="null3"/>
        <w:jc w:val="left"/>
      </w:pPr>
      <w:r>
        <w:rPr>
          <w:rFonts w:ascii="仿宋_GB2312" w:hAnsi="仿宋_GB2312" w:cs="仿宋_GB2312" w:eastAsia="仿宋_GB2312"/>
        </w:rPr>
        <w:t>项目名称：</w:t>
      </w:r>
      <w:r>
        <w:rPr>
          <w:rFonts w:ascii="仿宋_GB2312" w:hAnsi="仿宋_GB2312" w:cs="仿宋_GB2312" w:eastAsia="仿宋_GB2312"/>
        </w:rPr>
        <w:t>农村人居环境整治项目（工程）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农村人居环境整治项目（工程）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详见附件：其他资格承诺函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详见附件：联合体协议书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