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2025-2026年购买城乡管理服务事项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HNKN2025-203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海口市综合行政执法局龙华分局城市管理行政执法大队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海口市综合行政执法局龙华分局城市管理行政执法大队</w:t>
      </w:r>
      <w:r>
        <w:rPr>
          <w:rFonts w:ascii="仿宋_GB2312" w:hAnsi="仿宋_GB2312" w:cs="仿宋_GB2312" w:eastAsia="仿宋_GB2312"/>
        </w:rPr>
        <w:t xml:space="preserve"> 的委托，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2025-2026年购买城乡管理服务事项</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HNKN2025-203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2025-2026年购买城乡管理服务事项</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3,126,173.58元</w:t>
      </w:r>
      <w:r>
        <w:rPr>
          <w:rFonts w:ascii="仿宋_GB2312" w:hAnsi="仿宋_GB2312" w:cs="仿宋_GB2312" w:eastAsia="仿宋_GB2312"/>
        </w:rPr>
        <w:t>叁佰壹拾贰万陆仟壹佰柒拾叁元伍角捌分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2、投标人（供应商）使用交易系统遇到问题可致电技术支持：4001691288。 3、本项目为远程不见面开标，开标前必须进入电子开标大厅在线签到（未签到视为无效投标）， 本采购活动采用全流程电子化的方式，响应、磋商、报价、评审等全流程均通过线上进行。 4、供应商须提前准备海南蓝色ca数字证书。CA数字证书认证咨询电话：0898-66668096。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海口市综合行政执法局龙华分局城市管理行政执法大队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海南省海口市龙华区明月路4号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19809209963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海南省海口市龙华区城西镇迎宾大道6号第9层A座905-2房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570216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0898-85523214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采购包1：3,126,173.58元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代理服务费收费标准：代理服务费收费标准：参照琼价费管【2011】225号文件规定标准向采购人收取采购代理服务费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地址：海口市龙华区龙昆南路30号正大豪庭小区1栋19层1913房</w:t>
      </w:r>
    </w:p>
    <w:p>
      <w:pPr>
        <w:pStyle w:val="null3"/>
        <w:jc w:val="left"/>
      </w:pPr>
      <w:r>
        <w:rPr>
          <w:rFonts w:ascii="仿宋_GB2312" w:hAnsi="仿宋_GB2312" w:cs="仿宋_GB2312" w:eastAsia="仿宋_GB2312"/>
        </w:rPr>
        <w:t>邮编：570216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b/>
        </w:rPr>
        <w:t>（一）、项目基本情况</w:t>
      </w:r>
    </w:p>
    <w:p>
      <w:pPr>
        <w:pStyle w:val="null3"/>
        <w:ind w:firstLine="560"/>
        <w:jc w:val="left"/>
      </w:pPr>
      <w:r>
        <w:rPr>
          <w:rFonts w:ascii="仿宋_GB2312" w:hAnsi="仿宋_GB2312" w:cs="仿宋_GB2312" w:eastAsia="仿宋_GB2312"/>
          <w:sz w:val="28"/>
        </w:rPr>
        <w:t>项目名称：</w:t>
      </w:r>
      <w:r>
        <w:rPr>
          <w:rFonts w:ascii="仿宋_GB2312" w:hAnsi="仿宋_GB2312" w:cs="仿宋_GB2312" w:eastAsia="仿宋_GB2312"/>
          <w:sz w:val="28"/>
        </w:rPr>
        <w:t>2025-2026年购买城乡管理服务事项</w:t>
      </w:r>
    </w:p>
    <w:p>
      <w:pPr>
        <w:pStyle w:val="null3"/>
        <w:ind w:firstLine="560"/>
        <w:jc w:val="left"/>
      </w:pPr>
      <w:r>
        <w:rPr>
          <w:rFonts w:ascii="仿宋_GB2312" w:hAnsi="仿宋_GB2312" w:cs="仿宋_GB2312" w:eastAsia="仿宋_GB2312"/>
          <w:sz w:val="28"/>
        </w:rPr>
        <w:t>预算金额：本项目的采购预算</w:t>
      </w:r>
      <w:r>
        <w:rPr>
          <w:rFonts w:ascii="仿宋_GB2312" w:hAnsi="仿宋_GB2312" w:cs="仿宋_GB2312" w:eastAsia="仿宋_GB2312"/>
          <w:sz w:val="28"/>
        </w:rPr>
        <w:t>3126173.58元（报价不得超过采购预算）</w:t>
      </w:r>
    </w:p>
    <w:p>
      <w:pPr>
        <w:pStyle w:val="null3"/>
        <w:ind w:firstLine="562"/>
        <w:jc w:val="left"/>
      </w:pPr>
      <w:r>
        <w:rPr>
          <w:rFonts w:ascii="仿宋_GB2312" w:hAnsi="仿宋_GB2312" w:cs="仿宋_GB2312" w:eastAsia="仿宋_GB2312"/>
          <w:sz w:val="28"/>
          <w:b/>
        </w:rPr>
        <w:t>（二）</w:t>
      </w:r>
      <w:r>
        <w:rPr>
          <w:rFonts w:ascii="仿宋_GB2312" w:hAnsi="仿宋_GB2312" w:cs="仿宋_GB2312" w:eastAsia="仿宋_GB2312"/>
          <w:sz w:val="28"/>
          <w:b/>
        </w:rPr>
        <w:t>、项目概述</w:t>
      </w:r>
    </w:p>
    <w:p>
      <w:pPr>
        <w:pStyle w:val="null3"/>
        <w:ind w:firstLine="480"/>
        <w:jc w:val="both"/>
      </w:pPr>
      <w:r>
        <w:rPr>
          <w:rFonts w:ascii="仿宋_GB2312" w:hAnsi="仿宋_GB2312" w:cs="仿宋_GB2312" w:eastAsia="仿宋_GB2312"/>
          <w:sz w:val="28"/>
        </w:rPr>
        <w:t>本项目诚招具有人力资源服务许可的供应商，由中标供应商负责</w:t>
      </w:r>
      <w:r>
        <w:rPr>
          <w:rFonts w:ascii="仿宋_GB2312" w:hAnsi="仿宋_GB2312" w:cs="仿宋_GB2312" w:eastAsia="仿宋_GB2312"/>
          <w:sz w:val="28"/>
        </w:rPr>
        <w:t>派遣</w:t>
      </w:r>
      <w:r>
        <w:rPr>
          <w:rFonts w:ascii="仿宋_GB2312" w:hAnsi="仿宋_GB2312" w:cs="仿宋_GB2312" w:eastAsia="仿宋_GB2312"/>
          <w:sz w:val="28"/>
        </w:rPr>
        <w:t>49</w:t>
      </w:r>
      <w:r>
        <w:rPr>
          <w:rFonts w:ascii="仿宋_GB2312" w:hAnsi="仿宋_GB2312" w:cs="仿宋_GB2312" w:eastAsia="仿宋_GB2312"/>
          <w:sz w:val="28"/>
        </w:rPr>
        <w:t>名</w:t>
      </w:r>
      <w:r>
        <w:rPr>
          <w:rFonts w:ascii="仿宋_GB2312" w:hAnsi="仿宋_GB2312" w:cs="仿宋_GB2312" w:eastAsia="仿宋_GB2312"/>
          <w:sz w:val="28"/>
        </w:rPr>
        <w:t>工作人员</w:t>
      </w:r>
      <w:r>
        <w:rPr>
          <w:rFonts w:ascii="仿宋_GB2312" w:hAnsi="仿宋_GB2312" w:cs="仿宋_GB2312" w:eastAsia="仿宋_GB2312"/>
          <w:sz w:val="28"/>
        </w:rPr>
        <w:t>统筹安排至</w:t>
      </w:r>
      <w:r>
        <w:rPr>
          <w:rFonts w:ascii="仿宋_GB2312" w:hAnsi="仿宋_GB2312" w:cs="仿宋_GB2312" w:eastAsia="仿宋_GB2312"/>
          <w:sz w:val="28"/>
        </w:rPr>
        <w:t>海口市综合行政执法局龙华分局城市管理行政执法大队</w:t>
      </w:r>
      <w:r>
        <w:rPr>
          <w:rFonts w:ascii="仿宋_GB2312" w:hAnsi="仿宋_GB2312" w:cs="仿宋_GB2312" w:eastAsia="仿宋_GB2312"/>
          <w:sz w:val="28"/>
        </w:rPr>
        <w:t>等相关工作。</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3,126,173.58</w:t>
      </w:r>
    </w:p>
    <w:p>
      <w:pPr>
        <w:pStyle w:val="null3"/>
        <w:jc w:val="left"/>
      </w:pPr>
      <w:r>
        <w:rPr>
          <w:rFonts w:ascii="仿宋_GB2312" w:hAnsi="仿宋_GB2312" w:cs="仿宋_GB2312" w:eastAsia="仿宋_GB2312"/>
        </w:rPr>
        <w:t>采购包最高限价（元）: 3,126,173.58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3,126,173.58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3,126,173.58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8"/>
                <w:b/>
              </w:rPr>
              <w:t>服务要求</w:t>
            </w:r>
          </w:p>
          <w:p>
            <w:pPr>
              <w:pStyle w:val="null3"/>
              <w:ind w:firstLine="556"/>
              <w:jc w:val="both"/>
            </w:pPr>
            <w:r>
              <w:rPr>
                <w:rFonts w:ascii="仿宋_GB2312" w:hAnsi="仿宋_GB2312" w:cs="仿宋_GB2312" w:eastAsia="仿宋_GB2312"/>
                <w:sz w:val="28"/>
              </w:rPr>
              <w:t>（一）工作人员主要职责：</w:t>
            </w:r>
          </w:p>
          <w:p>
            <w:pPr>
              <w:pStyle w:val="null3"/>
              <w:ind w:firstLine="556"/>
              <w:jc w:val="both"/>
            </w:pPr>
            <w:r>
              <w:rPr>
                <w:rFonts w:ascii="仿宋_GB2312" w:hAnsi="仿宋_GB2312" w:cs="仿宋_GB2312" w:eastAsia="仿宋_GB2312"/>
                <w:sz w:val="28"/>
              </w:rPr>
              <w:t>根据工作岗位完成职责内相关工作，服从</w:t>
            </w:r>
            <w:r>
              <w:rPr>
                <w:rFonts w:ascii="仿宋_GB2312" w:hAnsi="仿宋_GB2312" w:cs="仿宋_GB2312" w:eastAsia="仿宋_GB2312"/>
                <w:sz w:val="28"/>
              </w:rPr>
              <w:t>海口市综合行政执法局龙华分局城市管理行政执法大队</w:t>
            </w:r>
            <w:r>
              <w:rPr>
                <w:rFonts w:ascii="仿宋_GB2312" w:hAnsi="仿宋_GB2312" w:cs="仿宋_GB2312" w:eastAsia="仿宋_GB2312"/>
                <w:sz w:val="28"/>
              </w:rPr>
              <w:t>安排交办的任务。</w:t>
            </w:r>
          </w:p>
          <w:p>
            <w:pPr>
              <w:pStyle w:val="null3"/>
              <w:ind w:firstLine="556"/>
              <w:jc w:val="both"/>
            </w:pPr>
            <w:r>
              <w:rPr>
                <w:rFonts w:ascii="仿宋_GB2312" w:hAnsi="仿宋_GB2312" w:cs="仿宋_GB2312" w:eastAsia="仿宋_GB2312"/>
                <w:sz w:val="28"/>
              </w:rPr>
              <w:t>（二）人员方面的需求：</w:t>
            </w:r>
          </w:p>
          <w:p>
            <w:pPr>
              <w:pStyle w:val="null3"/>
              <w:ind w:firstLine="556"/>
              <w:jc w:val="both"/>
            </w:pPr>
            <w:r>
              <w:rPr>
                <w:rFonts w:ascii="仿宋_GB2312" w:hAnsi="仿宋_GB2312" w:cs="仿宋_GB2312" w:eastAsia="仿宋_GB2312"/>
                <w:sz w:val="28"/>
              </w:rPr>
              <w:t>1、成交供应商向</w:t>
            </w:r>
            <w:r>
              <w:rPr>
                <w:rFonts w:ascii="仿宋_GB2312" w:hAnsi="仿宋_GB2312" w:cs="仿宋_GB2312" w:eastAsia="仿宋_GB2312"/>
                <w:sz w:val="28"/>
              </w:rPr>
              <w:t>海口市综合行政执法局龙华分局城市管理行政执法大队</w:t>
            </w:r>
            <w:r>
              <w:rPr>
                <w:rFonts w:ascii="仿宋_GB2312" w:hAnsi="仿宋_GB2312" w:cs="仿宋_GB2312" w:eastAsia="仿宋_GB2312"/>
                <w:sz w:val="28"/>
              </w:rPr>
              <w:t>派遣的人员，均由</w:t>
            </w:r>
            <w:r>
              <w:rPr>
                <w:rFonts w:ascii="仿宋_GB2312" w:hAnsi="仿宋_GB2312" w:cs="仿宋_GB2312" w:eastAsia="仿宋_GB2312"/>
                <w:sz w:val="28"/>
              </w:rPr>
              <w:t>海口市综合行政执法局龙华分局城市管理行政执法大队</w:t>
            </w:r>
            <w:r>
              <w:rPr>
                <w:rFonts w:ascii="仿宋_GB2312" w:hAnsi="仿宋_GB2312" w:cs="仿宋_GB2312" w:eastAsia="仿宋_GB2312"/>
                <w:sz w:val="28"/>
              </w:rPr>
              <w:t>委托并监督成交供应商根据自愿报名、资格审查、面试、体检、录用的程序进行确定（确保公开、公平、公正）。</w:t>
            </w:r>
          </w:p>
          <w:p>
            <w:pPr>
              <w:pStyle w:val="null3"/>
              <w:ind w:firstLine="556"/>
              <w:jc w:val="both"/>
            </w:pPr>
            <w:r>
              <w:rPr>
                <w:rFonts w:ascii="仿宋_GB2312" w:hAnsi="仿宋_GB2312" w:cs="仿宋_GB2312" w:eastAsia="仿宋_GB2312"/>
                <w:sz w:val="28"/>
              </w:rPr>
              <w:t>2、在合同期内，派遣人员辞职离岗，空缺的岗位由</w:t>
            </w:r>
            <w:r>
              <w:rPr>
                <w:rFonts w:ascii="仿宋_GB2312" w:hAnsi="仿宋_GB2312" w:cs="仿宋_GB2312" w:eastAsia="仿宋_GB2312"/>
                <w:sz w:val="28"/>
              </w:rPr>
              <w:t>海口市综合行政执法局龙华分局城市管理行政执法大队</w:t>
            </w:r>
            <w:r>
              <w:rPr>
                <w:rFonts w:ascii="仿宋_GB2312" w:hAnsi="仿宋_GB2312" w:cs="仿宋_GB2312" w:eastAsia="仿宋_GB2312"/>
                <w:sz w:val="28"/>
              </w:rPr>
              <w:t>确定是否补充，补充人员由</w:t>
            </w:r>
            <w:r>
              <w:rPr>
                <w:rFonts w:ascii="仿宋_GB2312" w:hAnsi="仿宋_GB2312" w:cs="仿宋_GB2312" w:eastAsia="仿宋_GB2312"/>
                <w:sz w:val="28"/>
              </w:rPr>
              <w:t>海口市综合行政执法局龙华分局城市管理行政执法大队</w:t>
            </w:r>
            <w:r>
              <w:rPr>
                <w:rFonts w:ascii="仿宋_GB2312" w:hAnsi="仿宋_GB2312" w:cs="仿宋_GB2312" w:eastAsia="仿宋_GB2312"/>
                <w:sz w:val="28"/>
              </w:rPr>
              <w:t>监督成交供应商按有关程序选择。</w:t>
            </w:r>
          </w:p>
          <w:p>
            <w:pPr>
              <w:pStyle w:val="null3"/>
              <w:ind w:firstLine="556"/>
              <w:jc w:val="both"/>
            </w:pPr>
            <w:r>
              <w:rPr>
                <w:rFonts w:ascii="仿宋_GB2312" w:hAnsi="仿宋_GB2312" w:cs="仿宋_GB2312" w:eastAsia="仿宋_GB2312"/>
                <w:sz w:val="28"/>
              </w:rPr>
              <w:t>3、在合同期间，派遣人员由</w:t>
            </w:r>
            <w:r>
              <w:rPr>
                <w:rFonts w:ascii="仿宋_GB2312" w:hAnsi="仿宋_GB2312" w:cs="仿宋_GB2312" w:eastAsia="仿宋_GB2312"/>
                <w:sz w:val="28"/>
              </w:rPr>
              <w:t>海口市综合行政执法局龙华分局城市管理行政执法大队</w:t>
            </w:r>
            <w:r>
              <w:rPr>
                <w:rFonts w:ascii="仿宋_GB2312" w:hAnsi="仿宋_GB2312" w:cs="仿宋_GB2312" w:eastAsia="仿宋_GB2312"/>
                <w:sz w:val="28"/>
              </w:rPr>
              <w:t>统一管理，服从</w:t>
            </w:r>
            <w:r>
              <w:rPr>
                <w:rFonts w:ascii="仿宋_GB2312" w:hAnsi="仿宋_GB2312" w:cs="仿宋_GB2312" w:eastAsia="仿宋_GB2312"/>
                <w:sz w:val="28"/>
              </w:rPr>
              <w:t>海口市综合行政执法局龙华分局城市管理行政执法大队</w:t>
            </w:r>
            <w:r>
              <w:rPr>
                <w:rFonts w:ascii="仿宋_GB2312" w:hAnsi="仿宋_GB2312" w:cs="仿宋_GB2312" w:eastAsia="仿宋_GB2312"/>
                <w:sz w:val="28"/>
              </w:rPr>
              <w:t>的工作安排。</w:t>
            </w:r>
          </w:p>
          <w:p>
            <w:pPr>
              <w:pStyle w:val="null3"/>
              <w:ind w:firstLine="556"/>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）服务质量方面的需求：</w:t>
            </w:r>
          </w:p>
          <w:p>
            <w:pPr>
              <w:pStyle w:val="null3"/>
              <w:ind w:firstLine="560"/>
              <w:jc w:val="both"/>
            </w:pPr>
            <w:r>
              <w:rPr>
                <w:rFonts w:ascii="仿宋_GB2312" w:hAnsi="仿宋_GB2312" w:cs="仿宋_GB2312" w:eastAsia="仿宋_GB2312"/>
                <w:sz w:val="28"/>
              </w:rPr>
              <w:t>1、由服务单位负责与派遣员工签订劳动合同，确定劳动关系。</w:t>
            </w:r>
          </w:p>
          <w:p>
            <w:pPr>
              <w:pStyle w:val="null3"/>
              <w:ind w:firstLine="560"/>
              <w:jc w:val="both"/>
            </w:pPr>
            <w:r>
              <w:rPr>
                <w:rFonts w:ascii="仿宋_GB2312" w:hAnsi="仿宋_GB2312" w:cs="仿宋_GB2312" w:eastAsia="仿宋_GB2312"/>
                <w:sz w:val="28"/>
              </w:rPr>
              <w:t>2、服务单位负责派遣员工薪酬管理、社保、公积金办理、个税代扣代缴等工作，按时足额发放派遣人员的劳务报酬及收取核算管理费，并将发放。</w:t>
            </w:r>
          </w:p>
          <w:p>
            <w:pPr>
              <w:pStyle w:val="null3"/>
              <w:ind w:firstLine="560"/>
              <w:jc w:val="both"/>
            </w:pPr>
            <w:r>
              <w:rPr>
                <w:rFonts w:ascii="仿宋_GB2312" w:hAnsi="仿宋_GB2312" w:cs="仿宋_GB2312" w:eastAsia="仿宋_GB2312"/>
                <w:sz w:val="28"/>
              </w:rPr>
              <w:t>3、在合同期间，由服务单位按照《劳动法》有关规定及劳务派遣协议承担派遣人员的用工责任，负责处理派遣人员提出的劳动仲裁、诉讼等事宜。</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、派遣人员的档案管理由派遣人员自行解决，党团组织关系可随其转到所在工作单位。</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、服务单位具有完善的日常管理制度，有完备的突发事件应急方案和培训方案、人员招聘方案。</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、服务单位应该确保在《劳务派遣合同》签订之日起</w:t>
            </w:r>
            <w:r>
              <w:rPr>
                <w:rFonts w:ascii="仿宋_GB2312" w:hAnsi="仿宋_GB2312" w:cs="仿宋_GB2312" w:eastAsia="仿宋_GB2312"/>
                <w:sz w:val="28"/>
              </w:rPr>
              <w:t>5个工作日内办理完毕与派遣人员的劳动合同签订和派遣手续，并及时向采购人反馈相关情况。</w:t>
            </w:r>
          </w:p>
          <w:p>
            <w:pPr>
              <w:pStyle w:val="null3"/>
              <w:jc w:val="both"/>
            </w:pPr>
            <w:r>
              <w:rPr>
                <w:rFonts w:ascii="仿宋_GB2312" w:hAnsi="仿宋_GB2312" w:cs="仿宋_GB2312" w:eastAsia="仿宋_GB2312"/>
                <w:sz w:val="28"/>
              </w:rPr>
              <w:t xml:space="preserve">   7、服务单位应制定相关的管理规定制度，确保及时、准确、妥善地处理派遣人员的薪酬管理、社保办理等事宜，避免因资金发放不及时、不到位而影响工作开展甚至发生劳动仲裁、诉讼事件。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56"/>
              <w:jc w:val="both"/>
            </w:pPr>
            <w:r>
              <w:rPr>
                <w:rFonts w:ascii="仿宋_GB2312" w:hAnsi="仿宋_GB2312" w:cs="仿宋_GB2312" w:eastAsia="仿宋_GB2312"/>
                <w:sz w:val="28"/>
              </w:rPr>
              <w:t>1、合同履行期限：自合同签订之日起1年。</w:t>
            </w:r>
          </w:p>
          <w:p>
            <w:pPr>
              <w:pStyle w:val="null3"/>
              <w:ind w:firstLine="556"/>
              <w:jc w:val="both"/>
            </w:pPr>
            <w:r>
              <w:rPr>
                <w:rFonts w:ascii="仿宋_GB2312" w:hAnsi="仿宋_GB2312" w:cs="仿宋_GB2312" w:eastAsia="仿宋_GB2312"/>
                <w:sz w:val="28"/>
              </w:rPr>
              <w:t>2、项目地点：采购人指定地点。</w:t>
            </w:r>
          </w:p>
          <w:p>
            <w:pPr>
              <w:pStyle w:val="null3"/>
              <w:ind w:firstLine="556"/>
              <w:jc w:val="both"/>
            </w:pPr>
            <w:r>
              <w:rPr>
                <w:rFonts w:ascii="仿宋_GB2312" w:hAnsi="仿宋_GB2312" w:cs="仿宋_GB2312" w:eastAsia="仿宋_GB2312"/>
                <w:sz w:val="28"/>
              </w:rPr>
              <w:t>3、付款方式：（具体以合同约定为准）</w:t>
            </w:r>
          </w:p>
          <w:p>
            <w:pPr>
              <w:pStyle w:val="null3"/>
              <w:ind w:firstLine="556"/>
              <w:jc w:val="both"/>
            </w:pPr>
            <w:r>
              <w:rPr>
                <w:rFonts w:ascii="仿宋_GB2312" w:hAnsi="仿宋_GB2312" w:cs="仿宋_GB2312" w:eastAsia="仿宋_GB2312"/>
                <w:sz w:val="28"/>
              </w:rPr>
              <w:t>劳务派遣人员工资社保及服务费用由采购人在当月</w:t>
            </w:r>
            <w:r>
              <w:rPr>
                <w:rFonts w:ascii="仿宋_GB2312" w:hAnsi="仿宋_GB2312" w:cs="仿宋_GB2312" w:eastAsia="仿宋_GB2312"/>
                <w:sz w:val="28"/>
              </w:rPr>
              <w:t>28日前支付给成交供应商，成交供应商应在收到后及时足额发放至派遣员工本人工资账户，由成交供应商按期缴纳五险一金，并按照国家规定代扣代缴个人所得税。</w:t>
            </w:r>
          </w:p>
          <w:p>
            <w:pPr>
              <w:pStyle w:val="null3"/>
              <w:ind w:firstLine="556"/>
              <w:jc w:val="both"/>
            </w:pPr>
            <w:r>
              <w:rPr>
                <w:rFonts w:ascii="仿宋_GB2312" w:hAnsi="仿宋_GB2312" w:cs="仿宋_GB2312" w:eastAsia="仿宋_GB2312"/>
                <w:sz w:val="28"/>
              </w:rPr>
              <w:t>4、成交人需保证派遣工作团队的稳定性，非经采购人同意，不得随意变换派遣人员。采购人对违反单位规章制度及工作纪律的派遣人员可以辞退。</w:t>
            </w:r>
          </w:p>
          <w:p>
            <w:pPr>
              <w:pStyle w:val="null3"/>
              <w:jc w:val="both"/>
            </w:pPr>
            <w:r>
              <w:rPr>
                <w:rFonts w:ascii="仿宋_GB2312" w:hAnsi="仿宋_GB2312" w:cs="仿宋_GB2312" w:eastAsia="仿宋_GB2312"/>
                <w:sz w:val="28"/>
                <w:b/>
              </w:rPr>
              <w:t xml:space="preserve">   5、本项目采购预算3126173.58元，含暂定价（派遣人员工资、五险一金、工龄补助、高温补贴费</w:t>
            </w:r>
            <w:r>
              <w:rPr>
                <w:rFonts w:ascii="仿宋_GB2312" w:hAnsi="仿宋_GB2312" w:cs="仿宋_GB2312" w:eastAsia="仿宋_GB2312"/>
                <w:sz w:val="28"/>
                <w:b/>
              </w:rPr>
              <w:t>、残疾人保障金</w:t>
            </w:r>
            <w:r>
              <w:rPr>
                <w:rFonts w:ascii="仿宋_GB2312" w:hAnsi="仿宋_GB2312" w:cs="仿宋_GB2312" w:eastAsia="仿宋_GB2312"/>
                <w:sz w:val="28"/>
                <w:b/>
              </w:rPr>
              <w:t>）和管理服务费。供应商仅需对单人单月管理服务费进行报价，最高限价为</w:t>
            </w:r>
            <w:r>
              <w:rPr>
                <w:rFonts w:ascii="仿宋_GB2312" w:hAnsi="仿宋_GB2312" w:cs="仿宋_GB2312" w:eastAsia="仿宋_GB2312"/>
                <w:sz w:val="28"/>
                <w:b/>
              </w:rPr>
              <w:t>50.00元/月/人，采购预算扣除供应商服务期间内派遣管理费后，剩余费用均为人员工资薪酬五险一金等直接费用。</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、服务单位需保证派遣工作团队的稳定性，非经采购人同意，不得随意变换派遣人员。采购人对违反单位规章制度及工作纪律的派遣人员可以辞退。</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采购人按合同约定向中标单位支付劳务派遣采购项目款项，中标单位根据派遣员工的实际工作时间按月按采购人确定的标准足额发放薪酬、补贴，办理五险一金及个税代扣代缴等工作。如派遣员工提前解除劳动合同，其剩余工资结算要向采购人报告。采购人根据实际情况，可将结余工资用于招补录劳务派遣员工、开展劳务派遣员工管理人员的培训、奖励等工作。</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、服务标准：中标人根据《中华人民共和国劳动法》、《中华人民共和国劳动合同法》等相关规定提供劳务派遣服务。</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、合同履行过程中，如遇政府对社保、公积金等相关费用进行调整的，按照调整后的费用标准进行结算。</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项目业绩表 商务应答表 技术方案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项目业绩表 商务应答表 技术方案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项目业绩表 商务应答表 技术方案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日常管理方案</w:t>
            </w:r>
          </w:p>
        </w:tc>
        <w:tc>
          <w:tcPr>
            <w:tcW w:type="dxa" w:w="2492"/>
          </w:tcPr>
          <w:p>
            <w:pPr>
              <w:pStyle w:val="null3"/>
              <w:jc w:val="left"/>
            </w:pPr>
            <w:r>
              <w:rPr>
                <w:rFonts w:ascii="仿宋_GB2312" w:hAnsi="仿宋_GB2312" w:cs="仿宋_GB2312" w:eastAsia="仿宋_GB2312"/>
              </w:rPr>
              <w:t>1、日常管理方案内容包括但不仅限于①服务质量管理控制体系、②劳动合同管理、③薪酬福利管理、④社会保障管理、⑤网格员管理规定，每提供一项得1分，基础分5分，在此基础上进行加分，缺项不加分。 2、日常管理方案编制内容非常详细，符合项目实际情况，可行性非常高，加5分；日常管理方案内容比较详细，符合项目实际情况，可行性比较高，加3分；日常管理方案编制内容一般，不完全符合项目实际情况，加2分；日常管理方案编制内容差，完全不符合项目实际情况，可行性差，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1、培训方案内容包括但不仅限于①培训内容、②培训计划、③培训形式、④培训考核、⑤培训资源，每提供一项得1分，基础分5分，在此基础上进行加分，缺项不加分。 2、培训方案编制内容非常详细，符合项目实际情况，可行性非常高，加5分；培训方案编制内容比较详细，符合项目实际情况，可行性比较高，加3分；培训方案编制内容一般，不完全符合项目实际情况，加2分；培训方案编制内容差，完全不符合项目实际情况，可行性差，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劳务纠纷处理方案</w:t>
            </w:r>
          </w:p>
        </w:tc>
        <w:tc>
          <w:tcPr>
            <w:tcW w:type="dxa" w:w="2492"/>
          </w:tcPr>
          <w:p>
            <w:pPr>
              <w:pStyle w:val="null3"/>
              <w:jc w:val="left"/>
            </w:pPr>
            <w:r>
              <w:rPr>
                <w:rFonts w:ascii="仿宋_GB2312" w:hAnsi="仿宋_GB2312" w:cs="仿宋_GB2312" w:eastAsia="仿宋_GB2312"/>
              </w:rPr>
              <w:t>1、劳务纠纷处理方案内容包括但不仅限于①劳务纠纷预防措施、②劳务纠纷协商程序、③劳务纠纷调解程序、④劳务纠纷仲裁程序、⑤后续跟进与反馈，每提供一项得1分，基础分5分，在此基础上进行加分，缺项不加分。 2、劳务纠纷处理方案编制内容非常详细，符合项目实际情况，可行性非常高，加5分；劳务纠纷处理方案编制内容比较详细，符合项目实际情况，可行性比较高，加3分；劳务纠纷处理方案编制内容一般，不完全符合项目实际情况，加2分；劳务纠纷处理方案编制内容差，完全不符合项目实际情况，可行性差，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应急服务方案</w:t>
            </w:r>
          </w:p>
        </w:tc>
        <w:tc>
          <w:tcPr>
            <w:tcW w:type="dxa" w:w="2492"/>
          </w:tcPr>
          <w:p>
            <w:pPr>
              <w:pStyle w:val="null3"/>
              <w:jc w:val="left"/>
            </w:pPr>
            <w:r>
              <w:rPr>
                <w:rFonts w:ascii="仿宋_GB2312" w:hAnsi="仿宋_GB2312" w:cs="仿宋_GB2312" w:eastAsia="仿宋_GB2312"/>
              </w:rPr>
              <w:t>1、应急服务方案内容包括但不仅限于①应急预案、②应急流程、③紧急用人需求、④派遣员工突发疾病或工伤、⑤自然灾害、公共卫生事件等不可抗力因素的应急处理，每提供一项得1分，基础分5分，在此基础上进行加分，缺项不加分。 2、应急服务方案编制内容非常详细，符合项目实际情况，可行性非常高，加5分；应急服务方案编制内容比较详细，符合项目实际情况，可行性比较高，加3分；应急服务方案编制内容一般，不完全符合项目实际情况，加2分；应急服务方案编制内容差，完全不符合项目实际情况，可行性差，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人员招聘方案</w:t>
            </w:r>
          </w:p>
        </w:tc>
        <w:tc>
          <w:tcPr>
            <w:tcW w:type="dxa" w:w="2492"/>
          </w:tcPr>
          <w:p>
            <w:pPr>
              <w:pStyle w:val="null3"/>
              <w:jc w:val="left"/>
            </w:pPr>
            <w:r>
              <w:rPr>
                <w:rFonts w:ascii="仿宋_GB2312" w:hAnsi="仿宋_GB2312" w:cs="仿宋_GB2312" w:eastAsia="仿宋_GB2312"/>
              </w:rPr>
              <w:t>1、人员招聘方案内容包括但不仅限于①招聘流程、②招聘方式、③人才库储备、④人员测评和录用、⑤人事档案管理，每提供一项得1分，基础分5分，在此基础上进行加分，缺项不加分。 2、人员招聘方案编制内容非常详细，符合项目实际情况，可行性非常高，加5分；人员招聘方案编制内容比较详细，符合项目实际情况，可行性比较高，加3分；人员招聘方案编制内容一般，不完全符合项目实际情况，加2分；人员招聘方案编制内容差，完全不符合项目实际情况，可行性差，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采购需求响应</w:t>
            </w:r>
          </w:p>
        </w:tc>
        <w:tc>
          <w:tcPr>
            <w:tcW w:type="dxa" w:w="2492"/>
          </w:tcPr>
          <w:p>
            <w:pPr>
              <w:pStyle w:val="null3"/>
              <w:jc w:val="left"/>
            </w:pPr>
            <w:r>
              <w:rPr>
                <w:rFonts w:ascii="仿宋_GB2312" w:hAnsi="仿宋_GB2312" w:cs="仿宋_GB2312" w:eastAsia="仿宋_GB2312"/>
              </w:rPr>
              <w:t>根据供应商对采购需求服务要求和商务要求及其他商务要求的响应情况进行打分，服务要求和商务要求及其他要求能完全满足的得满分10分,有一项不满足的扣0.5分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492"/>
          </w:tcPr>
          <w:p>
            <w:pPr>
              <w:pStyle w:val="null3"/>
              <w:jc w:val="left"/>
            </w:pPr>
            <w:r>
              <w:rPr>
                <w:rFonts w:ascii="仿宋_GB2312" w:hAnsi="仿宋_GB2312" w:cs="仿宋_GB2312" w:eastAsia="仿宋_GB2312"/>
              </w:rPr>
              <w:t>供应商具有有效期内的人力资源服务许可证的得5分，本项最高得5分。 证明材料：提供相关证书复印件并加盖公章，不提供不得分。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供应商投入本项目实施项目团队人员中具有企业人力资源管理师职业证（三级/高级及以上）或人力资源管理师职称证（中级及以上）得 5 分，本项最高得 5分。 证明材料:提供相关证书复印件加盖公章及2025年1月以来投标单位为其缴纳的连续3个月的社保证明复印件加盖公章，不提供不得分。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2022年1月1日至今（以签订时间为准），供应商具有劳务派遣类项目业绩，每提供一份合同得2分，本项最高得20分； 证明材料：提供业绩合同复印件加盖公章，未提供相应证明材料不得分。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项目业绩表</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HNKN2025-203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2025-2026年购买城乡管理服务事项</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2025-2026年购买城乡管理服务事项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3126173.58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详见附件：技术方案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