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新坡镇、龙泉镇泵站及防洪堤管护项目(二次)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[HNQQNY]20250400005[GK]-1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海口市龙华区水务局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海南青气南员项目管理有限公司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海口市龙华区水务局</w:t>
      </w:r>
      <w:r>
        <w:rPr>
          <w:rFonts w:ascii="仿宋_GB2312" w:hAnsi="仿宋_GB2312" w:cs="仿宋_GB2312" w:eastAsia="仿宋_GB2312"/>
        </w:rPr>
        <w:t xml:space="preserve"> 委托， </w:t>
      </w:r>
      <w:r>
        <w:rPr>
          <w:rFonts w:ascii="仿宋_GB2312" w:hAnsi="仿宋_GB2312" w:cs="仿宋_GB2312" w:eastAsia="仿宋_GB2312"/>
        </w:rPr>
        <w:t>海南青气南员项目管理有限公司</w:t>
      </w:r>
      <w:r>
        <w:rPr>
          <w:rFonts w:ascii="仿宋_GB2312" w:hAnsi="仿宋_GB2312" w:cs="仿宋_GB2312" w:eastAsia="仿宋_GB2312"/>
        </w:rPr>
        <w:t xml:space="preserve"> 对 </w:t>
      </w:r>
      <w:r>
        <w:rPr>
          <w:rFonts w:ascii="仿宋_GB2312" w:hAnsi="仿宋_GB2312" w:cs="仿宋_GB2312" w:eastAsia="仿宋_GB2312"/>
        </w:rPr>
        <w:t>新坡镇、龙泉镇泵站及防洪堤管护项目(二次)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[HNQQNY]20250400005[GK]-1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新坡镇、龙泉镇泵站及防洪堤管护项目(二次)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381,977.20元</w:t>
      </w:r>
      <w:r>
        <w:rPr>
          <w:rFonts w:ascii="仿宋_GB2312" w:hAnsi="仿宋_GB2312" w:cs="仿宋_GB2312" w:eastAsia="仿宋_GB2312"/>
        </w:rPr>
        <w:t>叁拾捌万壹仟玖佰柒拾柒元贰角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合同签订之日起一年（具体以实际签订合同为准）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1、资质要求：供应商须具备主管部门核发的机电工程施工总承包三级（含以上）资质</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海口市龙华区水务局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海口市龙昆北路19号龙华区人民政府1号办公楼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0898-66569020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海南青气南员项目管理有限公司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海南省海口市龙华区国贸大道45号银通国际中心大厦第二十九层东北区2093号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0898-68576574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采购包1：381,977.20元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代理服务费收费标准：根据《招标代理服务收费管理暂行办法》(计价格[2002]1980号)、《海南省物价局关于降低部分招标代理服务收费标准的通知》(琼价费管【2011】225号)规定的差额定律累进法计算下浮7%向采购人收取招标代理服务费B包:5300.00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采购包1：分包比例30%，分包履行的内容：非主体工程允许分包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1、未自备备份投标文件供应商可参加政府采购活动，但需行承担投因未自备备份文件而引起不利的后果。 2、供应商逾期上传的或未按指定方式上传的投标文件，供应商将无法参加后续采购活动。 3、投标人在递交投标文件截止时间前可修改或撤回其上传的投标文件。修改后的投标文件应重新加密后提交，提交时间以采购文件规定的投标截止时间一致。 4、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如无法确定的，由评标委员会确定。 5、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如无法确定的，由评标委员会确定。 6、※若出现本章第6.2条第6.2.3、6.2.4、6.2.5款规定情形之一，投标人在开标结束前未向采购人或代理机构提出疑义、要求，或对开标记录未签字确认的，视为认可开标结果；如在开标会后就开标过程和开标记录涉及或可能涉及的有关事由（包括但不限于：“投标报价”、“电子投标文件的格式”、“电子投标文件的提交”、“电子投标文件的补充、修改或撤回”等）提出疑义、要求或提出质疑的，将不予支持。</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联系电话：0898-68576574</w:t>
      </w:r>
    </w:p>
    <w:p>
      <w:pPr>
        <w:pStyle w:val="null3"/>
        <w:jc w:val="left"/>
      </w:pPr>
      <w:r>
        <w:rPr>
          <w:rFonts w:ascii="仿宋_GB2312" w:hAnsi="仿宋_GB2312" w:cs="仿宋_GB2312" w:eastAsia="仿宋_GB2312"/>
        </w:rPr>
        <w:t>地址：海南省海口市龙华区国贸大道45号银通国际中心大厦第二十九层东北区2093号</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泵站维修主要工作内容为泵站电气设备和机械设备的故障维修工作（此部分维修单位须具备机电工程相关资质）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381,977.20</w:t>
      </w:r>
    </w:p>
    <w:p>
      <w:pPr>
        <w:pStyle w:val="null3"/>
        <w:jc w:val="left"/>
      </w:pPr>
      <w:r>
        <w:rPr>
          <w:rFonts w:ascii="仿宋_GB2312" w:hAnsi="仿宋_GB2312" w:cs="仿宋_GB2312" w:eastAsia="仿宋_GB2312"/>
        </w:rPr>
        <w:t>采购包最高限价（元）: 381,977.20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C12010000-泵站维修服务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381,977.20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C12010000-泵站维修服务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381,977.20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标的名称：C12010000-泵站维修服务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泵站维修主要工作内容为泵站电气设备和机械设备的故障维修工作</w:t>
            </w:r>
            <w:r>
              <w:rPr>
                <w:rFonts w:ascii="仿宋_GB2312" w:hAnsi="仿宋_GB2312" w:cs="仿宋_GB2312" w:eastAsia="仿宋_GB2312"/>
                <w:sz w:val="21"/>
              </w:rPr>
              <w:t>（具体工作内容以实际签订合同为准）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供应商须具备主管部门核发的机电工程施工总承包三级（含以上）资质</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设备维修方案</w:t>
            </w:r>
          </w:p>
        </w:tc>
        <w:tc>
          <w:tcPr>
            <w:tcW w:type="dxa" w:w="2492"/>
          </w:tcPr>
          <w:p>
            <w:pPr>
              <w:pStyle w:val="null3"/>
              <w:jc w:val="both"/>
            </w:pPr>
            <w:r>
              <w:rPr>
                <w:rFonts w:ascii="仿宋_GB2312" w:hAnsi="仿宋_GB2312" w:cs="仿宋_GB2312" w:eastAsia="仿宋_GB2312"/>
              </w:rPr>
              <w:t>有关确保技术组织措施方面：重点评审确保工程质量的技术组织措施是否得当、可靠，以及如何实现设备维修质量目标：1）措施方案完整，思路清晰，实际可行性好，内容齐全合理，针对性强得 12分；2）措施方案较完整，思路较清晰，实际可行性较好，内容较齐全合理，针对性较强得9分；3）措施方案不够完整，思路不够清晰，实际可行性不够好，内容不齐全或有偏差，针对性不强得6分；4）措施方案不完整，思路不清晰，实际可行性差，内容不合理，针对差得 3分；5）没有措施方案不得分。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设备维修管理制度</w:t>
            </w:r>
          </w:p>
        </w:tc>
        <w:tc>
          <w:tcPr>
            <w:tcW w:type="dxa" w:w="2492"/>
          </w:tcPr>
          <w:p>
            <w:pPr>
              <w:pStyle w:val="null3"/>
              <w:jc w:val="both"/>
            </w:pPr>
            <w:r>
              <w:rPr>
                <w:rFonts w:ascii="仿宋_GB2312" w:hAnsi="仿宋_GB2312" w:cs="仿宋_GB2312" w:eastAsia="仿宋_GB2312"/>
              </w:rPr>
              <w:t>重点评审维修前、维修中与维修后噪音、固体、液体与气体污染控制、周边建筑构筑物与其它物品的保护措施等：1）措施方案完整，思路清晰，实际可行性好，内容齐全合理，针对性强得12分；2）措施方案较完整，思路较清晰，实际可行性较好，内容较齐全合理，针对性较强得9分；3）措施方案不够完整，思路不够清晰，实际可行性不够好，内容不齐全或有偏差，针对性不强得6分；4）措施方案不完整，思路不清晰，实际可行性差，内容不合理，针对差得3分；5）没有措施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根据各供应商针对本项目拟定的售后服务方案进行评分，方案内容包括但不限于：1)工程售后人员配置、2)工程售后服务承诺、3)工程售后保修期、4)工程应急处理方式 4 项，每缺少1项扣2分，方案完善且完全符合本项目要求得8分。 以上4项内容，每项内容的适用性强、可行性强、内容完整，组织工作的条理性清晰，人员职责分工明确，得2分；每项内容的适用性一般、可行性一般、内容完整，工作组织有条理，有人员职责分工，得1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维修人员配备方案</w:t>
            </w:r>
          </w:p>
        </w:tc>
        <w:tc>
          <w:tcPr>
            <w:tcW w:type="dxa" w:w="2492"/>
          </w:tcPr>
          <w:p>
            <w:pPr>
              <w:pStyle w:val="null3"/>
              <w:jc w:val="both"/>
            </w:pPr>
            <w:r>
              <w:rPr>
                <w:rFonts w:ascii="仿宋_GB2312" w:hAnsi="仿宋_GB2312" w:cs="仿宋_GB2312" w:eastAsia="仿宋_GB2312"/>
              </w:rPr>
              <w:t>有关维修人员配备方案方面：重点评审根据维修项目类别提供的人员配备方案的科学性、合理性：1）方案完整，思路清晰，实际可行性好，内容齐全合理，针对性强得12分；2）方案较完整，思路较清晰，实际可行性较好，内容较齐全合理，针对性较强得9分；3）方案不够完整，思路不够清晰，实际可行性不够好，内容不齐全或有偏差，针对性不强得6分；4）方案不完整，思路不清晰，实际可行性差，内容不合理，针对差得3分；5）没有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应急保障管理方面：针对电气设备和机械设备的故障维修重、难点问题提出相应的对策，针对本项目重大或突发事件可能需要的维修服务提出应急保障的措施；由评委根据对策、措施的科学性、可行性程度评出：1）方案完整，思路清晰，实际可行性好，内容齐全合理，针对性强得8分；2）方案较完整，思路较清晰，实际可行性较好，内容较齐全合理，针对性较强得 6分；3）方案不够完整，思路不够清晰，实际可行性不够好，内容不齐全或有偏差，针对性不强得 4分；4）方案不完整，思路不清晰，实际可行性差，内容不合理，针对差得2分；5）没有方案不得分。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2022年至今投标人具有电气或机械设备维修案例的，每个项目得10分，最高得分20分。(投标人需提供项目合同或中标通知书复印件加盖公章。)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投标人具备机电工程类相关中级工程师（含以上）职称，提供一个得10分。不提供职称的，不得分，本项最多得10分。(提供证书复印件及人员2025年1月至今1个月（含）以上社保证明加盖公章。)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[HNQQNY]20250400005[GK]-1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新坡镇、龙泉镇泵站及防洪堤管护项目(二次)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泵站维修服务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C12010000-泵站维修服务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381977.2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