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2025-2027年（两年度）龙华区区管排水设施管养项目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HLGC20250054</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海口市龙华区水务局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海南华略项目管理有限公司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海口市龙华区水务局</w:t>
      </w:r>
      <w:r>
        <w:rPr>
          <w:rFonts w:ascii="仿宋_GB2312" w:hAnsi="仿宋_GB2312" w:cs="仿宋_GB2312" w:eastAsia="仿宋_GB2312"/>
        </w:rPr>
        <w:t xml:space="preserve"> 委托， </w:t>
      </w:r>
      <w:r>
        <w:rPr>
          <w:rFonts w:ascii="仿宋_GB2312" w:hAnsi="仿宋_GB2312" w:cs="仿宋_GB2312" w:eastAsia="仿宋_GB2312"/>
        </w:rPr>
        <w:t>海南华略项目管理有限公司</w:t>
      </w:r>
      <w:r>
        <w:rPr>
          <w:rFonts w:ascii="仿宋_GB2312" w:hAnsi="仿宋_GB2312" w:cs="仿宋_GB2312" w:eastAsia="仿宋_GB2312"/>
        </w:rPr>
        <w:t xml:space="preserve"> 对 </w:t>
      </w:r>
      <w:r>
        <w:rPr>
          <w:rFonts w:ascii="仿宋_GB2312" w:hAnsi="仿宋_GB2312" w:cs="仿宋_GB2312" w:eastAsia="仿宋_GB2312"/>
        </w:rPr>
        <w:t>2025-2027年（两年度）龙华区区管排水设施管养项目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HLGC20250054</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2025-2027年（两年度）龙华区区管排水设施管养项目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15,776,200.00元</w:t>
      </w:r>
      <w:r>
        <w:rPr>
          <w:rFonts w:ascii="仿宋_GB2312" w:hAnsi="仿宋_GB2312" w:cs="仿宋_GB2312" w:eastAsia="仿宋_GB2312"/>
        </w:rPr>
        <w:t>壹仟伍佰柒拾柒万陆仟贰佰元整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自合同签订之日起2年</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自合同签订之日起2年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企业资质：具有建设行政主管部门颁发的有效的市政公用工程施工总承包叁级（含）以上资质或根据《住房和城乡建设部关于印发建设工程企业资质管理制度改革方案的通知（【建市〔2020〕94号】）换发的市政公用工程施工总承包乙级（含）以上资质，具有有效的安全生产许可证，并在人员、设备、资金等方面具有相应的施工能力；</w:t>
      </w:r>
    </w:p>
    <w:p>
      <w:pPr>
        <w:pStyle w:val="null3"/>
        <w:jc w:val="left"/>
      </w:pPr>
      <w:r>
        <w:rPr>
          <w:rFonts w:ascii="仿宋_GB2312" w:hAnsi="仿宋_GB2312" w:cs="仿宋_GB2312" w:eastAsia="仿宋_GB2312"/>
        </w:rPr>
        <w:t>2、项目负责人（项目经理）资质：拟派项目负责人（项目经理）需具有在本单位注册的市政工程专业二级或以上注册建造师执业资格，并未担任其他在施建设工程项目的项目负责人；</w:t>
      </w:r>
    </w:p>
    <w:p>
      <w:pPr>
        <w:pStyle w:val="null3"/>
        <w:jc w:val="left"/>
      </w:pPr>
      <w:r>
        <w:rPr>
          <w:rFonts w:ascii="仿宋_GB2312" w:hAnsi="仿宋_GB2312" w:cs="仿宋_GB2312" w:eastAsia="仿宋_GB2312"/>
        </w:rPr>
        <w:t>3、《海南省建筑企业诚信档案手册》：投标人应在海南省住房和城乡建设厅海南省房屋建筑工程全过程监管信息平台完成《海南省建筑企业诚信档案手册》登记，并打印信息平台生成的诚信档案手册。</w:t>
      </w:r>
    </w:p>
    <w:p>
      <w:pPr>
        <w:pStyle w:val="null3"/>
        <w:jc w:val="left"/>
      </w:pPr>
      <w:r>
        <w:rPr>
          <w:rFonts w:ascii="仿宋_GB2312" w:hAnsi="仿宋_GB2312" w:cs="仿宋_GB2312" w:eastAsia="仿宋_GB2312"/>
        </w:rPr>
        <w:t>4、其他（1）：为采购项目提供整体设计、造价、审核结算或者项目管理、监理等服务的供应商，不得再参加该项目（提供声明函加盖公章）</w:t>
      </w:r>
    </w:p>
    <w:p>
      <w:pPr>
        <w:pStyle w:val="null3"/>
        <w:jc w:val="left"/>
      </w:pPr>
      <w:r>
        <w:rPr>
          <w:rFonts w:ascii="仿宋_GB2312" w:hAnsi="仿宋_GB2312" w:cs="仿宋_GB2312" w:eastAsia="仿宋_GB2312"/>
        </w:rPr>
        <w:t>5、其他（2）：单位负责人为同一人或者存在直接控股、管理关系的不同投标人，不得参加同一合同项下的政府采购活动（投标人提供书面声明，格式自拟）</w:t>
      </w:r>
    </w:p>
    <w:p>
      <w:pPr>
        <w:pStyle w:val="null3"/>
        <w:jc w:val="left"/>
      </w:pPr>
      <w:r>
        <w:rPr>
          <w:rFonts w:ascii="仿宋_GB2312" w:hAnsi="仿宋_GB2312" w:cs="仿宋_GB2312" w:eastAsia="仿宋_GB2312"/>
        </w:rPr>
        <w:t>6、其他（3）：各投标人均可就本招标项目上述标段中的2个标包投标，但最多允许中标1个标包</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企业资质：具有建设行政主管部门颁发的有效的市政公用工程施工总承包叁级（含）以上资质或根据《住房和城乡建设部关于印发建设工程企业资质管理制度改革方案的通知（【建市〔2020〕94号】）换发的市政公用工程施工总承包乙级（含）以上资质，具有有效的安全生产许可证，并在人员、设备、资金等方面具有相应的施工能力；</w:t>
      </w:r>
    </w:p>
    <w:p>
      <w:pPr>
        <w:pStyle w:val="null3"/>
        <w:jc w:val="left"/>
      </w:pPr>
      <w:r>
        <w:rPr>
          <w:rFonts w:ascii="仿宋_GB2312" w:hAnsi="仿宋_GB2312" w:cs="仿宋_GB2312" w:eastAsia="仿宋_GB2312"/>
        </w:rPr>
        <w:t>2、项目负责人（项目经理）资质：拟派项目负责人（项目经理）需具有在本单位注册的市政工程专业二级或以上注册建造师执业资格，并未担任其他在施建设工程项目的项目负责人；</w:t>
      </w:r>
    </w:p>
    <w:p>
      <w:pPr>
        <w:pStyle w:val="null3"/>
        <w:jc w:val="left"/>
      </w:pPr>
      <w:r>
        <w:rPr>
          <w:rFonts w:ascii="仿宋_GB2312" w:hAnsi="仿宋_GB2312" w:cs="仿宋_GB2312" w:eastAsia="仿宋_GB2312"/>
        </w:rPr>
        <w:t>3、《海南省建筑企业诚信档案手册》：投标人应在海南省住房和城乡建设厅海南省房屋建筑工程全过程监管信息平台完成《海南省建筑企业诚信档案手册》登记，并打印信息平台生成的诚信档案手册。</w:t>
      </w:r>
    </w:p>
    <w:p>
      <w:pPr>
        <w:pStyle w:val="null3"/>
        <w:jc w:val="left"/>
      </w:pPr>
      <w:r>
        <w:rPr>
          <w:rFonts w:ascii="仿宋_GB2312" w:hAnsi="仿宋_GB2312" w:cs="仿宋_GB2312" w:eastAsia="仿宋_GB2312"/>
        </w:rPr>
        <w:t>4、其他（1）：为采购项目提供整体设计、造价、审核结算或者项目管理、监理等服务的供应商，不得再参加该项目（提供声明函加盖公章）</w:t>
      </w:r>
    </w:p>
    <w:p>
      <w:pPr>
        <w:pStyle w:val="null3"/>
        <w:jc w:val="left"/>
      </w:pPr>
      <w:r>
        <w:rPr>
          <w:rFonts w:ascii="仿宋_GB2312" w:hAnsi="仿宋_GB2312" w:cs="仿宋_GB2312" w:eastAsia="仿宋_GB2312"/>
        </w:rPr>
        <w:t>5、其他（2）：单位负责人为同一人或者存在直接控股、管理关系的不同投标人，不得参加同一合同项下的政府采购活动（投标人提供书面声明，格式自拟）</w:t>
      </w:r>
    </w:p>
    <w:p>
      <w:pPr>
        <w:pStyle w:val="null3"/>
        <w:jc w:val="left"/>
      </w:pPr>
      <w:r>
        <w:rPr>
          <w:rFonts w:ascii="仿宋_GB2312" w:hAnsi="仿宋_GB2312" w:cs="仿宋_GB2312" w:eastAsia="仿宋_GB2312"/>
        </w:rPr>
        <w:t>6、其他（3）：各投标人均可就本招标项目上述标段中的2个标包投标，但最多允许中标1个标包</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海口市龙华区水务局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海口市龙昆北路19号龙华区人民政府1号办公楼012室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吴英宝</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13976644168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海南华略项目管理有限公司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琼山大道美灵南五路迈雅村160号院</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史艳鹏</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15501978909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采购包1：7,926,200.00元</w:t>
            </w:r>
          </w:p>
          <w:p>
            <w:pPr>
              <w:pStyle w:val="null3"/>
              <w:jc w:val="left"/>
            </w:pPr>
            <w:r>
              <w:rPr>
                <w:rFonts w:ascii="仿宋_GB2312" w:hAnsi="仿宋_GB2312" w:cs="仿宋_GB2312" w:eastAsia="仿宋_GB2312"/>
              </w:rPr>
              <w:t>采购包2：7,850,000.00元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自提交投标文件截止日起60天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代理服务费收费标准：由采购人按照委托代理协议的约定进行支付。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投标人可就本项目的2个包进行投标，但只允许中标一个包。若出现同一投标人在不同的标包中均排名第一的情况，则由其自主选择其中的一个标包成交，剩余标包的成交权转至下一排名的投标人。</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联系人：史艳鹏</w:t>
      </w:r>
    </w:p>
    <w:p>
      <w:pPr>
        <w:pStyle w:val="null3"/>
        <w:jc w:val="left"/>
      </w:pPr>
      <w:r>
        <w:rPr>
          <w:rFonts w:ascii="仿宋_GB2312" w:hAnsi="仿宋_GB2312" w:cs="仿宋_GB2312" w:eastAsia="仿宋_GB2312"/>
        </w:rPr>
        <w:t>联系电话：0898-65656121</w:t>
      </w:r>
    </w:p>
    <w:p>
      <w:pPr>
        <w:pStyle w:val="null3"/>
        <w:jc w:val="left"/>
      </w:pPr>
      <w:r>
        <w:rPr>
          <w:rFonts w:ascii="仿宋_GB2312" w:hAnsi="仿宋_GB2312" w:cs="仿宋_GB2312" w:eastAsia="仿宋_GB2312"/>
        </w:rPr>
        <w:t>地址：海南省海口市美兰区琼山大道美灵南五路迈雅村160号院</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u w:val="single"/>
        </w:rPr>
        <w:t>1</w:t>
      </w:r>
      <w:r>
        <w:rPr>
          <w:rFonts w:ascii="仿宋_GB2312" w:hAnsi="仿宋_GB2312" w:cs="仿宋_GB2312" w:eastAsia="仿宋_GB2312"/>
          <w:sz w:val="24"/>
          <w:u w:val="single"/>
        </w:rPr>
        <w:t>、项目名称：2025-2027年（两年度）龙华区区管排水设施管养项目</w:t>
      </w:r>
    </w:p>
    <w:p>
      <w:pPr>
        <w:pStyle w:val="null3"/>
        <w:ind w:firstLine="480"/>
        <w:jc w:val="left"/>
      </w:pPr>
      <w:r>
        <w:rPr>
          <w:rFonts w:ascii="仿宋_GB2312" w:hAnsi="仿宋_GB2312" w:cs="仿宋_GB2312" w:eastAsia="仿宋_GB2312"/>
          <w:sz w:val="24"/>
          <w:u w:val="single"/>
        </w:rPr>
        <w:t>2</w:t>
      </w:r>
      <w:r>
        <w:rPr>
          <w:rFonts w:ascii="仿宋_GB2312" w:hAnsi="仿宋_GB2312" w:cs="仿宋_GB2312" w:eastAsia="仿宋_GB2312"/>
          <w:sz w:val="24"/>
          <w:u w:val="single"/>
        </w:rPr>
        <w:t>、建设单位：海口市龙华区水务局</w:t>
      </w:r>
    </w:p>
    <w:p>
      <w:pPr>
        <w:pStyle w:val="null3"/>
        <w:ind w:firstLine="480"/>
        <w:jc w:val="left"/>
      </w:pPr>
      <w:r>
        <w:rPr>
          <w:rFonts w:ascii="仿宋_GB2312" w:hAnsi="仿宋_GB2312" w:cs="仿宋_GB2312" w:eastAsia="仿宋_GB2312"/>
          <w:sz w:val="24"/>
          <w:u w:val="single"/>
        </w:rPr>
        <w:t>3</w:t>
      </w:r>
      <w:r>
        <w:rPr>
          <w:rFonts w:ascii="仿宋_GB2312" w:hAnsi="仿宋_GB2312" w:cs="仿宋_GB2312" w:eastAsia="仿宋_GB2312"/>
          <w:sz w:val="24"/>
          <w:u w:val="single"/>
        </w:rPr>
        <w:t>、建设地点：海南省海口市龙华区</w:t>
      </w:r>
    </w:p>
    <w:p>
      <w:pPr>
        <w:pStyle w:val="null3"/>
        <w:ind w:firstLine="480"/>
        <w:jc w:val="left"/>
      </w:pPr>
      <w:r>
        <w:rPr>
          <w:rFonts w:ascii="仿宋_GB2312" w:hAnsi="仿宋_GB2312" w:cs="仿宋_GB2312" w:eastAsia="仿宋_GB2312"/>
          <w:sz w:val="24"/>
          <w:u w:val="single"/>
        </w:rPr>
        <w:t>4</w:t>
      </w:r>
      <w:r>
        <w:rPr>
          <w:rFonts w:ascii="仿宋_GB2312" w:hAnsi="仿宋_GB2312" w:cs="仿宋_GB2312" w:eastAsia="仿宋_GB2312"/>
          <w:sz w:val="24"/>
          <w:u w:val="single"/>
        </w:rPr>
        <w:t>、工程概况：2025-2027年（两年度）辖区内区管400000m排水管道清淤、冲洗及维修工作；10871套污水井盖，11311套雨水箅子井盖更换以及泵站等区管市政排水设施管养工作。</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7,926,200.00</w:t>
      </w:r>
    </w:p>
    <w:p>
      <w:pPr>
        <w:pStyle w:val="null3"/>
        <w:jc w:val="left"/>
      </w:pPr>
      <w:r>
        <w:rPr>
          <w:rFonts w:ascii="仿宋_GB2312" w:hAnsi="仿宋_GB2312" w:cs="仿宋_GB2312" w:eastAsia="仿宋_GB2312"/>
        </w:rPr>
        <w:t>采购包最高限价（元）: 7,926,200.00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C12990000-其他水利管理服务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7,926,200.00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7,850,000.00</w:t>
      </w:r>
    </w:p>
    <w:p>
      <w:pPr>
        <w:pStyle w:val="null3"/>
        <w:jc w:val="left"/>
      </w:pPr>
      <w:r>
        <w:rPr>
          <w:rFonts w:ascii="仿宋_GB2312" w:hAnsi="仿宋_GB2312" w:cs="仿宋_GB2312" w:eastAsia="仿宋_GB2312"/>
        </w:rPr>
        <w:t>采购包最高限价（元）: 7,850,000.00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C12990000-其他水利管理服务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C12990000-其他水利管理服务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7,926,200.00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投标报价包括了人工、材料、、税费、维保、劳保、福利等完成该项目全部内容的一切费用</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C12990000-其他水利管理服务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7,850,000.00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投标报价包括了人工、材料、、税费、维保、劳保、福利等完成该项目全部内容的一切费用</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标的名称：C12990000-其他水利管理服务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rPr>
              <w:t>（1）技术要求</w:t>
            </w:r>
          </w:p>
          <w:p>
            <w:pPr>
              <w:pStyle w:val="null3"/>
              <w:ind w:firstLine="480"/>
              <w:jc w:val="left"/>
            </w:pPr>
            <w:r>
              <w:rPr>
                <w:rFonts w:ascii="仿宋_GB2312" w:hAnsi="仿宋_GB2312" w:cs="仿宋_GB2312" w:eastAsia="仿宋_GB2312"/>
                <w:sz w:val="24"/>
                <w:u w:val="single"/>
              </w:rPr>
              <w:t>1.</w:t>
            </w:r>
            <w:r>
              <w:rPr>
                <w:rFonts w:ascii="仿宋_GB2312" w:hAnsi="仿宋_GB2312" w:cs="仿宋_GB2312" w:eastAsia="仿宋_GB2312"/>
                <w:sz w:val="24"/>
                <w:u w:val="single"/>
              </w:rPr>
              <w:t>工作任务：负责大同、中山、滨海、金贸街道区管市政道路宽度红线20米以内排水管沟及泵站等相关附属设施维护管养，以及结合工作需要开展以上设施的日常巡查、应急抢修工作。具体工作任务如下：</w:t>
            </w:r>
          </w:p>
          <w:tbl>
            <w:tblPr>
              <w:tblBorders>
                <w:top w:val="none" w:color="000000" w:sz="4"/>
                <w:left w:val="none" w:color="000000" w:sz="4"/>
                <w:bottom w:val="none" w:color="000000" w:sz="4"/>
                <w:right w:val="none" w:color="000000" w:sz="4"/>
                <w:insideH w:val="none"/>
                <w:insideV w:val="none"/>
              </w:tblBorders>
            </w:tblPr>
            <w:tblGrid>
              <w:gridCol w:w="205"/>
              <w:gridCol w:w="467"/>
              <w:gridCol w:w="357"/>
              <w:gridCol w:w="361"/>
              <w:gridCol w:w="539"/>
              <w:gridCol w:w="289"/>
              <w:gridCol w:w="334"/>
            </w:tblGrid>
            <w:tr>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46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名称</w:t>
                  </w:r>
                </w:p>
              </w:tc>
              <w:tc>
                <w:tcPr>
                  <w:tcW w:type="dxa" w:w="35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数量/单位</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规格</w:t>
                  </w:r>
                </w:p>
              </w:tc>
              <w:tc>
                <w:tcPr>
                  <w:tcW w:type="dxa" w:w="53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清理率/维修率</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实际量</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排水管道清理</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200000m</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50000m</w:t>
                  </w:r>
                </w:p>
              </w:tc>
              <w:tc>
                <w:tcPr>
                  <w:tcW w:type="dxa" w:w="3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具体工作任务以实际发生量为准（注：如有设施增减要包干）</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排水管道维修</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200000m</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2000m</w:t>
                  </w:r>
                </w:p>
              </w:tc>
              <w:tc>
                <w:tcPr>
                  <w:tcW w:type="dxa" w:w="334"/>
                  <w:vMerge/>
                  <w:tcBorders>
                    <w:top w:val="none" w:color="000000" w:sz="4"/>
                    <w:left w:val="none" w:color="000000" w:sz="4"/>
                    <w:bottom w:val="singl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排水铸铁承重污水井盖维修</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5300</w:t>
                  </w:r>
                  <w:r>
                    <w:rPr>
                      <w:rFonts w:ascii="仿宋_GB2312" w:hAnsi="仿宋_GB2312" w:cs="仿宋_GB2312" w:eastAsia="仿宋_GB2312"/>
                      <w:sz w:val="21"/>
                    </w:rPr>
                    <w:t>套</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700*800</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106</w:t>
                  </w:r>
                </w:p>
              </w:tc>
              <w:tc>
                <w:tcPr>
                  <w:tcW w:type="dxa" w:w="334"/>
                  <w:vMerge/>
                  <w:tcBorders>
                    <w:top w:val="none" w:color="000000" w:sz="4"/>
                    <w:left w:val="none" w:color="000000" w:sz="4"/>
                    <w:bottom w:val="singl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排水铸铁承重</w:t>
                  </w:r>
                </w:p>
                <w:p>
                  <w:pPr>
                    <w:pStyle w:val="null3"/>
                    <w:jc w:val="center"/>
                  </w:pPr>
                  <w:r>
                    <w:rPr>
                      <w:rFonts w:ascii="仿宋_GB2312" w:hAnsi="仿宋_GB2312" w:cs="仿宋_GB2312" w:eastAsia="仿宋_GB2312"/>
                      <w:sz w:val="21"/>
                    </w:rPr>
                    <w:t>雨水井盖维修</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5450</w:t>
                  </w:r>
                  <w:r>
                    <w:rPr>
                      <w:rFonts w:ascii="仿宋_GB2312" w:hAnsi="仿宋_GB2312" w:cs="仿宋_GB2312" w:eastAsia="仿宋_GB2312"/>
                      <w:sz w:val="21"/>
                    </w:rPr>
                    <w:t>套</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400*700</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109</w:t>
                  </w:r>
                </w:p>
              </w:tc>
              <w:tc>
                <w:tcPr>
                  <w:tcW w:type="dxa" w:w="334"/>
                  <w:vMerge/>
                  <w:tcBorders>
                    <w:top w:val="none" w:color="000000" w:sz="4"/>
                    <w:left w:val="none" w:color="000000" w:sz="4"/>
                    <w:bottom w:val="singl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日常泵站管养</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334"/>
                  <w:vMerge/>
                  <w:tcBorders>
                    <w:top w:val="none" w:color="000000" w:sz="4"/>
                    <w:left w:val="none" w:color="000000" w:sz="4"/>
                    <w:bottom w:val="single" w:color="000000" w:sz="4"/>
                    <w:right w:val="single" w:color="000000" w:sz="4"/>
                  </w:tcBorders>
                </w:tcPr>
                <w:p/>
              </w:tc>
            </w:tr>
          </w:tbl>
          <w:p>
            <w:pPr>
              <w:pStyle w:val="null3"/>
              <w:spacing w:before="120"/>
              <w:ind w:firstLine="480"/>
              <w:jc w:val="left"/>
            </w:pPr>
            <w:r>
              <w:rPr>
                <w:rFonts w:ascii="仿宋_GB2312" w:hAnsi="仿宋_GB2312" w:cs="仿宋_GB2312" w:eastAsia="仿宋_GB2312"/>
                <w:sz w:val="24"/>
              </w:rPr>
              <w:t>2.</w:t>
            </w:r>
            <w:r>
              <w:rPr>
                <w:rFonts w:ascii="仿宋_GB2312" w:hAnsi="仿宋_GB2312" w:cs="仿宋_GB2312" w:eastAsia="仿宋_GB2312"/>
                <w:sz w:val="24"/>
              </w:rPr>
              <w:t>服务要求</w:t>
            </w:r>
          </w:p>
          <w:p>
            <w:pPr>
              <w:pStyle w:val="null3"/>
              <w:ind w:firstLine="480"/>
              <w:jc w:val="left"/>
            </w:pPr>
            <w:r>
              <w:rPr>
                <w:rFonts w:ascii="仿宋_GB2312" w:hAnsi="仿宋_GB2312" w:cs="仿宋_GB2312" w:eastAsia="仿宋_GB2312"/>
                <w:sz w:val="24"/>
                <w:u w:val="single"/>
              </w:rPr>
              <w:t>（1）投标人须有固定的服务团队，以应对突发状况，保障服务的及时性。</w:t>
            </w:r>
          </w:p>
          <w:p>
            <w:pPr>
              <w:pStyle w:val="null3"/>
              <w:ind w:firstLine="480"/>
              <w:jc w:val="left"/>
            </w:pPr>
            <w:r>
              <w:rPr>
                <w:rFonts w:ascii="仿宋_GB2312" w:hAnsi="仿宋_GB2312" w:cs="仿宋_GB2312" w:eastAsia="仿宋_GB2312"/>
                <w:sz w:val="24"/>
                <w:u w:val="single"/>
              </w:rPr>
              <w:t>（2）中标人接到通知后在规定的时限内到达抢修现场（0.5小时内,含节假日），并主动向采购人报告后采取有效措施进行处理。</w:t>
            </w:r>
          </w:p>
          <w:p>
            <w:pPr>
              <w:pStyle w:val="null3"/>
              <w:ind w:firstLine="480"/>
              <w:jc w:val="left"/>
            </w:pPr>
            <w:r>
              <w:rPr>
                <w:rFonts w:ascii="仿宋_GB2312" w:hAnsi="仿宋_GB2312" w:cs="仿宋_GB2312" w:eastAsia="仿宋_GB2312"/>
                <w:sz w:val="24"/>
                <w:u w:val="single"/>
              </w:rPr>
              <w:t>（3）中标施工单位需具备与本项目具体业务相关的设备机械，应具备抢修作业车辆以及排水泵车、路面铣刨机、压路机等相应维修车辆和机械设备。（提供承诺函加盖公章，格式自拟，不提供承诺函视为无效投标）</w:t>
            </w:r>
          </w:p>
          <w:p>
            <w:pPr>
              <w:pStyle w:val="null3"/>
              <w:ind w:firstLine="480"/>
              <w:jc w:val="left"/>
            </w:pPr>
            <w:r>
              <w:rPr>
                <w:rFonts w:ascii="仿宋_GB2312" w:hAnsi="仿宋_GB2312" w:cs="仿宋_GB2312" w:eastAsia="仿宋_GB2312"/>
                <w:sz w:val="24"/>
                <w:u w:val="single"/>
              </w:rPr>
              <w:t>（4）验收标准参考《城镇道路工程施工与质量验收规范》、《城镇道路养护技术规范》、《城镇排水管渠与泵站运行、维护及安全技术规程》、《给水排水管道工程施工及验收规范》等国家行业标准进行验收。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标的名称：C12990000-其他水利管理服务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rPr>
              <w:t>（1）技术要求</w:t>
            </w:r>
          </w:p>
          <w:p>
            <w:pPr>
              <w:pStyle w:val="null3"/>
              <w:ind w:firstLine="480"/>
              <w:jc w:val="left"/>
            </w:pPr>
            <w:r>
              <w:rPr>
                <w:rFonts w:ascii="仿宋_GB2312" w:hAnsi="仿宋_GB2312" w:cs="仿宋_GB2312" w:eastAsia="仿宋_GB2312"/>
                <w:sz w:val="24"/>
                <w:u w:val="single"/>
              </w:rPr>
              <w:t>负责城西镇、金宇、海垦街道、羊山大道片区，及综保区。区管市政道路宽度红线20米以内排水管沟及泵站等相关附属设施维护管养，以及结合工作需要开展以上设施的日常巡查、应急抢修工作。</w:t>
            </w:r>
          </w:p>
          <w:tbl>
            <w:tblPr>
              <w:tblBorders>
                <w:top w:val="none" w:color="000000" w:sz="4"/>
                <w:left w:val="none" w:color="000000" w:sz="4"/>
                <w:bottom w:val="none" w:color="000000" w:sz="4"/>
                <w:right w:val="none" w:color="000000" w:sz="4"/>
                <w:insideH w:val="none"/>
                <w:insideV w:val="none"/>
              </w:tblBorders>
            </w:tblPr>
            <w:tblGrid>
              <w:gridCol w:w="205"/>
              <w:gridCol w:w="467"/>
              <w:gridCol w:w="357"/>
              <w:gridCol w:w="361"/>
              <w:gridCol w:w="539"/>
              <w:gridCol w:w="289"/>
              <w:gridCol w:w="334"/>
            </w:tblGrid>
            <w:tr>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序号</w:t>
                  </w:r>
                </w:p>
              </w:tc>
              <w:tc>
                <w:tcPr>
                  <w:tcW w:type="dxa" w:w="46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名称</w:t>
                  </w:r>
                </w:p>
              </w:tc>
              <w:tc>
                <w:tcPr>
                  <w:tcW w:type="dxa" w:w="35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数量/单位</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规格</w:t>
                  </w:r>
                </w:p>
              </w:tc>
              <w:tc>
                <w:tcPr>
                  <w:tcW w:type="dxa" w:w="53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清理率/维修率</w:t>
                  </w:r>
                </w:p>
              </w:tc>
              <w:tc>
                <w:tcPr>
                  <w:tcW w:type="dxa" w:w="2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实际量</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备注</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排水管道清理</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200000m</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40%</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50000m</w:t>
                  </w:r>
                </w:p>
              </w:tc>
              <w:tc>
                <w:tcPr>
                  <w:tcW w:type="dxa" w:w="33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具体工作任务以实际发生量为准（注：如有设施增减要包干）</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排水管道维修</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200000m</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2000m</w:t>
                  </w:r>
                </w:p>
              </w:tc>
              <w:tc>
                <w:tcPr>
                  <w:tcW w:type="dxa" w:w="334"/>
                  <w:vMerge/>
                  <w:tcBorders>
                    <w:top w:val="none" w:color="000000" w:sz="4"/>
                    <w:left w:val="none" w:color="000000" w:sz="4"/>
                    <w:bottom w:val="singl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3</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排水铸铁承重污水井盖维修</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5571</w:t>
                  </w:r>
                  <w:r>
                    <w:rPr>
                      <w:rFonts w:ascii="仿宋_GB2312" w:hAnsi="仿宋_GB2312" w:cs="仿宋_GB2312" w:eastAsia="仿宋_GB2312"/>
                      <w:sz w:val="21"/>
                    </w:rPr>
                    <w:t>套</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700*800</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111.42</w:t>
                  </w:r>
                </w:p>
              </w:tc>
              <w:tc>
                <w:tcPr>
                  <w:tcW w:type="dxa" w:w="334"/>
                  <w:vMerge/>
                  <w:tcBorders>
                    <w:top w:val="none" w:color="000000" w:sz="4"/>
                    <w:left w:val="none" w:color="000000" w:sz="4"/>
                    <w:bottom w:val="singl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排水铸铁承重</w:t>
                  </w:r>
                </w:p>
                <w:p>
                  <w:pPr>
                    <w:pStyle w:val="null3"/>
                    <w:jc w:val="center"/>
                  </w:pPr>
                  <w:r>
                    <w:rPr>
                      <w:rFonts w:ascii="仿宋_GB2312" w:hAnsi="仿宋_GB2312" w:cs="仿宋_GB2312" w:eastAsia="仿宋_GB2312"/>
                      <w:sz w:val="21"/>
                    </w:rPr>
                    <w:t>雨水井盖维修</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5861</w:t>
                  </w:r>
                  <w:r>
                    <w:rPr>
                      <w:rFonts w:ascii="仿宋_GB2312" w:hAnsi="仿宋_GB2312" w:cs="仿宋_GB2312" w:eastAsia="仿宋_GB2312"/>
                      <w:sz w:val="21"/>
                    </w:rPr>
                    <w:t>套</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400*700</w:t>
                  </w: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117.22</w:t>
                  </w:r>
                </w:p>
              </w:tc>
              <w:tc>
                <w:tcPr>
                  <w:tcW w:type="dxa" w:w="334"/>
                  <w:vMerge/>
                  <w:tcBorders>
                    <w:top w:val="none" w:color="000000" w:sz="4"/>
                    <w:left w:val="none" w:color="000000" w:sz="4"/>
                    <w:bottom w:val="single" w:color="000000" w:sz="4"/>
                    <w:right w:val="single" w:color="000000" w:sz="4"/>
                  </w:tcBorders>
                </w:tc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5</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日常泵站管养</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539"/>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2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1"/>
                    </w:rPr>
                    <w:t>2</w:t>
                  </w:r>
                </w:p>
              </w:tc>
              <w:tc>
                <w:tcPr>
                  <w:tcW w:type="dxa" w:w="334"/>
                  <w:vMerge/>
                  <w:tcBorders>
                    <w:top w:val="none" w:color="000000" w:sz="4"/>
                    <w:left w:val="none" w:color="000000" w:sz="4"/>
                    <w:bottom w:val="single" w:color="000000" w:sz="4"/>
                    <w:right w:val="single" w:color="000000" w:sz="4"/>
                  </w:tcBorders>
                </w:tcPr>
                <w:p/>
              </w:tc>
            </w:tr>
          </w:tbl>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服务要求</w:t>
            </w:r>
          </w:p>
          <w:p>
            <w:pPr>
              <w:pStyle w:val="null3"/>
              <w:ind w:firstLine="480"/>
              <w:jc w:val="left"/>
            </w:pPr>
            <w:r>
              <w:rPr>
                <w:rFonts w:ascii="仿宋_GB2312" w:hAnsi="仿宋_GB2312" w:cs="仿宋_GB2312" w:eastAsia="仿宋_GB2312"/>
                <w:sz w:val="24"/>
                <w:u w:val="single"/>
              </w:rPr>
              <w:t>（1）投标人须有固定的服务团队，以应对突发状况，保障服务的及时性。</w:t>
            </w:r>
          </w:p>
          <w:p>
            <w:pPr>
              <w:pStyle w:val="null3"/>
              <w:ind w:firstLine="480"/>
              <w:jc w:val="left"/>
            </w:pPr>
            <w:r>
              <w:rPr>
                <w:rFonts w:ascii="仿宋_GB2312" w:hAnsi="仿宋_GB2312" w:cs="仿宋_GB2312" w:eastAsia="仿宋_GB2312"/>
                <w:sz w:val="24"/>
                <w:u w:val="single"/>
              </w:rPr>
              <w:t>（2）中标人接到通知后在规定的时限内到达抢修现场（0.5小时内,含节假日），并主动向采购人报告后采取有效措施进行处理。</w:t>
            </w:r>
          </w:p>
          <w:p>
            <w:pPr>
              <w:pStyle w:val="null3"/>
              <w:ind w:firstLine="480"/>
              <w:jc w:val="left"/>
            </w:pPr>
            <w:r>
              <w:rPr>
                <w:rFonts w:ascii="仿宋_GB2312" w:hAnsi="仿宋_GB2312" w:cs="仿宋_GB2312" w:eastAsia="仿宋_GB2312"/>
                <w:sz w:val="24"/>
                <w:u w:val="single"/>
              </w:rPr>
              <w:t>（3）中标施工单位需具备与本项目具体业务相关的设备机械，应具备抢修作业车辆以及排水泵车、路面铣刨机、压路机等相应维修车辆和机械设备。（提供承诺函加盖公章，格式自拟，不提供承诺函视为无效投标）</w:t>
            </w:r>
          </w:p>
          <w:p>
            <w:pPr>
              <w:pStyle w:val="null3"/>
              <w:ind w:firstLine="480"/>
              <w:jc w:val="left"/>
            </w:pPr>
            <w:r>
              <w:rPr>
                <w:rFonts w:ascii="仿宋_GB2312" w:hAnsi="仿宋_GB2312" w:cs="仿宋_GB2312" w:eastAsia="仿宋_GB2312"/>
                <w:sz w:val="24"/>
                <w:u w:val="single"/>
              </w:rPr>
              <w:t>（4）验收标准参考《城镇道路工程施工与质量验收规范》、《城镇道路养护技术规范》、《城镇排水管渠与泵站运行、维护及安全技术规程》、《给水排水管道工程施工及验收规范》等国家行业标准进行验收。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4"/>
                <w:u w:val="single"/>
              </w:rPr>
              <w:t>1.</w:t>
            </w:r>
            <w:r>
              <w:rPr>
                <w:rFonts w:ascii="仿宋_GB2312" w:hAnsi="仿宋_GB2312" w:cs="仿宋_GB2312" w:eastAsia="仿宋_GB2312"/>
                <w:sz w:val="24"/>
                <w:u w:val="single"/>
              </w:rPr>
              <w:t>合同履行期限：自合同签订之日起2年</w:t>
            </w:r>
          </w:p>
          <w:p>
            <w:pPr>
              <w:pStyle w:val="null3"/>
              <w:ind w:firstLine="480"/>
              <w:jc w:val="left"/>
            </w:pPr>
            <w:r>
              <w:rPr>
                <w:rFonts w:ascii="仿宋_GB2312" w:hAnsi="仿宋_GB2312" w:cs="仿宋_GB2312" w:eastAsia="仿宋_GB2312"/>
                <w:sz w:val="24"/>
                <w:u w:val="single"/>
              </w:rPr>
              <w:t>2.</w:t>
            </w:r>
            <w:r>
              <w:rPr>
                <w:rFonts w:ascii="仿宋_GB2312" w:hAnsi="仿宋_GB2312" w:cs="仿宋_GB2312" w:eastAsia="仿宋_GB2312"/>
                <w:sz w:val="24"/>
                <w:u w:val="single"/>
              </w:rPr>
              <w:t>服务地点：采购人指定地点。</w:t>
            </w:r>
          </w:p>
          <w:p>
            <w:pPr>
              <w:pStyle w:val="null3"/>
              <w:ind w:firstLine="480"/>
              <w:jc w:val="left"/>
            </w:pPr>
            <w:r>
              <w:rPr>
                <w:rFonts w:ascii="仿宋_GB2312" w:hAnsi="仿宋_GB2312" w:cs="仿宋_GB2312" w:eastAsia="仿宋_GB2312"/>
                <w:sz w:val="24"/>
                <w:u w:val="single"/>
              </w:rPr>
              <w:t>3.</w:t>
            </w:r>
            <w:r>
              <w:rPr>
                <w:rFonts w:ascii="仿宋_GB2312" w:hAnsi="仿宋_GB2312" w:cs="仿宋_GB2312" w:eastAsia="仿宋_GB2312"/>
                <w:sz w:val="24"/>
                <w:u w:val="single"/>
              </w:rPr>
              <w:t>服务方式：按本招标文件和中标人投标文件的内容实施。</w:t>
            </w:r>
          </w:p>
          <w:p>
            <w:pPr>
              <w:pStyle w:val="null3"/>
              <w:ind w:firstLine="480"/>
              <w:jc w:val="left"/>
            </w:pPr>
            <w:r>
              <w:rPr>
                <w:rFonts w:ascii="仿宋_GB2312" w:hAnsi="仿宋_GB2312" w:cs="仿宋_GB2312" w:eastAsia="仿宋_GB2312"/>
                <w:sz w:val="24"/>
                <w:u w:val="single"/>
              </w:rPr>
              <w:t>4.</w:t>
            </w:r>
            <w:r>
              <w:rPr>
                <w:rFonts w:ascii="仿宋_GB2312" w:hAnsi="仿宋_GB2312" w:cs="仿宋_GB2312" w:eastAsia="仿宋_GB2312"/>
                <w:sz w:val="24"/>
                <w:u w:val="single"/>
              </w:rPr>
              <w:t>付款标准及方式：以合同约定为准。</w:t>
            </w:r>
          </w:p>
          <w:p>
            <w:pPr>
              <w:pStyle w:val="null3"/>
              <w:ind w:firstLine="480"/>
              <w:jc w:val="left"/>
            </w:pPr>
            <w:r>
              <w:rPr>
                <w:rFonts w:ascii="仿宋_GB2312" w:hAnsi="仿宋_GB2312" w:cs="仿宋_GB2312" w:eastAsia="仿宋_GB2312"/>
                <w:sz w:val="24"/>
                <w:u w:val="single"/>
              </w:rPr>
              <w:t>5.</w:t>
            </w:r>
            <w:r>
              <w:rPr>
                <w:rFonts w:ascii="仿宋_GB2312" w:hAnsi="仿宋_GB2312" w:cs="仿宋_GB2312" w:eastAsia="仿宋_GB2312"/>
                <w:sz w:val="24"/>
                <w:u w:val="single"/>
              </w:rPr>
              <w:t>考核要求：排水管道清理及维修考核为期一个月，期间未出现再次堵塞及维修视为合格才可申请相关费用。（如遇不可抗力除外，如台风、地震、洪水、风灾等）</w:t>
            </w:r>
          </w:p>
          <w:p>
            <w:pPr>
              <w:pStyle w:val="null3"/>
              <w:ind w:firstLine="480"/>
              <w:jc w:val="left"/>
            </w:pPr>
            <w:r>
              <w:rPr>
                <w:rFonts w:ascii="仿宋_GB2312" w:hAnsi="仿宋_GB2312" w:cs="仿宋_GB2312" w:eastAsia="仿宋_GB2312"/>
                <w:sz w:val="24"/>
                <w:u w:val="single"/>
              </w:rPr>
              <w:t>6.</w:t>
            </w:r>
            <w:r>
              <w:rPr>
                <w:rFonts w:ascii="仿宋_GB2312" w:hAnsi="仿宋_GB2312" w:cs="仿宋_GB2312" w:eastAsia="仿宋_GB2312"/>
                <w:sz w:val="24"/>
                <w:u w:val="single"/>
              </w:rPr>
              <w:t>实际项目需要进行相关行政审批，单个项目费用拨付以行政审批部门、第三方审计单位审核结果为准。</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4"/>
                <w:u w:val="single"/>
              </w:rPr>
              <w:t>1.</w:t>
            </w:r>
            <w:r>
              <w:rPr>
                <w:rFonts w:ascii="仿宋_GB2312" w:hAnsi="仿宋_GB2312" w:cs="仿宋_GB2312" w:eastAsia="仿宋_GB2312"/>
                <w:sz w:val="24"/>
                <w:u w:val="single"/>
              </w:rPr>
              <w:t>合同履行期限：自合同签订之日起2年</w:t>
            </w:r>
          </w:p>
          <w:p>
            <w:pPr>
              <w:pStyle w:val="null3"/>
              <w:ind w:firstLine="480"/>
              <w:jc w:val="left"/>
            </w:pPr>
            <w:r>
              <w:rPr>
                <w:rFonts w:ascii="仿宋_GB2312" w:hAnsi="仿宋_GB2312" w:cs="仿宋_GB2312" w:eastAsia="仿宋_GB2312"/>
                <w:sz w:val="24"/>
                <w:u w:val="single"/>
              </w:rPr>
              <w:t>2.</w:t>
            </w:r>
            <w:r>
              <w:rPr>
                <w:rFonts w:ascii="仿宋_GB2312" w:hAnsi="仿宋_GB2312" w:cs="仿宋_GB2312" w:eastAsia="仿宋_GB2312"/>
                <w:sz w:val="24"/>
                <w:u w:val="single"/>
              </w:rPr>
              <w:t>服务地点：采购人指定地点。</w:t>
            </w:r>
          </w:p>
          <w:p>
            <w:pPr>
              <w:pStyle w:val="null3"/>
              <w:ind w:firstLine="480"/>
              <w:jc w:val="left"/>
            </w:pPr>
            <w:r>
              <w:rPr>
                <w:rFonts w:ascii="仿宋_GB2312" w:hAnsi="仿宋_GB2312" w:cs="仿宋_GB2312" w:eastAsia="仿宋_GB2312"/>
                <w:sz w:val="24"/>
                <w:u w:val="single"/>
              </w:rPr>
              <w:t>3.</w:t>
            </w:r>
            <w:r>
              <w:rPr>
                <w:rFonts w:ascii="仿宋_GB2312" w:hAnsi="仿宋_GB2312" w:cs="仿宋_GB2312" w:eastAsia="仿宋_GB2312"/>
                <w:sz w:val="24"/>
                <w:u w:val="single"/>
              </w:rPr>
              <w:t>服务方式：按本招标文件和中标人投标文件的内容实施。</w:t>
            </w:r>
          </w:p>
          <w:p>
            <w:pPr>
              <w:pStyle w:val="null3"/>
              <w:ind w:firstLine="480"/>
              <w:jc w:val="left"/>
            </w:pPr>
            <w:r>
              <w:rPr>
                <w:rFonts w:ascii="仿宋_GB2312" w:hAnsi="仿宋_GB2312" w:cs="仿宋_GB2312" w:eastAsia="仿宋_GB2312"/>
                <w:sz w:val="24"/>
                <w:u w:val="single"/>
              </w:rPr>
              <w:t>4.</w:t>
            </w:r>
            <w:r>
              <w:rPr>
                <w:rFonts w:ascii="仿宋_GB2312" w:hAnsi="仿宋_GB2312" w:cs="仿宋_GB2312" w:eastAsia="仿宋_GB2312"/>
                <w:sz w:val="24"/>
                <w:u w:val="single"/>
              </w:rPr>
              <w:t>付款标准及方式：以合同约定为准。</w:t>
            </w:r>
          </w:p>
          <w:p>
            <w:pPr>
              <w:pStyle w:val="null3"/>
              <w:ind w:firstLine="480"/>
              <w:jc w:val="left"/>
            </w:pPr>
            <w:r>
              <w:rPr>
                <w:rFonts w:ascii="仿宋_GB2312" w:hAnsi="仿宋_GB2312" w:cs="仿宋_GB2312" w:eastAsia="仿宋_GB2312"/>
                <w:sz w:val="24"/>
                <w:u w:val="single"/>
              </w:rPr>
              <w:t>5.</w:t>
            </w:r>
            <w:r>
              <w:rPr>
                <w:rFonts w:ascii="仿宋_GB2312" w:hAnsi="仿宋_GB2312" w:cs="仿宋_GB2312" w:eastAsia="仿宋_GB2312"/>
                <w:sz w:val="24"/>
                <w:u w:val="single"/>
              </w:rPr>
              <w:t>考核要求：排水管道清理及维修考核为期一个月，期间未出现再次堵塞及维修视为合格才可申请相关费用。（如遇不可抗力除外，如台风、地震、洪水、风灾等）</w:t>
            </w:r>
          </w:p>
          <w:p>
            <w:pPr>
              <w:pStyle w:val="null3"/>
              <w:ind w:firstLine="480"/>
              <w:jc w:val="left"/>
            </w:pPr>
            <w:r>
              <w:rPr>
                <w:rFonts w:ascii="仿宋_GB2312" w:hAnsi="仿宋_GB2312" w:cs="仿宋_GB2312" w:eastAsia="仿宋_GB2312"/>
                <w:sz w:val="24"/>
                <w:u w:val="single"/>
              </w:rPr>
              <w:t>6.</w:t>
            </w:r>
            <w:r>
              <w:rPr>
                <w:rFonts w:ascii="仿宋_GB2312" w:hAnsi="仿宋_GB2312" w:cs="仿宋_GB2312" w:eastAsia="仿宋_GB2312"/>
                <w:sz w:val="24"/>
                <w:u w:val="single"/>
              </w:rPr>
              <w:t>实际项目需要进行相关行政审批，单个项目费用拨付以行政审批部门、第三方审计单位审核结果为准。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 自觉抵制政府采购领域商业贿赂行为承诺书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供应商应提交的相关证明材料 自觉抵制政府采购领域商业贿赂行为承诺书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企业资质</w:t>
            </w:r>
          </w:p>
        </w:tc>
        <w:tc>
          <w:tcPr>
            <w:tcW w:type="dxa" w:w="3322"/>
          </w:tcPr>
          <w:p>
            <w:pPr>
              <w:pStyle w:val="null3"/>
              <w:jc w:val="left"/>
            </w:pPr>
            <w:r>
              <w:rPr>
                <w:rFonts w:ascii="仿宋_GB2312" w:hAnsi="仿宋_GB2312" w:cs="仿宋_GB2312" w:eastAsia="仿宋_GB2312"/>
              </w:rPr>
              <w:t>具有建设行政主管部门颁发的有效的市政公用工程施工总承包叁级（含）以上资质或根据《住房和城乡建设部关于印发建设工程企业资质管理制度改革方案的通知（【建市〔2020〕94号】）换发的市政公用工程施工总承包乙级（含）以上资质，具有有效的安全生产许可证，并在人员、设备、资金等方面具有相应的施工能力；</w:t>
            </w:r>
          </w:p>
        </w:tc>
        <w:tc>
          <w:tcPr>
            <w:tcW w:type="dxa" w:w="1661"/>
          </w:tcPr>
          <w:p>
            <w:pPr>
              <w:pStyle w:val="null3"/>
              <w:jc w:val="left"/>
            </w:pPr>
            <w:r>
              <w:rPr>
                <w:rFonts w:ascii="仿宋_GB2312" w:hAnsi="仿宋_GB2312" w:cs="仿宋_GB2312" w:eastAsia="仿宋_GB2312"/>
              </w:rPr>
              <w:t>其他材料 供应商应提交的相关证明材料 无重大违法记录声明函 商业信誉、财务会计制度、缴纳税收和社保的承诺函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项目负责人（项目经理）资质</w:t>
            </w:r>
          </w:p>
        </w:tc>
        <w:tc>
          <w:tcPr>
            <w:tcW w:type="dxa" w:w="3322"/>
          </w:tcPr>
          <w:p>
            <w:pPr>
              <w:pStyle w:val="null3"/>
              <w:jc w:val="left"/>
            </w:pPr>
            <w:r>
              <w:rPr>
                <w:rFonts w:ascii="仿宋_GB2312" w:hAnsi="仿宋_GB2312" w:cs="仿宋_GB2312" w:eastAsia="仿宋_GB2312"/>
              </w:rPr>
              <w:t>拟派项目负责人（项目经理）需具有在本单位注册的市政工程专业二级或以上注册建造师执业资格，并未担任其他在施建设工程项目的项目负责人；</w:t>
            </w:r>
          </w:p>
        </w:tc>
        <w:tc>
          <w:tcPr>
            <w:tcW w:type="dxa" w:w="1661"/>
          </w:tcPr>
          <w:p>
            <w:pPr>
              <w:pStyle w:val="null3"/>
              <w:jc w:val="left"/>
            </w:pPr>
            <w:r>
              <w:rPr>
                <w:rFonts w:ascii="仿宋_GB2312" w:hAnsi="仿宋_GB2312" w:cs="仿宋_GB2312" w:eastAsia="仿宋_GB2312"/>
              </w:rPr>
              <w:t>拟投入本项目人员一览表 其他材料 供应商应提交的相关证明材料 主要人员简历表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《海南省建筑企业诚信档案手册》</w:t>
            </w:r>
          </w:p>
        </w:tc>
        <w:tc>
          <w:tcPr>
            <w:tcW w:type="dxa" w:w="3322"/>
          </w:tcPr>
          <w:p>
            <w:pPr>
              <w:pStyle w:val="null3"/>
              <w:jc w:val="left"/>
            </w:pPr>
            <w:r>
              <w:rPr>
                <w:rFonts w:ascii="仿宋_GB2312" w:hAnsi="仿宋_GB2312" w:cs="仿宋_GB2312" w:eastAsia="仿宋_GB2312"/>
              </w:rPr>
              <w:t>投标人应在海南省住房和城乡建设厅海南省房屋建筑工程全过程监管信息平台完成《海南省建筑企业诚信档案手册》登记，并打印信息平台生成的诚信档案手册。</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其他（1）</w:t>
            </w:r>
          </w:p>
        </w:tc>
        <w:tc>
          <w:tcPr>
            <w:tcW w:type="dxa" w:w="3322"/>
          </w:tcPr>
          <w:p>
            <w:pPr>
              <w:pStyle w:val="null3"/>
              <w:jc w:val="left"/>
            </w:pPr>
            <w:r>
              <w:rPr>
                <w:rFonts w:ascii="仿宋_GB2312" w:hAnsi="仿宋_GB2312" w:cs="仿宋_GB2312" w:eastAsia="仿宋_GB2312"/>
              </w:rPr>
              <w:t>为采购项目提供整体设计、造价、审核结算或者项目管理、监理等服务的供应商，不得再参加该项目（提供声明函加盖公章）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其他（2）</w:t>
            </w:r>
          </w:p>
        </w:tc>
        <w:tc>
          <w:tcPr>
            <w:tcW w:type="dxa" w:w="332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单位负责人为同一人或者存在直接控股、管理关系的不同投标人，不得参加同一合同项下的政府采购活动（投标人提供书面声明，格式自拟）</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其他（3）</w:t>
            </w:r>
          </w:p>
        </w:tc>
        <w:tc>
          <w:tcPr>
            <w:tcW w:type="dxa" w:w="3322"/>
          </w:tcPr>
          <w:p>
            <w:pPr>
              <w:pStyle w:val="null3"/>
              <w:jc w:val="left"/>
            </w:pPr>
            <w:r>
              <w:rPr>
                <w:rFonts w:ascii="仿宋_GB2312" w:hAnsi="仿宋_GB2312" w:cs="仿宋_GB2312" w:eastAsia="仿宋_GB2312"/>
              </w:rPr>
              <w:t>各投标人均可就本招标项目上述标段中的2个标包投标，但最多允许中标1个标包</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企业资质</w:t>
            </w:r>
          </w:p>
        </w:tc>
        <w:tc>
          <w:tcPr>
            <w:tcW w:type="dxa" w:w="3322"/>
          </w:tcPr>
          <w:p>
            <w:pPr>
              <w:pStyle w:val="null3"/>
              <w:jc w:val="left"/>
            </w:pPr>
            <w:r>
              <w:rPr>
                <w:rFonts w:ascii="仿宋_GB2312" w:hAnsi="仿宋_GB2312" w:cs="仿宋_GB2312" w:eastAsia="仿宋_GB2312"/>
              </w:rPr>
              <w:t>具有建设行政主管部门颁发的有效的市政公用工程施工总承包叁级（含）以上资质或根据《住房和城乡建设部关于印发建设工程企业资质管理制度改革方案的通知（【建市〔2020〕94号】）换发的市政公用工程施工总承包乙级（含）以上资质，具有有效的安全生产许可证，并在人员、设备、资金等方面具有相应的施工能力；</w:t>
            </w:r>
          </w:p>
        </w:tc>
        <w:tc>
          <w:tcPr>
            <w:tcW w:type="dxa" w:w="1661"/>
          </w:tcPr>
          <w:p>
            <w:pPr>
              <w:pStyle w:val="null3"/>
              <w:jc w:val="left"/>
            </w:pPr>
            <w:r>
              <w:rPr>
                <w:rFonts w:ascii="仿宋_GB2312" w:hAnsi="仿宋_GB2312" w:cs="仿宋_GB2312" w:eastAsia="仿宋_GB2312"/>
              </w:rPr>
              <w:t>其他材料 供应商应提交的相关证明材料 无重大违法记录声明函 商业信誉、财务会计制度、缴纳税收和社保的承诺函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项目负责人（项目经理）资质</w:t>
            </w:r>
          </w:p>
        </w:tc>
        <w:tc>
          <w:tcPr>
            <w:tcW w:type="dxa" w:w="3322"/>
          </w:tcPr>
          <w:p>
            <w:pPr>
              <w:pStyle w:val="null3"/>
              <w:jc w:val="left"/>
            </w:pPr>
            <w:r>
              <w:rPr>
                <w:rFonts w:ascii="仿宋_GB2312" w:hAnsi="仿宋_GB2312" w:cs="仿宋_GB2312" w:eastAsia="仿宋_GB2312"/>
              </w:rPr>
              <w:t>拟派项目负责人（项目经理）需具有在本单位注册的市政工程专业二级或以上注册建造师执业资格，并未担任其他在施建设工程项目的项目负责人；</w:t>
            </w:r>
          </w:p>
        </w:tc>
        <w:tc>
          <w:tcPr>
            <w:tcW w:type="dxa" w:w="1661"/>
          </w:tcPr>
          <w:p>
            <w:pPr>
              <w:pStyle w:val="null3"/>
              <w:jc w:val="left"/>
            </w:pPr>
            <w:r>
              <w:rPr>
                <w:rFonts w:ascii="仿宋_GB2312" w:hAnsi="仿宋_GB2312" w:cs="仿宋_GB2312" w:eastAsia="仿宋_GB2312"/>
              </w:rPr>
              <w:t>拟投入本项目人员一览表 其他材料 供应商应提交的相关证明材料 主要人员简历表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《海南省建筑企业诚信档案手册》</w:t>
            </w:r>
          </w:p>
        </w:tc>
        <w:tc>
          <w:tcPr>
            <w:tcW w:type="dxa" w:w="3322"/>
          </w:tcPr>
          <w:p>
            <w:pPr>
              <w:pStyle w:val="null3"/>
              <w:jc w:val="left"/>
            </w:pPr>
            <w:r>
              <w:rPr>
                <w:rFonts w:ascii="仿宋_GB2312" w:hAnsi="仿宋_GB2312" w:cs="仿宋_GB2312" w:eastAsia="仿宋_GB2312"/>
              </w:rPr>
              <w:t>投标人应在海南省住房和城乡建设厅海南省房屋建筑工程全过程监管信息平台完成《海南省建筑企业诚信档案手册》登记，并打印信息平台生成的诚信档案手册。</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其他（1）</w:t>
            </w:r>
          </w:p>
        </w:tc>
        <w:tc>
          <w:tcPr>
            <w:tcW w:type="dxa" w:w="3322"/>
          </w:tcPr>
          <w:p>
            <w:pPr>
              <w:pStyle w:val="null3"/>
              <w:jc w:val="left"/>
            </w:pPr>
            <w:r>
              <w:rPr>
                <w:rFonts w:ascii="仿宋_GB2312" w:hAnsi="仿宋_GB2312" w:cs="仿宋_GB2312" w:eastAsia="仿宋_GB2312"/>
              </w:rPr>
              <w:t>为采购项目提供整体设计、造价、审核结算或者项目管理、监理等服务的供应商，不得再参加该项目（提供声明函加盖公章）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其他（2）</w:t>
            </w:r>
          </w:p>
        </w:tc>
        <w:tc>
          <w:tcPr>
            <w:tcW w:type="dxa" w:w="3322"/>
          </w:tcPr>
          <w:p>
            <w:pPr>
              <w:pStyle w:val="null3"/>
              <w:jc w:val="left"/>
            </w:pPr>
            <w:r>
              <w:rPr>
                <w:rFonts w:ascii="仿宋_GB2312" w:hAnsi="仿宋_GB2312" w:cs="仿宋_GB2312" w:eastAsia="仿宋_GB2312"/>
              </w:rPr>
              <w:t>单位负责人为同一人或者存在直接控股、管理关系的不同投标人，不得参加同一合同项下的政府采购活动（投标人提供书面声明，格式自拟）</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其他（3）</w:t>
            </w:r>
          </w:p>
        </w:tc>
        <w:tc>
          <w:tcPr>
            <w:tcW w:type="dxa" w:w="3322"/>
          </w:tcPr>
          <w:p>
            <w:pPr>
              <w:pStyle w:val="null3"/>
              <w:jc w:val="left"/>
            </w:pPr>
            <w:r>
              <w:rPr>
                <w:rFonts w:ascii="仿宋_GB2312" w:hAnsi="仿宋_GB2312" w:cs="仿宋_GB2312" w:eastAsia="仿宋_GB2312"/>
              </w:rPr>
              <w:t>各投标人均可就本招标项目上述标段中的2个标包投标，但最多允许中标1个标包</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残疾人福利性单位声明函 中小企业声明函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质量管理体系与措施</w:t>
            </w:r>
          </w:p>
        </w:tc>
        <w:tc>
          <w:tcPr>
            <w:tcW w:type="dxa" w:w="2492"/>
          </w:tcPr>
          <w:p>
            <w:pPr>
              <w:pStyle w:val="null3"/>
              <w:jc w:val="both"/>
            </w:pPr>
            <w:r>
              <w:rPr>
                <w:rFonts w:ascii="仿宋_GB2312" w:hAnsi="仿宋_GB2312" w:cs="仿宋_GB2312" w:eastAsia="仿宋_GB2312"/>
              </w:rPr>
              <w:t>根据投标人对本项目的仔细研究及项目实际情况，制定出的质量管理体系与措施能符合本项目的施工质量要求： (1)质量管理体系与措施科学合理，思路清晰，内容全面，能够根据实际情况制订，实施过程务实针对性强得 10分； (2)提供了大纲方案，质量管理体系与措施基本能够满足采购需要，操作性，针对性较好，得 7分； (3)质量管理体系方案不完整有漏项或方案科学合理性差，整体针对性差的得 5分； (4)不提供相应方案不得分。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安全管理体系与措施</w:t>
            </w:r>
          </w:p>
        </w:tc>
        <w:tc>
          <w:tcPr>
            <w:tcW w:type="dxa" w:w="2492"/>
          </w:tcPr>
          <w:p>
            <w:pPr>
              <w:pStyle w:val="null3"/>
              <w:jc w:val="both"/>
            </w:pPr>
            <w:r>
              <w:rPr>
                <w:rFonts w:ascii="仿宋_GB2312" w:hAnsi="仿宋_GB2312" w:cs="仿宋_GB2312" w:eastAsia="仿宋_GB2312"/>
              </w:rPr>
              <w:t>安全管理体系与措施：根据临时设施、现场道路、材料堆放等实际情况制定的安全文明施工保证计划是否全面周到、承诺安全文明施工的标准程度等内容： （1）安全管理措施的各道工序安全技术措施针对性强， 非常符合实际且满足有关安全技术标准要求，现场安全措施针对性强的得10分； (2)提供了大纲方案，安全管理措施较全面，能较好满足安全技术标准要求，现场措施规范针对性较好得 7分； (3)安全管理方案不完整有漏项或方案科学合理性较差、现场措施管理针对性较差的得5分； (4)不提供相应方案不得分。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环境保护管理体系与措施</w:t>
            </w:r>
          </w:p>
        </w:tc>
        <w:tc>
          <w:tcPr>
            <w:tcW w:type="dxa" w:w="2492"/>
          </w:tcPr>
          <w:p>
            <w:pPr>
              <w:pStyle w:val="null3"/>
              <w:jc w:val="both"/>
            </w:pPr>
            <w:r>
              <w:rPr>
                <w:rFonts w:ascii="仿宋_GB2312" w:hAnsi="仿宋_GB2312" w:cs="仿宋_GB2312" w:eastAsia="仿宋_GB2312"/>
              </w:rPr>
              <w:t>根据投标人对本项目的仔细研究及项目实际情况，保护管理体系的目标、方法与措施的完整性、科学性、合理性等内容： (1)环保管理体系与措施科学合理，思路清晰，内容全面，能够根据实际情况制订，实施过程务实针对性强得 10分； (2)提供了大纲方案，环保管理体系与措施基本能够满足采购需要，针对性较好，得 7分； (3)环保管理体系与措施方案内容较差或无太多实际意义或内容无针对性，得 5分； (4)不提供相应方案不得分。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维护管养方案</w:t>
            </w:r>
          </w:p>
        </w:tc>
        <w:tc>
          <w:tcPr>
            <w:tcW w:type="dxa" w:w="2492"/>
          </w:tcPr>
          <w:p>
            <w:pPr>
              <w:pStyle w:val="null3"/>
              <w:jc w:val="both"/>
            </w:pPr>
            <w:r>
              <w:rPr>
                <w:rFonts w:ascii="仿宋_GB2312" w:hAnsi="仿宋_GB2312" w:cs="仿宋_GB2312" w:eastAsia="仿宋_GB2312"/>
              </w:rPr>
              <w:t>根据投标人针对本项目制定合理可执行的维护管养方案、设施设备管养方案 (内容包括但不限于日常维护、 日常配合响应、设备定期检测）。 （1）投标人提出的市政道路维护管养方案、设施设备管养方案满足或优于采购文件要求 ,服务措施合理且有针对性 ，管养方案及计划编排严谨细致 ，考虑问题周全,可操作性强的 得10分； （2）投标人提出的市政道路维护管养方案,设施设备管养方案较满足采购文件要求,服务措施合理且针对性尚可 ，有较具体的维护管养计划 ，可操作性较强的得7分； （3）投标人提出的市政道路维护管养方案、设施设备管养方案不满足采购文件要求,服务措施基本可行 ，维护管养计划不具体 ，可操作性较差的得5分； （4）不提供相应方案不得分。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日常巡查服务方案</w:t>
            </w:r>
          </w:p>
        </w:tc>
        <w:tc>
          <w:tcPr>
            <w:tcW w:type="dxa" w:w="2492"/>
          </w:tcPr>
          <w:p>
            <w:pPr>
              <w:pStyle w:val="null3"/>
              <w:jc w:val="both"/>
            </w:pPr>
            <w:r>
              <w:rPr>
                <w:rFonts w:ascii="仿宋_GB2312" w:hAnsi="仿宋_GB2312" w:cs="仿宋_GB2312" w:eastAsia="仿宋_GB2312"/>
              </w:rPr>
              <w:t>根据投标人日常巡查服务方案内容：提出先进、完整、具体、可行的日常巡查服务承诺和服务计划 。 （1）投标人提出的日常巡查服务承诺和服务计划满足或优于采购文件要求 ，服务措施合理且有针对性,日常巡查计划编排严谨细致,考虑问题周全,可操作性强的得10分； （2）投标人提出的日常巡查服务承诺和服务计划较满足采购文件要求,服务措施合理且针对性尚可 ，有较具体的日常巡查计划 ，可操作性较强的得7分； （3）投标人提出的日常巡查服务承诺和服务计划不满足采购文件要求 ，服务措施基本可行 , 日常巡查计划不具体 ，可操作性较差的得5 分； （4）不提供相应方案不得分。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应急服务方案</w:t>
            </w:r>
          </w:p>
        </w:tc>
        <w:tc>
          <w:tcPr>
            <w:tcW w:type="dxa" w:w="2492"/>
          </w:tcPr>
          <w:p>
            <w:pPr>
              <w:pStyle w:val="null3"/>
              <w:jc w:val="both"/>
            </w:pPr>
            <w:r>
              <w:rPr>
                <w:rFonts w:ascii="仿宋_GB2312" w:hAnsi="仿宋_GB2312" w:cs="仿宋_GB2312" w:eastAsia="仿宋_GB2312"/>
              </w:rPr>
              <w:t>在应急抢修工作时和可能发生事故隐患的应急措施（包括但不限于：组织、设备、人员及应急报告程序和应急处理方案 （1）应急抢修等紧急情况的处理措施、预案,条理清晰 ，措施到位 ，完整性、针对性、可行性强 ，得10分； （2）应急抢修等紧急情况的处理措施、预案条理比较清晰 ，措施到位 ，较为完整 ，可行性 较强得7分； （3）应急抢修等紧急情况的处理措施、预案完整性、可行性、执行力一般的 ，得5分。 （4）不提供相应方案不得分。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类似项业绩</w:t>
            </w:r>
          </w:p>
        </w:tc>
        <w:tc>
          <w:tcPr>
            <w:tcW w:type="dxa" w:w="2492"/>
          </w:tcPr>
          <w:p>
            <w:pPr>
              <w:pStyle w:val="null3"/>
              <w:jc w:val="both"/>
            </w:pPr>
            <w:r>
              <w:rPr>
                <w:rFonts w:ascii="仿宋_GB2312" w:hAnsi="仿宋_GB2312" w:cs="仿宋_GB2312" w:eastAsia="仿宋_GB2312"/>
              </w:rPr>
              <w:t>供应商每有1项市政维修、维修管养类或市政工程类业绩的得5分（已完工或在建项目均可），满分15分。 注：提供业绩合同证明，在响应文件中提供加盖供应商公章的合同复印件。</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保障能力</w:t>
            </w:r>
          </w:p>
        </w:tc>
        <w:tc>
          <w:tcPr>
            <w:tcW w:type="dxa" w:w="2492"/>
          </w:tcPr>
          <w:p>
            <w:pPr>
              <w:pStyle w:val="null3"/>
              <w:jc w:val="both"/>
            </w:pPr>
            <w:r>
              <w:rPr>
                <w:rFonts w:ascii="仿宋_GB2312" w:hAnsi="仿宋_GB2312" w:cs="仿宋_GB2312" w:eastAsia="仿宋_GB2312"/>
              </w:rPr>
              <w:t>（1）投标人拟派项目技术负责人1名 ：具有市政工程相关专业中级或以上工程师职称的 ，得5分。 （2）投标人拟派项目其他人员情况：能够投入24小时应急抢修的专职工作人员10人（含） 以上，且人员中具有施工员1人、安全员1人、资料员1人、劳资专管员（1人）、司机一名B照及以上、配备齐全的得10分 ，不齐全不得分。 注：技术负责人提供相应证书（如职称证书中未显示职称专业，还需提供能证明职称专业的资料 ）复印件加盖公章，施工员、安全员、资料员 提供相关岗位证书或职业培训合格证书复印件加盖公章，劳资专管员提供身份证复印件加盖公章。同时，需提供所有拟投入人员2025年1月至今任意1个月在本单位缴纳社保凭证，并加盖公章，未按要求提供的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拟投入本项目人员一览表</w:t>
            </w:r>
          </w:p>
          <w:p>
            <w:pPr>
              <w:pStyle w:val="null3"/>
              <w:jc w:val="both"/>
            </w:pPr>
            <w:r>
              <w:rPr>
                <w:rFonts w:ascii="仿宋_GB2312" w:hAnsi="仿宋_GB2312" w:cs="仿宋_GB2312" w:eastAsia="仿宋_GB2312"/>
              </w:rPr>
              <w:t>主要人员简历表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质量管理体系与措施</w:t>
            </w:r>
          </w:p>
        </w:tc>
        <w:tc>
          <w:tcPr>
            <w:tcW w:type="dxa" w:w="2492"/>
          </w:tcPr>
          <w:p>
            <w:pPr>
              <w:pStyle w:val="null3"/>
              <w:jc w:val="both"/>
            </w:pPr>
            <w:r>
              <w:rPr>
                <w:rFonts w:ascii="仿宋_GB2312" w:hAnsi="仿宋_GB2312" w:cs="仿宋_GB2312" w:eastAsia="仿宋_GB2312"/>
              </w:rPr>
              <w:t>根据投标人对本项目的仔细研究及项目实际情况，制定出的质量管理体系与措施能符合本项目的施工质量要求： (1)质量管理体系与措施科学合理，思路清晰，内容全面，能够根据实际情况制订，实施过程务实针对性强得 10分； (2)提供了大纲方案，质量管理体系与措施基本能够满足采购需要，操作性，针对性较好，得 7分； (3)质量管理体系方案不完整有漏项或方案科学合理性差，整体针对性差的得 5分； (4)不提供相应方案不得分。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安全管理体系与措施</w:t>
            </w:r>
          </w:p>
        </w:tc>
        <w:tc>
          <w:tcPr>
            <w:tcW w:type="dxa" w:w="2492"/>
          </w:tcPr>
          <w:p>
            <w:pPr>
              <w:pStyle w:val="null3"/>
              <w:jc w:val="both"/>
            </w:pPr>
            <w:r>
              <w:rPr>
                <w:rFonts w:ascii="仿宋_GB2312" w:hAnsi="仿宋_GB2312" w:cs="仿宋_GB2312" w:eastAsia="仿宋_GB2312"/>
              </w:rPr>
              <w:t>安全管理体系与措施：根据临时设施、现场道路、材料堆放等实际情况制定的安全文明施工保证计划是否全面周到、承诺安全文明施工的标准程度等内容： （1）安全管理措施的各道工序安全技术措施针对性强， 非常符合实际且满足有关安全技术标准要求，现场安全措施针对性强的得10分； (2)提供了大纲方案，安全管理措施较全面，能较好满足安全技术标准要求，现场措施规范针对性较好得 7分； (3)安全管理方案不完整有漏项或方案科学合理性较差、现场措施管理针对性较差的得5分； (4)不提供相应方案不得分。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环境保护管理体系与措施</w:t>
            </w:r>
          </w:p>
        </w:tc>
        <w:tc>
          <w:tcPr>
            <w:tcW w:type="dxa" w:w="2492"/>
          </w:tcPr>
          <w:p>
            <w:pPr>
              <w:pStyle w:val="null3"/>
              <w:jc w:val="both"/>
            </w:pPr>
            <w:r>
              <w:rPr>
                <w:rFonts w:ascii="仿宋_GB2312" w:hAnsi="仿宋_GB2312" w:cs="仿宋_GB2312" w:eastAsia="仿宋_GB2312"/>
              </w:rPr>
              <w:t>根据投标人对本项目的仔细研究及项目实际情况，保护管理体系的目标、方法与措施的完整性、科学性、合理性等内容： (1)环保管理体系与措施科学合理，思路清晰，内容全面，能够根据实际情况制订，实施过程务实针对性强得 10分； (2)提供了大纲方案，环保管理体系与措施基本能够满足采购需要，针对性较好，得 7分； (3)环保管理体系与措施方案内容较差或无太多实际意义或内容无针对性，得 5分； (4)不提供相应方案不得分。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维护管养方案</w:t>
            </w:r>
          </w:p>
        </w:tc>
        <w:tc>
          <w:tcPr>
            <w:tcW w:type="dxa" w:w="2492"/>
          </w:tcPr>
          <w:p>
            <w:pPr>
              <w:pStyle w:val="null3"/>
              <w:jc w:val="both"/>
            </w:pPr>
            <w:r>
              <w:rPr>
                <w:rFonts w:ascii="仿宋_GB2312" w:hAnsi="仿宋_GB2312" w:cs="仿宋_GB2312" w:eastAsia="仿宋_GB2312"/>
              </w:rPr>
              <w:t>根据投标人针对本项目制定合理可执行的维护管养方案、设施设备管养方案 (内容包括但不限于日常维护、 日常配合响应、设备定期检测）。 （1）投标人提出的市政道路维护管养方案、设施设备管养方案满足或优于采购文件要求 ,服务措施合理且有针对性 ，管养方案及计划编排严谨细致 ，考虑问题周全,可操作性强的 得10分； （2）投标人提出的市政道路维护管养方案,设施设备管养方案较满足采购文件要求,服务措施合理且针对性尚可 ，有较具体的维护管养计划 ，可操作性较强的得7分； （3）投标人提出的市政道路维护管养方案、设施设备管养方案不满足采购文件要求,服务措施基本可行 ，维护管养计划不具体 ，可操作性较差的得5分； （4）不提供相应方案不得分。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日常巡查服务方案</w:t>
            </w:r>
          </w:p>
        </w:tc>
        <w:tc>
          <w:tcPr>
            <w:tcW w:type="dxa" w:w="2492"/>
          </w:tcPr>
          <w:p>
            <w:pPr>
              <w:pStyle w:val="null3"/>
              <w:jc w:val="both"/>
            </w:pPr>
            <w:r>
              <w:rPr>
                <w:rFonts w:ascii="仿宋_GB2312" w:hAnsi="仿宋_GB2312" w:cs="仿宋_GB2312" w:eastAsia="仿宋_GB2312"/>
              </w:rPr>
              <w:t>根据投标人日常巡查服务方案内容：提出先进、完整、具体、可行的日常巡查服务承诺和服务计划 。 （1）投标人提出的日常巡查服务承诺和服务计划满足或优于采购文件要求 ，服务措施合理且有针对性,日常巡查计划编排严谨细致,考虑问题周全,可操作性强的得10分； （2）投标人提出的日常巡查服务承诺和服务计划较满足采购文件要求,服务措施合理且针对性尚可 ，有较具体的日常巡查计划 ，可操作性较强的得7分； （3）投标人提出的日常巡查服务承诺和服务计划不满足采购文件要求 ，服务措施基本可行 , 日常巡查计划不具体 ，可操作性较差的得5 分； （4）不提供相应方案不得分。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应急服务方案</w:t>
            </w:r>
          </w:p>
        </w:tc>
        <w:tc>
          <w:tcPr>
            <w:tcW w:type="dxa" w:w="2492"/>
          </w:tcPr>
          <w:p>
            <w:pPr>
              <w:pStyle w:val="null3"/>
              <w:jc w:val="both"/>
            </w:pPr>
            <w:r>
              <w:rPr>
                <w:rFonts w:ascii="仿宋_GB2312" w:hAnsi="仿宋_GB2312" w:cs="仿宋_GB2312" w:eastAsia="仿宋_GB2312"/>
              </w:rPr>
              <w:t>在应急抢修工作时和可能发生事故隐患的应急措施（包括但不限于：组织、设备、人员及应急报告程序和应急处理方案 （1）应急抢修等紧急情况的处理措施、预案,条理清晰 ，措施到位 ，完整性、针对性、可行性强 ，得10分； （2）应急抢修等紧急情况的处理措施、预案条理比较清晰 ，措施到位 ，较为完整 ，可行性 较强得7分； （3）应急抢修等紧急情况的处理措施、预案完整性、可行性、执行力一般的 ，得5分。 （4）不提供相应方案不得分。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类似项业绩</w:t>
            </w:r>
          </w:p>
        </w:tc>
        <w:tc>
          <w:tcPr>
            <w:tcW w:type="dxa" w:w="2492"/>
          </w:tcPr>
          <w:p>
            <w:pPr>
              <w:pStyle w:val="null3"/>
              <w:jc w:val="both"/>
            </w:pPr>
            <w:r>
              <w:rPr>
                <w:rFonts w:ascii="仿宋_GB2312" w:hAnsi="仿宋_GB2312" w:cs="仿宋_GB2312" w:eastAsia="仿宋_GB2312"/>
              </w:rPr>
              <w:t>供应商每有1项市政维修、维修管养类或市政工程类业绩的得5分（已完工或在建项目均可），满分15分。 注：提供业绩合同证明，在响应文件中提供加盖供应商公章的合同复印件。</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投标人类似项目业绩一览表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保障能力</w:t>
            </w:r>
          </w:p>
        </w:tc>
        <w:tc>
          <w:tcPr>
            <w:tcW w:type="dxa" w:w="2492"/>
          </w:tcPr>
          <w:p>
            <w:pPr>
              <w:pStyle w:val="null3"/>
              <w:jc w:val="both"/>
            </w:pPr>
            <w:r>
              <w:rPr>
                <w:rFonts w:ascii="仿宋_GB2312" w:hAnsi="仿宋_GB2312" w:cs="仿宋_GB2312" w:eastAsia="仿宋_GB2312"/>
              </w:rPr>
              <w:t>（1）投标人拟派项目技术负责人1名 ：具有市政工程相关专业中级或以上工程师职称的 ，得5分。 （2）投标人拟派项目其他人员情况：能够投入24小时应急抢修的专职工作人员10人（含） 以上，且人员中具有施工员1人、安全员1人、资料员1人、劳资专管员（1人）、司机一名B照及以上、配备齐全的得10分 ，不齐全不得分。 注：技术负责人提供相应证书（如职称证书中未显示职称专业，还需提供能证明职称专业的资料 ）复印件加盖公章，施工员、安全员、资料员 提供相关岗位证书或职业培训合格证书复印件加盖公章，劳资专管员提供身份证复印件加盖公章。同时，需提供所有拟投入人员2025年1月至今任意1个月在本单位缴纳社保凭证，并加盖公章，未按要求提供的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拟投入本项目人员一览表</w:t>
            </w:r>
          </w:p>
          <w:p>
            <w:pPr>
              <w:pStyle w:val="null3"/>
              <w:jc w:val="both"/>
            </w:pPr>
            <w:r>
              <w:rPr>
                <w:rFonts w:ascii="仿宋_GB2312" w:hAnsi="仿宋_GB2312" w:cs="仿宋_GB2312" w:eastAsia="仿宋_GB2312"/>
              </w:rPr>
              <w:t>主要人员简历表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HLGC20250054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2025-2027年（两年度）龙华区区管排水设施管养项目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2025-2027年（两年度）龙华区区管排水设施管养项目-A包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C12990000-其他水利管理服务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7926200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HLGC20250054</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2025-2027年（两年度）龙华区区管排水设施管养项目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2025-2027年（两年度）龙华区区管排水设施管养项目-B包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C12990000-其他水利管理服务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7850000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详见附件：拟投入本项目人员一览表</w:t>
      </w:r>
    </w:p>
    <w:p>
      <w:pPr>
        <w:pStyle w:val="null3"/>
        <w:ind w:firstLine="960"/>
        <w:jc w:val="left"/>
      </w:pPr>
      <w:r>
        <w:rPr>
          <w:rFonts w:ascii="仿宋_GB2312" w:hAnsi="仿宋_GB2312" w:cs="仿宋_GB2312" w:eastAsia="仿宋_GB2312"/>
        </w:rPr>
        <w:t>详见附件：主要人员简历表</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详见附件：拟投入本项目人员一览表</w:t>
      </w:r>
    </w:p>
    <w:p>
      <w:pPr>
        <w:pStyle w:val="null3"/>
        <w:ind w:firstLine="960"/>
        <w:jc w:val="left"/>
      </w:pPr>
      <w:r>
        <w:rPr>
          <w:rFonts w:ascii="仿宋_GB2312" w:hAnsi="仿宋_GB2312" w:cs="仿宋_GB2312" w:eastAsia="仿宋_GB2312"/>
        </w:rPr>
        <w:t>详见附件：主要人员简历表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