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海口市镇海渔港建设项目前期工作研究试验技术服务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HNSHB-20250401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海南省实博招标代理有限公司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海口市秀英区农业农村局</w:t>
      </w:r>
      <w:r>
        <w:rPr>
          <w:rFonts w:ascii="仿宋_GB2312" w:hAnsi="仿宋_GB2312" w:cs="仿宋_GB2312" w:eastAsia="仿宋_GB2312"/>
        </w:rPr>
        <w:t xml:space="preserve"> 的委托， </w:t>
      </w:r>
      <w:r>
        <w:rPr>
          <w:rFonts w:ascii="仿宋_GB2312" w:hAnsi="仿宋_GB2312" w:cs="仿宋_GB2312" w:eastAsia="仿宋_GB2312"/>
        </w:rPr>
        <w:t>海南省实博招标代理有限公司</w:t>
      </w:r>
      <w:r>
        <w:rPr>
          <w:rFonts w:ascii="仿宋_GB2312" w:hAnsi="仿宋_GB2312" w:cs="仿宋_GB2312" w:eastAsia="仿宋_GB2312"/>
        </w:rPr>
        <w:t xml:space="preserve"> 对 </w:t>
      </w:r>
      <w:r>
        <w:rPr>
          <w:rFonts w:ascii="仿宋_GB2312" w:hAnsi="仿宋_GB2312" w:cs="仿宋_GB2312" w:eastAsia="仿宋_GB2312"/>
        </w:rPr>
        <w:t>海口市镇海渔港建设项目前期工作研究试验技术服务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HNSHB-20250401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海口市镇海渔港建设项目前期工作研究试验技术服务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3,350,000.00元</w:t>
      </w:r>
      <w:r>
        <w:rPr>
          <w:rFonts w:ascii="仿宋_GB2312" w:hAnsi="仿宋_GB2312" w:cs="仿宋_GB2312" w:eastAsia="仿宋_GB2312"/>
        </w:rPr>
        <w:t>叁佰叁拾伍万元整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合同签订之日起90日历天内提交成果资料，具体的服务期限以采购人的通知要求为准。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1、投标人须具备省级及以上质量监督管理局颁发的CMA计量认证证书。：提供相关证书复印件并加盖单位公章。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1.上述申请人的资格要求中“满足《中华人民共和国政府采购法》第二十二条规定，（4）供应商无不良信用记录”，按“第四章 评审方法，初步评审标准，一般资格审查”的相应关联格式要求提供：其他资格条件承诺函。信用信息查询的截止时点：采购公告发布时间以后。信用信息查询记录以供应商提供的该承诺函为准，承诺函不实的，将依照有关法律法规追究法律责任。 2.本项目为全流程电子化操作项目，具体操作流程可参考“海南省政府采购网-办事指南-供应商手册”：https://www.ccgp-hainan.gov.cn/help/gys/zc/zc.html。供应商使用系统遇到问题可致电技术支持：4001691288。 3.本项目落实的政府采购政策 《政府采购促进中小企业发展管理办法》、《关于促进残疾人就业政府采购政策的通知》、《财政部司法部关于政府采购支持监狱企业发展有关问题的通知》、《财政部发展改革委生态环境部市场监管总局关于调整优化节能产品、环境标志产品政府采购执行机制的通知》、《海南省财政厅关于印发《海南省绿色产品政府采购实施意见（试行）》的通知》、《关于政府采购支持绿色建材促进建筑品质提升试点工作的通知》、《财政部国务院扶贫办关于运用政府采购政策支持脱贫攻坚的通知》、《海南省财政厅关于进一步加强政府采购支持中小企业发展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海口市秀英区东南亚风情美食街（东南亚海鲜城）B栋3楼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0898-68683340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海南省实博招标代理有限公司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海南省海口市秀英区永万路22号二楼海南省实博招标代理有限公司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合同签订之日起90日历天内提交成果资料，具体的服务期限以采购人的通知要求为准。</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根据该项目预算金额参照《海南省物价局关于降低部分招标代理服务收费标准的通知》（琼价费管[2011]225号）文件标准计算按8.3折收取，为一次性包干费用（包含该项目的评委费、场地费、材料费等为履行采购代理机构义务所发生的全部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电子标须办理数字证书。供应商制作响应文件、签到、解密及磋商过程等需选择CA数字证书签章，未办理数字证书的请先进行办理并安装驱动。供应商应当自行办理纳入全国公共资源交易平台（海南省）数字证书互认范围的数字证书及签章（以下简称“互认的证书及签章”），用于智慧云平台的用户注册、身份信息维护、业务办理、在线开展或者参与采购活动、加盖电子签章等操作。具体可参考“海南省政府采购网-办事指南-CA手册”：https://www.ccgp-hainan.gov.cn/help/ca/ca.html内容。已注册备案通过并取得数字证书和电子签章的供应商不需要再重新办理。 2.本项目为全程远程电子开标，供应商须进行不见面在线开标，无须到达开标现场。开标前供应商必须进入电子开标/开启大厅在线签到，未签到视为无效响应。供应商还须远程按时在线解密响应文件。本项目以供应商成功加密后递交至海南省政府采购智慧云平台的电子响应文件为准。随后唱标，供应商浏览唱标信息，产生开标结果，各供应商确认后签署开标结果，开标结束。 3.开标活动完成后，通过资格符合性审查的供应商将与磋商小组独立进行磋商并最后报价，请各供应商代表保持项目电子化操作界面，在“评审等候大厅”等待通知磋商和报价。 4.本次采购标的对应的中小企业划分标准所属行业为其他未列明行业，具体的参数供应商请查阅： 《关于印发中小企业划型标准规定的通知》（工信部联企业〔2011〕300号）。 5.政府采购合同信用融资是银行机构以政府采购诚信考核和信用审查为基础，凭借中小企业取得并提供的政府采购合同，按优于—般中小企业贷款的利率直接向申请货款的中小企业发放货款的一种新融资方式。投标人在中标后需要融资时可以申请政府采购合同信用融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联系电话：0898-68602571</w:t>
      </w:r>
    </w:p>
    <w:p>
      <w:pPr>
        <w:pStyle w:val="null3"/>
        <w:jc w:val="left"/>
      </w:pPr>
      <w:r>
        <w:rPr>
          <w:rFonts w:ascii="仿宋_GB2312" w:hAnsi="仿宋_GB2312" w:cs="仿宋_GB2312" w:eastAsia="仿宋_GB2312"/>
        </w:rPr>
        <w:t>地址：海南省海口市秀英区永万路22号二楼海南省实博招标代理有限公司</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本项目拟新建</w:t>
      </w:r>
      <w:r>
        <w:rPr>
          <w:rFonts w:ascii="仿宋_GB2312" w:hAnsi="仿宋_GB2312" w:cs="仿宋_GB2312" w:eastAsia="仿宋_GB2312"/>
          <w:sz w:val="32"/>
        </w:rPr>
        <w:t>26个渔业泊位，其中24m渔业泊位10个，12m渔业泊位16个。拆除原土石斜坡堤长约823m，新建东防波堤长约535.5m、西防波堤长约200m，形成港池水域面积约3.8万㎡。建设综合服务平台3900㎡，综合服务中心615.75㎡及配套附属设施。</w:t>
      </w:r>
    </w:p>
    <w:p>
      <w:pPr>
        <w:pStyle w:val="null3"/>
        <w:ind w:firstLine="480"/>
        <w:jc w:val="both"/>
      </w:pPr>
      <w:r>
        <w:rPr>
          <w:rFonts w:ascii="仿宋_GB2312" w:hAnsi="仿宋_GB2312" w:cs="仿宋_GB2312" w:eastAsia="仿宋_GB2312"/>
          <w:sz w:val="32"/>
        </w:rPr>
        <w:t>本次招标的项目前期工作研究试验技术服务主要包含以下八项内容：</w:t>
      </w:r>
      <w:r>
        <w:rPr>
          <w:rFonts w:ascii="仿宋_GB2312" w:hAnsi="仿宋_GB2312" w:cs="仿宋_GB2312" w:eastAsia="仿宋_GB2312"/>
          <w:sz w:val="32"/>
        </w:rPr>
        <w:t>①防波堤断面物模试验、②工程波浪整体物模试验、③防波堤堤头局部整体模型试验、④疏浚物检测、⑤珊瑚礁及红树林调查、⑥航道通航条件影响评价、⑦社会稳定风险评价、⑧渔港防台风等级评估等工作(具体以招标人的委托合同为准）。</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3,350,000.00</w:t>
      </w:r>
    </w:p>
    <w:p>
      <w:pPr>
        <w:pStyle w:val="null3"/>
        <w:jc w:val="left"/>
      </w:pPr>
      <w:r>
        <w:rPr>
          <w:rFonts w:ascii="仿宋_GB2312" w:hAnsi="仿宋_GB2312" w:cs="仿宋_GB2312" w:eastAsia="仿宋_GB2312"/>
        </w:rPr>
        <w:t>采购包最高限价（元）: 3,350,000.00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C01030100-工程和技术基础科学研究服务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C01030100-工程和技术基础科学研究服务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标的名称：C01030100-工程和技术基础科学研究服务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b/>
              </w:rPr>
              <w:t>1.1 依据的规范</w:t>
            </w:r>
          </w:p>
          <w:p>
            <w:pPr>
              <w:pStyle w:val="null3"/>
              <w:ind w:firstLine="640"/>
              <w:jc w:val="left"/>
            </w:pPr>
            <w:r>
              <w:rPr>
                <w:rFonts w:ascii="仿宋_GB2312" w:hAnsi="仿宋_GB2312" w:cs="仿宋_GB2312" w:eastAsia="仿宋_GB2312"/>
                <w:sz w:val="32"/>
              </w:rPr>
              <w:t>本项目遵循国家和行业现行的标准、规范，主要包括：</w:t>
            </w:r>
          </w:p>
          <w:p>
            <w:pPr>
              <w:pStyle w:val="null3"/>
              <w:ind w:firstLine="640"/>
              <w:jc w:val="left"/>
            </w:pPr>
            <w:r>
              <w:rPr>
                <w:rFonts w:ascii="仿宋_GB2312" w:hAnsi="仿宋_GB2312" w:cs="仿宋_GB2312" w:eastAsia="仿宋_GB2312"/>
                <w:sz w:val="32"/>
              </w:rPr>
              <w:t>1)《水运工程设计通则》（JTS 141-2011）；</w:t>
            </w:r>
          </w:p>
          <w:p>
            <w:pPr>
              <w:pStyle w:val="null3"/>
              <w:ind w:firstLine="640"/>
              <w:jc w:val="left"/>
            </w:pPr>
            <w:r>
              <w:rPr>
                <w:rFonts w:ascii="仿宋_GB2312" w:hAnsi="仿宋_GB2312" w:cs="仿宋_GB2312" w:eastAsia="仿宋_GB2312"/>
                <w:sz w:val="32"/>
              </w:rPr>
              <w:t>2)《渔港总体设计规范》（SC/T 9010-2000）；</w:t>
            </w:r>
          </w:p>
          <w:p>
            <w:pPr>
              <w:pStyle w:val="null3"/>
              <w:ind w:firstLine="640"/>
              <w:jc w:val="left"/>
            </w:pPr>
            <w:r>
              <w:rPr>
                <w:rFonts w:ascii="仿宋_GB2312" w:hAnsi="仿宋_GB2312" w:cs="仿宋_GB2312" w:eastAsia="仿宋_GB2312"/>
                <w:sz w:val="32"/>
              </w:rPr>
              <w:t>3)《海港总体设计规范》（JTS 165-2013）；</w:t>
            </w:r>
          </w:p>
          <w:p>
            <w:pPr>
              <w:pStyle w:val="null3"/>
              <w:ind w:firstLine="640"/>
              <w:jc w:val="left"/>
            </w:pPr>
            <w:r>
              <w:rPr>
                <w:rFonts w:ascii="仿宋_GB2312" w:hAnsi="仿宋_GB2312" w:cs="仿宋_GB2312" w:eastAsia="仿宋_GB2312"/>
                <w:sz w:val="32"/>
              </w:rPr>
              <w:t>4)《港口与航道水文规范》（JTS 145-2015）（2022版）；</w:t>
            </w:r>
          </w:p>
          <w:p>
            <w:pPr>
              <w:pStyle w:val="null3"/>
              <w:ind w:firstLine="640"/>
              <w:jc w:val="left"/>
            </w:pPr>
            <w:r>
              <w:rPr>
                <w:rFonts w:ascii="仿宋_GB2312" w:hAnsi="仿宋_GB2312" w:cs="仿宋_GB2312" w:eastAsia="仿宋_GB2312"/>
                <w:sz w:val="32"/>
              </w:rPr>
              <w:t>5)《海堤工程设计规范》（GB/T 51015-2014）；</w:t>
            </w:r>
          </w:p>
          <w:p>
            <w:pPr>
              <w:pStyle w:val="null3"/>
              <w:ind w:firstLine="640"/>
              <w:jc w:val="left"/>
            </w:pPr>
            <w:r>
              <w:rPr>
                <w:rFonts w:ascii="仿宋_GB2312" w:hAnsi="仿宋_GB2312" w:cs="仿宋_GB2312" w:eastAsia="仿宋_GB2312"/>
                <w:sz w:val="32"/>
              </w:rPr>
              <w:t>6)《防波堤与护岸设计规范》（JTS 154-2018）；</w:t>
            </w:r>
          </w:p>
          <w:p>
            <w:pPr>
              <w:pStyle w:val="null3"/>
              <w:ind w:firstLine="640"/>
              <w:jc w:val="left"/>
            </w:pPr>
            <w:r>
              <w:rPr>
                <w:rFonts w:ascii="仿宋_GB2312" w:hAnsi="仿宋_GB2312" w:cs="仿宋_GB2312" w:eastAsia="仿宋_GB2312"/>
                <w:sz w:val="32"/>
              </w:rPr>
              <w:t>7)《渔港防台风等级评估规程》（DB33/T 2231-2019）；</w:t>
            </w:r>
          </w:p>
          <w:p>
            <w:pPr>
              <w:pStyle w:val="null3"/>
              <w:ind w:firstLine="640"/>
              <w:jc w:val="left"/>
            </w:pPr>
            <w:r>
              <w:rPr>
                <w:rFonts w:ascii="仿宋_GB2312" w:hAnsi="仿宋_GB2312" w:cs="仿宋_GB2312" w:eastAsia="仿宋_GB2312"/>
                <w:sz w:val="32"/>
              </w:rPr>
              <w:t>8)《水运工程模拟试验技术规范》（JTS-T231-2021）</w:t>
            </w:r>
          </w:p>
          <w:p>
            <w:pPr>
              <w:pStyle w:val="null3"/>
              <w:ind w:firstLine="640"/>
              <w:jc w:val="left"/>
            </w:pPr>
            <w:r>
              <w:rPr>
                <w:rFonts w:ascii="仿宋_GB2312" w:hAnsi="仿宋_GB2312" w:cs="仿宋_GB2312" w:eastAsia="仿宋_GB2312"/>
                <w:sz w:val="32"/>
              </w:rPr>
              <w:t>9)《海洋工程环境影响评价技术导则》GB/T 19485-2014；</w:t>
            </w:r>
          </w:p>
          <w:p>
            <w:pPr>
              <w:pStyle w:val="null3"/>
              <w:ind w:firstLine="640"/>
              <w:jc w:val="left"/>
            </w:pPr>
            <w:r>
              <w:rPr>
                <w:rFonts w:ascii="仿宋_GB2312" w:hAnsi="仿宋_GB2312" w:cs="仿宋_GB2312" w:eastAsia="仿宋_GB2312"/>
                <w:sz w:val="32"/>
              </w:rPr>
              <w:t>10)《海岸带生态系统现状调查与评估技术导则第1部分：总则》（T/CAOE 20.1-2020）；</w:t>
            </w:r>
          </w:p>
          <w:p>
            <w:pPr>
              <w:pStyle w:val="null3"/>
              <w:ind w:firstLine="640"/>
              <w:jc w:val="left"/>
            </w:pPr>
            <w:r>
              <w:rPr>
                <w:rFonts w:ascii="仿宋_GB2312" w:hAnsi="仿宋_GB2312" w:cs="仿宋_GB2312" w:eastAsia="仿宋_GB2312"/>
                <w:sz w:val="32"/>
              </w:rPr>
              <w:t>11)《海岸带生态系统现状调查与评估技术导则》第5部分珊瑚礁（T/CAOE 20.5-2020）；</w:t>
            </w:r>
          </w:p>
          <w:p>
            <w:pPr>
              <w:pStyle w:val="null3"/>
              <w:ind w:firstLine="640"/>
              <w:jc w:val="left"/>
            </w:pPr>
            <w:r>
              <w:rPr>
                <w:rFonts w:ascii="仿宋_GB2312" w:hAnsi="仿宋_GB2312" w:cs="仿宋_GB2312" w:eastAsia="仿宋_GB2312"/>
                <w:sz w:val="32"/>
              </w:rPr>
              <w:t>12)《珊瑚礁生态监测技术规程》（HY/T 082-2005）；</w:t>
            </w:r>
          </w:p>
          <w:p>
            <w:pPr>
              <w:pStyle w:val="null3"/>
              <w:ind w:firstLine="640"/>
              <w:jc w:val="left"/>
            </w:pPr>
            <w:r>
              <w:rPr>
                <w:rFonts w:ascii="仿宋_GB2312" w:hAnsi="仿宋_GB2312" w:cs="仿宋_GB2312" w:eastAsia="仿宋_GB2312"/>
                <w:sz w:val="32"/>
              </w:rPr>
              <w:t>13)《近岸海洋生态健康评价指南》（HY/T 087-2005）；</w:t>
            </w:r>
          </w:p>
          <w:p>
            <w:pPr>
              <w:pStyle w:val="null3"/>
              <w:ind w:firstLine="640"/>
              <w:jc w:val="left"/>
            </w:pPr>
            <w:r>
              <w:rPr>
                <w:rFonts w:ascii="仿宋_GB2312" w:hAnsi="仿宋_GB2312" w:cs="仿宋_GB2312" w:eastAsia="仿宋_GB2312"/>
                <w:sz w:val="32"/>
              </w:rPr>
              <w:t>14)《海洋倾倒物质评价规范疏浚物》（GB30980-2014）；</w:t>
            </w:r>
          </w:p>
          <w:p>
            <w:pPr>
              <w:pStyle w:val="null3"/>
              <w:ind w:firstLine="640"/>
              <w:jc w:val="left"/>
            </w:pPr>
            <w:r>
              <w:rPr>
                <w:rFonts w:ascii="仿宋_GB2312" w:hAnsi="仿宋_GB2312" w:cs="仿宋_GB2312" w:eastAsia="仿宋_GB2312"/>
                <w:sz w:val="32"/>
              </w:rPr>
              <w:t>15)《政府投资条例》(中华人民共和国国务院令第712号)；</w:t>
            </w:r>
          </w:p>
          <w:p>
            <w:pPr>
              <w:pStyle w:val="null3"/>
              <w:ind w:firstLine="640"/>
              <w:jc w:val="left"/>
            </w:pPr>
            <w:r>
              <w:rPr>
                <w:rFonts w:ascii="仿宋_GB2312" w:hAnsi="仿宋_GB2312" w:cs="仿宋_GB2312" w:eastAsia="仿宋_GB2312"/>
                <w:sz w:val="32"/>
              </w:rPr>
              <w:t>16)《企业投资项目核准和备案管理条例》(中华人民共和国国务院第673号)；</w:t>
            </w:r>
          </w:p>
          <w:p>
            <w:pPr>
              <w:pStyle w:val="null3"/>
              <w:ind w:firstLine="640"/>
              <w:jc w:val="left"/>
            </w:pPr>
            <w:r>
              <w:rPr>
                <w:rFonts w:ascii="仿宋_GB2312" w:hAnsi="仿宋_GB2312" w:cs="仿宋_GB2312" w:eastAsia="仿宋_GB2312"/>
                <w:sz w:val="32"/>
              </w:rPr>
              <w:t>17)《国家发展改革委重大固定资产投资项目社会稳定风险评估暂行办法》(发改投（2012)2492号)；</w:t>
            </w:r>
          </w:p>
          <w:p>
            <w:pPr>
              <w:pStyle w:val="null3"/>
              <w:ind w:firstLine="640"/>
              <w:jc w:val="left"/>
            </w:pPr>
            <w:r>
              <w:rPr>
                <w:rFonts w:ascii="仿宋_GB2312" w:hAnsi="仿宋_GB2312" w:cs="仿宋_GB2312" w:eastAsia="仿宋_GB2312"/>
                <w:sz w:val="32"/>
              </w:rPr>
              <w:t>18)《国家发展改革委办公厅关于印发重大固定资产投资项目社会稳定风险分析章和评估报告编制大纲(试行)的通知》(发改办投资(2013)428号)</w:t>
            </w:r>
          </w:p>
          <w:p>
            <w:pPr>
              <w:pStyle w:val="null3"/>
              <w:ind w:firstLine="640"/>
              <w:jc w:val="left"/>
            </w:pPr>
            <w:r>
              <w:rPr>
                <w:rFonts w:ascii="仿宋_GB2312" w:hAnsi="仿宋_GB2312" w:cs="仿宋_GB2312" w:eastAsia="仿宋_GB2312"/>
                <w:sz w:val="32"/>
              </w:rPr>
              <w:t>19)《重大固定资产投资项目社会稳定风险分析篇章编制大纲及说明(试行)》；</w:t>
            </w:r>
          </w:p>
          <w:p>
            <w:pPr>
              <w:pStyle w:val="null3"/>
              <w:ind w:firstLine="640"/>
              <w:jc w:val="left"/>
            </w:pPr>
            <w:r>
              <w:rPr>
                <w:rFonts w:ascii="仿宋_GB2312" w:hAnsi="仿宋_GB2312" w:cs="仿宋_GB2312" w:eastAsia="仿宋_GB2312"/>
                <w:sz w:val="32"/>
              </w:rPr>
              <w:t>20)《重大固定资产投资项目社会稳定风险评估报告编制大纲及说明(试行)》《中华人民共和国土地管理法》(2019年8月26日修正)。</w:t>
            </w:r>
          </w:p>
          <w:p>
            <w:pPr>
              <w:pStyle w:val="null3"/>
              <w:ind w:firstLine="643"/>
              <w:jc w:val="left"/>
            </w:pPr>
            <w:r>
              <w:rPr>
                <w:rFonts w:ascii="仿宋_GB2312" w:hAnsi="仿宋_GB2312" w:cs="仿宋_GB2312" w:eastAsia="仿宋_GB2312"/>
                <w:sz w:val="32"/>
                <w:b/>
              </w:rPr>
              <w:t>1.2 主要工作内容及成果要求</w:t>
            </w:r>
          </w:p>
          <w:p>
            <w:pPr>
              <w:pStyle w:val="null3"/>
              <w:ind w:firstLine="640"/>
              <w:jc w:val="left"/>
            </w:pPr>
            <w:r>
              <w:rPr>
                <w:rFonts w:ascii="仿宋_GB2312" w:hAnsi="仿宋_GB2312" w:cs="仿宋_GB2312" w:eastAsia="仿宋_GB2312"/>
                <w:sz w:val="32"/>
              </w:rPr>
              <w:t>①防波堤断面物模试验：进行渔港防波堤及码头典型结构断面波浪物理模型试验，测量各设计水位及重现期波浪条件下结构稳定性、越浪量和结构受力等；成果应满足本项目工程设计的需要，为设计提供科学依据；</w:t>
            </w:r>
          </w:p>
          <w:p>
            <w:pPr>
              <w:pStyle w:val="null3"/>
              <w:ind w:firstLine="640"/>
              <w:jc w:val="left"/>
            </w:pPr>
            <w:r>
              <w:rPr>
                <w:rFonts w:ascii="仿宋_GB2312" w:hAnsi="仿宋_GB2312" w:cs="仿宋_GB2312" w:eastAsia="仿宋_GB2312"/>
                <w:sz w:val="32"/>
              </w:rPr>
              <w:t>②工程波浪整体物模试验：进行渔港平面总体布置波浪整体物理模型试验，校核防波堤设计波浪要素，测量防波堤在不同波浪方向及条件下的越浪影响范围，测量港内波高分布，评估港内泊位处泊稳情况；成果应满足本项目工程设计的需要，为设计提供科学依据；</w:t>
            </w:r>
          </w:p>
          <w:p>
            <w:pPr>
              <w:pStyle w:val="null3"/>
              <w:ind w:firstLine="640"/>
              <w:jc w:val="both"/>
            </w:pPr>
            <w:r>
              <w:rPr>
                <w:rFonts w:ascii="仿宋_GB2312" w:hAnsi="仿宋_GB2312" w:cs="仿宋_GB2312" w:eastAsia="仿宋_GB2312"/>
                <w:sz w:val="32"/>
              </w:rPr>
              <w:t>③防波堤堤头局部整体模型试验：进行渔港防波堤堤头及口门局部区域波浪物理模型试验，测量堤头结构在不同波浪方向及条件下的稳定性，测量堤头附近水域波高变化情况；成果应满足本项目工程设计的需要，为设计提供科学依据；</w:t>
            </w:r>
          </w:p>
          <w:p>
            <w:pPr>
              <w:pStyle w:val="null3"/>
              <w:ind w:firstLine="640"/>
              <w:jc w:val="both"/>
            </w:pPr>
            <w:r>
              <w:rPr>
                <w:rFonts w:ascii="仿宋_GB2312" w:hAnsi="仿宋_GB2312" w:cs="仿宋_GB2312" w:eastAsia="仿宋_GB2312"/>
                <w:sz w:val="32"/>
              </w:rPr>
              <w:t>④疏浚物检测：开展本项目港池及航道区域的疏浚土典型理化性质的检测及分析，检测因子主要包括疏浚物的粒度和砷、镉、铬、铜、铅、汞、锌、有机碳、硫化物、油类等；成果应满足本项目满足本项目工程设计及环境影响评价的需要；</w:t>
            </w:r>
          </w:p>
          <w:p>
            <w:pPr>
              <w:pStyle w:val="null3"/>
              <w:ind w:firstLine="640"/>
              <w:jc w:val="left"/>
            </w:pPr>
            <w:r>
              <w:rPr>
                <w:rFonts w:ascii="仿宋_GB2312" w:hAnsi="仿宋_GB2312" w:cs="仿宋_GB2312" w:eastAsia="仿宋_GB2312"/>
                <w:sz w:val="32"/>
              </w:rPr>
              <w:t>⑤珊瑚礁及红树林调查：开展本项目评估范围内的海域珊瑚礁、陆域红树林的调查及分析；成果应满足本项目工程设计及环境影响评价的需要；</w:t>
            </w:r>
          </w:p>
          <w:p>
            <w:pPr>
              <w:pStyle w:val="null3"/>
              <w:ind w:firstLine="640"/>
              <w:jc w:val="left"/>
            </w:pPr>
            <w:r>
              <w:rPr>
                <w:rFonts w:ascii="仿宋_GB2312" w:hAnsi="仿宋_GB2312" w:cs="仿宋_GB2312" w:eastAsia="仿宋_GB2312"/>
                <w:sz w:val="32"/>
              </w:rPr>
              <w:t>⑥航道通航条件影响评价：根据国家和地方政府、行业有关法律、法规要求，论证项目对周边航线、航道的影响评估及措施；成果应为航道管理部门批复提供依据；</w:t>
            </w:r>
          </w:p>
          <w:p>
            <w:pPr>
              <w:pStyle w:val="null3"/>
              <w:ind w:firstLine="640"/>
              <w:jc w:val="left"/>
            </w:pPr>
            <w:r>
              <w:rPr>
                <w:rFonts w:ascii="仿宋_GB2312" w:hAnsi="仿宋_GB2312" w:cs="仿宋_GB2312" w:eastAsia="仿宋_GB2312"/>
                <w:sz w:val="32"/>
              </w:rPr>
              <w:t>⑦社会稳定风险评价：对本项目的合法性、合理性、可行性、可控性进行全面分析，根据分析评估结果，确定本项目的社会稳定风险等级及实施意见；成果应满足相关职能部门的需要；</w:t>
            </w:r>
          </w:p>
          <w:p>
            <w:pPr>
              <w:pStyle w:val="null3"/>
              <w:ind w:firstLine="640"/>
              <w:jc w:val="left"/>
            </w:pPr>
            <w:r>
              <w:rPr>
                <w:rFonts w:ascii="仿宋_GB2312" w:hAnsi="仿宋_GB2312" w:cs="仿宋_GB2312" w:eastAsia="仿宋_GB2312"/>
                <w:sz w:val="32"/>
              </w:rPr>
              <w:t>⑧渔港防台风等级评估：根据国家和地方政府、行业有关法律、法规要求，针对所处地区历史台风状况，根据渔港建筑物平面布置、主体结构等信息，以数值模拟为手段，分析港内波况、渔船泊稳安全等变化与风险；成果应满足本项目工程设计及渔业管理部门的需要。</w:t>
            </w:r>
          </w:p>
          <w:p>
            <w:pPr>
              <w:pStyle w:val="null3"/>
              <w:ind w:firstLine="640"/>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1.合同履行期限</w:t>
            </w:r>
          </w:p>
          <w:p>
            <w:pPr>
              <w:pStyle w:val="null3"/>
              <w:ind w:firstLine="640"/>
              <w:jc w:val="left"/>
            </w:pPr>
            <w:r>
              <w:rPr>
                <w:rFonts w:ascii="仿宋_GB2312" w:hAnsi="仿宋_GB2312" w:cs="仿宋_GB2312" w:eastAsia="仿宋_GB2312"/>
                <w:sz w:val="32"/>
              </w:rPr>
              <w:t>合同签订之日起</w:t>
            </w:r>
            <w:r>
              <w:rPr>
                <w:rFonts w:ascii="仿宋_GB2312" w:hAnsi="仿宋_GB2312" w:cs="仿宋_GB2312" w:eastAsia="仿宋_GB2312"/>
                <w:sz w:val="32"/>
              </w:rPr>
              <w:t>90日历天内提交成果资料，具体的服务期限以采购人的通知要求为准。</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3"/>
              <w:jc w:val="left"/>
            </w:pPr>
            <w:r>
              <w:rPr>
                <w:rFonts w:ascii="仿宋_GB2312" w:hAnsi="仿宋_GB2312" w:cs="仿宋_GB2312" w:eastAsia="仿宋_GB2312"/>
                <w:sz w:val="32"/>
                <w:b/>
              </w:rPr>
              <w:t>2.服务地点</w:t>
            </w:r>
          </w:p>
          <w:p>
            <w:pPr>
              <w:pStyle w:val="null3"/>
              <w:ind w:firstLine="643"/>
              <w:jc w:val="left"/>
            </w:pPr>
            <w:r>
              <w:rPr>
                <w:rFonts w:ascii="仿宋_GB2312" w:hAnsi="仿宋_GB2312" w:cs="仿宋_GB2312" w:eastAsia="仿宋_GB2312"/>
                <w:sz w:val="32"/>
              </w:rPr>
              <w:t>海南省海口市，具体以</w:t>
            </w:r>
            <w:r>
              <w:rPr>
                <w:rFonts w:ascii="仿宋_GB2312" w:hAnsi="仿宋_GB2312" w:cs="仿宋_GB2312" w:eastAsia="仿宋_GB2312"/>
                <w:sz w:val="32"/>
              </w:rPr>
              <w:t>采购人指定地点</w:t>
            </w:r>
            <w:r>
              <w:rPr>
                <w:rFonts w:ascii="仿宋_GB2312" w:hAnsi="仿宋_GB2312" w:cs="仿宋_GB2312" w:eastAsia="仿宋_GB2312"/>
                <w:sz w:val="32"/>
              </w:rPr>
              <w:t>为准</w:t>
            </w:r>
            <w:r>
              <w:rPr>
                <w:rFonts w:ascii="仿宋_GB2312" w:hAnsi="仿宋_GB2312" w:cs="仿宋_GB2312" w:eastAsia="仿宋_GB2312"/>
                <w:sz w:val="32"/>
              </w:rPr>
              <w:t>。</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3"/>
              <w:jc w:val="left"/>
            </w:pPr>
            <w:r>
              <w:rPr>
                <w:rFonts w:ascii="仿宋_GB2312" w:hAnsi="仿宋_GB2312" w:cs="仿宋_GB2312" w:eastAsia="仿宋_GB2312"/>
                <w:sz w:val="32"/>
                <w:b/>
              </w:rPr>
              <w:t>3.付款时间、方式及条件</w:t>
            </w:r>
          </w:p>
          <w:p>
            <w:pPr>
              <w:pStyle w:val="null3"/>
              <w:ind w:firstLine="640"/>
              <w:jc w:val="left"/>
            </w:pPr>
            <w:r>
              <w:rPr>
                <w:rFonts w:ascii="仿宋_GB2312" w:hAnsi="仿宋_GB2312" w:cs="仿宋_GB2312" w:eastAsia="仿宋_GB2312"/>
                <w:sz w:val="32"/>
              </w:rPr>
              <w:t>按项目进度为依据，提供相应的合法、有效的发票并通过采购人的验收后，由采购人通过银行转账方式进行支付。具体按采购人与成交供应商签订的合同实施。</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3"/>
              <w:jc w:val="left"/>
            </w:pPr>
            <w:r>
              <w:rPr>
                <w:rFonts w:ascii="仿宋_GB2312" w:hAnsi="仿宋_GB2312" w:cs="仿宋_GB2312" w:eastAsia="仿宋_GB2312"/>
                <w:sz w:val="32"/>
                <w:b/>
              </w:rPr>
              <w:t>4.项目验收方法及标准</w:t>
            </w:r>
          </w:p>
          <w:p>
            <w:pPr>
              <w:pStyle w:val="null3"/>
              <w:ind w:firstLine="640"/>
              <w:jc w:val="left"/>
            </w:pPr>
            <w:r>
              <w:rPr>
                <w:rFonts w:ascii="仿宋_GB2312" w:hAnsi="仿宋_GB2312" w:cs="仿宋_GB2312" w:eastAsia="仿宋_GB2312"/>
                <w:sz w:val="32"/>
              </w:rPr>
              <w:t>成交供应商</w:t>
            </w:r>
            <w:r>
              <w:rPr>
                <w:rFonts w:ascii="仿宋_GB2312" w:hAnsi="仿宋_GB2312" w:cs="仿宋_GB2312" w:eastAsia="仿宋_GB2312"/>
                <w:sz w:val="32"/>
              </w:rPr>
              <w:t>必须对招标范围内的各项内容做好协调统筹，各专题成果应符合国家现行有关技术规范标准，</w:t>
            </w:r>
            <w:r>
              <w:rPr>
                <w:rFonts w:ascii="仿宋_GB2312" w:hAnsi="仿宋_GB2312" w:cs="仿宋_GB2312" w:eastAsia="仿宋_GB2312"/>
                <w:sz w:val="32"/>
              </w:rPr>
              <w:t>成交供应商</w:t>
            </w:r>
            <w:r>
              <w:rPr>
                <w:rFonts w:ascii="仿宋_GB2312" w:hAnsi="仿宋_GB2312" w:cs="仿宋_GB2312" w:eastAsia="仿宋_GB2312"/>
                <w:sz w:val="32"/>
              </w:rPr>
              <w:t>对结果的公正性、科学性、准确性负法律责任。具体按采购文件、双方签订合同以及国家、地方和行业的相关政策和规定实施，项目服务工作质量需经采购人认可，项目最终成果须经相关行政主管部门、专家或业主对项目进行验收并通过。各专题成果应无条件满足设计及后续工作要求，进行全过程服务，同时需配合采购人进行相关行政主管部门的文件材料申报工作。</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其他资格条件承诺函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其他资格条件承诺函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投标人须具备省级及以上质量监督管理局颁发的CMA计量认证证书。</w:t>
            </w:r>
          </w:p>
        </w:tc>
        <w:tc>
          <w:tcPr>
            <w:tcW w:type="dxa" w:w="3322"/>
          </w:tcPr>
          <w:p>
            <w:pPr>
              <w:pStyle w:val="null3"/>
              <w:jc w:val="left"/>
            </w:pPr>
            <w:r>
              <w:rPr>
                <w:rFonts w:ascii="仿宋_GB2312" w:hAnsi="仿宋_GB2312" w:cs="仿宋_GB2312" w:eastAsia="仿宋_GB2312"/>
              </w:rPr>
              <w:t>提供相关证书复印件并加盖单位公章。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其他资格条件承诺函 商务应答表 自觉抵制政府采购领域商业贿赂行为承诺书 封面 商业信誉、财务会计制度、缴纳税收和社保的承诺函 具有独立承担民事责任的能力证明文件 竞争性磋商响应函 供应商承诺函 其他材料 投标（响应）报价明细表 供应商应提交的相关证明材料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其他材料 投标（响应）报价明细表 开标（报价）一览表 其他资格条件承诺函 商务应答表 供应商应提交的相关证明材料 封面 法定代表人资格证明书或法定代表人授权委托书 竞争性磋商响应函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竞争性磋商响应函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项目工作规划</w:t>
            </w:r>
          </w:p>
        </w:tc>
        <w:tc>
          <w:tcPr>
            <w:tcW w:type="dxa" w:w="2492"/>
          </w:tcPr>
          <w:p>
            <w:pPr>
              <w:pStyle w:val="null3"/>
              <w:jc w:val="left"/>
            </w:pPr>
            <w:r>
              <w:rPr>
                <w:rFonts w:ascii="仿宋_GB2312" w:hAnsi="仿宋_GB2312" w:cs="仿宋_GB2312" w:eastAsia="仿宋_GB2312"/>
              </w:rPr>
              <w:t>供应商根据本项目的采购需求，编制的该方案内容应至少包含：（1）项目总体工作思路；（2）各分项工作方案。评委对其进行综合评议，满分15分，每有一项缺项的扣7.5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项目总体分析</w:t>
            </w:r>
          </w:p>
        </w:tc>
        <w:tc>
          <w:tcPr>
            <w:tcW w:type="dxa" w:w="2492"/>
          </w:tcPr>
          <w:p>
            <w:pPr>
              <w:pStyle w:val="null3"/>
              <w:jc w:val="left"/>
            </w:pPr>
            <w:r>
              <w:rPr>
                <w:rFonts w:ascii="仿宋_GB2312" w:hAnsi="仿宋_GB2312" w:cs="仿宋_GB2312" w:eastAsia="仿宋_GB2312"/>
              </w:rPr>
              <w:t>供应商根据本项目的采购需求，编制的该方案内容应至少包含：（1）项目概况分析；（2）项目周边自然环境分析。评委对其进行综合评议，满分15分，每有一项缺项的扣7.5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项目进度安排</w:t>
            </w:r>
          </w:p>
        </w:tc>
        <w:tc>
          <w:tcPr>
            <w:tcW w:type="dxa" w:w="2492"/>
          </w:tcPr>
          <w:p>
            <w:pPr>
              <w:pStyle w:val="null3"/>
              <w:jc w:val="left"/>
            </w:pPr>
            <w:r>
              <w:rPr>
                <w:rFonts w:ascii="仿宋_GB2312" w:hAnsi="仿宋_GB2312" w:cs="仿宋_GB2312" w:eastAsia="仿宋_GB2312"/>
              </w:rPr>
              <w:t>供应商根据本项目的采购需求，编制的该方案内容应至少包含：（1）项目进度计划；（2）进度保证措施。评委对其进行综合评议，满分15分，每有一项缺项的扣7.5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项目服务质量保证</w:t>
            </w:r>
          </w:p>
        </w:tc>
        <w:tc>
          <w:tcPr>
            <w:tcW w:type="dxa" w:w="2492"/>
          </w:tcPr>
          <w:p>
            <w:pPr>
              <w:pStyle w:val="null3"/>
              <w:jc w:val="left"/>
            </w:pPr>
            <w:r>
              <w:rPr>
                <w:rFonts w:ascii="仿宋_GB2312" w:hAnsi="仿宋_GB2312" w:cs="仿宋_GB2312" w:eastAsia="仿宋_GB2312"/>
              </w:rPr>
              <w:t>供应商根据本项目的采购需求，编制的该方案内容应至少包含：（1）服务质量保证措施；（2）服务承诺；（3）后续服务承诺。评委对其进行综合评议，满分15分，每有一项缺项的扣5分；在供应商已提供的基础上，每项存在一处内容不完整或有缺陷的扣1分，扣完为止；未提供不得分。注：内容不完整或有缺陷是指：非专门针对本项目或不适用本项目需求的情形、套用其他项目资料、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项目团队人员配置</w:t>
            </w:r>
          </w:p>
        </w:tc>
        <w:tc>
          <w:tcPr>
            <w:tcW w:type="dxa" w:w="2492"/>
          </w:tcPr>
          <w:p>
            <w:pPr>
              <w:pStyle w:val="null3"/>
              <w:jc w:val="left"/>
            </w:pPr>
            <w:r>
              <w:rPr>
                <w:rFonts w:ascii="仿宋_GB2312" w:hAnsi="仿宋_GB2312" w:cs="仿宋_GB2312" w:eastAsia="仿宋_GB2312"/>
              </w:rPr>
              <w:t>1.供应商拟派项目负责人具备相关专业（水运工程、港口与航道工程或海洋类专业，下同）正高级（含）以上技术职称的得4分，具备相关专业高级（含）以上技术职称的得2分，具备相关专业中级技术职称的得1分。 2.供应商除项目负责人外拟派主要团队成员具备相关专业高级（含）以上技术职称的每1人得2分，具备相关专业中级技术职称的每1人得1分，本项满分10分。 证明材料：提供以上人员职称证复印件、身份证复印件和在供应商单位缴纳的2025年任意1个月社保证明复印件（带有社保单位印章）并加盖供应商公章。</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1.供应商承担过断面物理模型试验研究类似业绩的，每个得1分，本项满分2分。 2.供应商承担过整体物理模型试验研究类似业绩的，每个得1分，本项满分2分。 3.供应商承担过海洋环境检测（调查或监测）类似业绩的，每个得1分，本项满分2分。 4.供应商2020年1月1日至今承担过通航影响评价类似业绩的，每个得1分，本项满分2分。 5.供应商2020年1月1日至今承担过社会稳定风险评价或渔港防台风等级评估类似业绩的，每个得1分，本项满分2分。 证明材料：提供合同关键页复印件（合同封面、工作内容、合同金额和付款方式、合同签字盖章签署页等，如同一合同项目含有上述独立专题工作内容的可重复计分）并加盖供应商公章。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研究试验能力</w:t>
            </w:r>
          </w:p>
        </w:tc>
        <w:tc>
          <w:tcPr>
            <w:tcW w:type="dxa" w:w="2492"/>
          </w:tcPr>
          <w:p>
            <w:pPr>
              <w:pStyle w:val="null3"/>
              <w:jc w:val="left"/>
            </w:pPr>
            <w:r>
              <w:rPr>
                <w:rFonts w:ascii="仿宋_GB2312" w:hAnsi="仿宋_GB2312" w:cs="仿宋_GB2312" w:eastAsia="仿宋_GB2312"/>
              </w:rPr>
              <w:t>1.供应商具备工程咨询单位甲级资信证书的，得4分；具备工程咨询单位乙级资信证书的，得2分。 2.供应商2020年1月1日至今承担过的水运工程或海洋工程专业相关科研项目获得省部级及以上科学技术奖的，每提供1个得1分，本项满分2分。 证明材料：投标文件中提供相关证书复印件并加盖供应商公章。 注：奖项要求颁发单位为省人民政府（或行业主管行政机关）或相应的经中华人民共和国科学技术部批准的行业协会（学会）。</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详见附件：技术开发（委托）合同.docx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HNSHB-20250401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海口市镇海渔港建设项目前期工作研究试验技术服务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海口市镇海渔港建设项目前期工作研究试验技术服务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C01030100-工程和技术基础科学研究服务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详见附件：其他资格条件承诺函</w:t>
      </w:r>
    </w:p>
    <w:p>
      <w:pPr>
        <w:pStyle w:val="null3"/>
        <w:ind w:firstLine="960"/>
        <w:jc w:val="left"/>
      </w:pPr>
      <w:r>
        <w:rPr>
          <w:rFonts w:ascii="仿宋_GB2312" w:hAnsi="仿宋_GB2312" w:cs="仿宋_GB2312" w:eastAsia="仿宋_GB2312"/>
        </w:rPr>
        <w:t>详见附件：竞争性磋商响应函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