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海口市秀英区2024年度省级农田建后管护项目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[HNSX]20250200001[CS]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海口市秀英区农业农村局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海南圣新项目管理咨询有限公司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海口市秀英区农业农村局</w:t>
      </w:r>
      <w:r>
        <w:rPr>
          <w:rFonts w:ascii="仿宋_GB2312" w:hAnsi="仿宋_GB2312" w:cs="仿宋_GB2312" w:eastAsia="仿宋_GB2312"/>
        </w:rPr>
        <w:t xml:space="preserve"> 的委托， </w:t>
      </w:r>
      <w:r>
        <w:rPr>
          <w:rFonts w:ascii="仿宋_GB2312" w:hAnsi="仿宋_GB2312" w:cs="仿宋_GB2312" w:eastAsia="仿宋_GB2312"/>
        </w:rPr>
        <w:t>海南圣新项目管理咨询有限公司</w:t>
      </w:r>
      <w:r>
        <w:rPr>
          <w:rFonts w:ascii="仿宋_GB2312" w:hAnsi="仿宋_GB2312" w:cs="仿宋_GB2312" w:eastAsia="仿宋_GB2312"/>
        </w:rPr>
        <w:t xml:space="preserve"> 对 </w:t>
      </w:r>
      <w:r>
        <w:rPr>
          <w:rFonts w:ascii="仿宋_GB2312" w:hAnsi="仿宋_GB2312" w:cs="仿宋_GB2312" w:eastAsia="仿宋_GB2312"/>
        </w:rPr>
        <w:t>海口市秀英区2024年度省级农田建后管护项目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[HNSX]20250200001[CS]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海口市秀英区2024年度省级农田建后管护项目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3,200,000.00元</w:t>
      </w:r>
      <w:r>
        <w:rPr>
          <w:rFonts w:ascii="仿宋_GB2312" w:hAnsi="仿宋_GB2312" w:cs="仿宋_GB2312" w:eastAsia="仿宋_GB2312"/>
        </w:rPr>
        <w:t>叁佰贰拾万元整</w:t>
      </w:r>
    </w:p>
    <w:p>
      <w:pPr>
        <w:pStyle w:val="null3"/>
        <w:ind w:firstLine="480"/>
        <w:jc w:val="left"/>
      </w:pPr>
      <w:r>
        <w:rPr>
          <w:rFonts w:ascii="仿宋_GB2312" w:hAnsi="仿宋_GB2312" w:cs="仿宋_GB2312" w:eastAsia="仿宋_GB2312"/>
        </w:rPr>
        <w:t xml:space="preserve">5.最高限价（如有）： </w:t>
      </w:r>
      <w:r>
        <w:rPr>
          <w:rFonts w:ascii="仿宋_GB2312" w:hAnsi="仿宋_GB2312" w:cs="仿宋_GB2312" w:eastAsia="仿宋_GB2312"/>
        </w:rPr>
        <w:t>3,200,000.00元</w:t>
      </w:r>
    </w:p>
    <w:p>
      <w:pPr>
        <w:pStyle w:val="null3"/>
        <w:ind w:firstLine="480"/>
        <w:jc w:val="left"/>
      </w:pPr>
      <w:r>
        <w:rPr>
          <w:rFonts w:ascii="仿宋_GB2312" w:hAnsi="仿宋_GB2312" w:cs="仿宋_GB2312" w:eastAsia="仿宋_GB2312"/>
        </w:rPr>
        <w:t>6.采购需求：详见“第三章 采购需求 ”</w:t>
      </w:r>
    </w:p>
    <w:p>
      <w:pPr>
        <w:pStyle w:val="null3"/>
        <w:ind w:firstLine="480"/>
        <w:jc w:val="left"/>
      </w:pPr>
      <w:r>
        <w:rPr>
          <w:rFonts w:ascii="仿宋_GB2312" w:hAnsi="仿宋_GB2312" w:cs="仿宋_GB2312" w:eastAsia="仿宋_GB2312"/>
        </w:rPr>
        <w:t>7.合同履行期限：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自合同签订之日起9个月。</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1.本项目发布媒体为：海南省政府采购智慧云平台(https://ccgp-hainan.gov.cn/)。 2.有关本项目采购文件的补遗、澄清及变更信息以上述网站公告与下载为准，采购代理机构不再另行通知，采购文件与更正公告的内容相互矛盾时，以最后发出的更正公告内容为准。 3.本项目全程线上开标。如需云平台相关咨询，请拨打以下热线电话： 热线一：0898-66220881 热线二：0898-66220882。 4.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海口市秀英区农业农村局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海口市秀英区东南亚风情美食街D栋3楼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68663182</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海南圣新项目管理咨询有限公司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海南省海口市龙华区金贸街道中衡大厦16C</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莫工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13208903300</w:t>
      </w:r>
    </w:p>
    <w:p>
      <w:pPr>
        <w:pStyle w:val="null3"/>
        <w:jc w:val="left"/>
        <w:outlineLvl w:val="2"/>
      </w:pPr>
      <w:r>
        <w:rPr>
          <w:rFonts w:ascii="仿宋_GB2312" w:hAnsi="仿宋_GB2312" w:cs="仿宋_GB2312" w:eastAsia="仿宋_GB2312"/>
          <w:sz w:val="28"/>
          <w:b/>
        </w:rPr>
        <w:t>九、采购信息发布媒体：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从递交响应文件的截止之日起算的60天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代理服务费收费标准：参照《招标代理服务收费管理暂行办法》【（2002）1980号】优惠下浮 20%收取代理费用。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提供与参与本项目的供应商之间，单位负责人不为同一人，也不存在直接控股、管理关系的承诺书。（格式详见本文件）</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联系人：莫工</w:t>
      </w:r>
    </w:p>
    <w:p>
      <w:pPr>
        <w:pStyle w:val="null3"/>
        <w:jc w:val="left"/>
      </w:pPr>
      <w:r>
        <w:rPr>
          <w:rFonts w:ascii="仿宋_GB2312" w:hAnsi="仿宋_GB2312" w:cs="仿宋_GB2312" w:eastAsia="仿宋_GB2312"/>
        </w:rPr>
        <w:t>联系电话：0898-68501677</w:t>
      </w:r>
    </w:p>
    <w:p>
      <w:pPr>
        <w:pStyle w:val="null3"/>
        <w:jc w:val="left"/>
      </w:pPr>
      <w:r>
        <w:rPr>
          <w:rFonts w:ascii="仿宋_GB2312" w:hAnsi="仿宋_GB2312" w:cs="仿宋_GB2312" w:eastAsia="仿宋_GB2312"/>
        </w:rPr>
        <w:t>地址：海南省海口市龙华区金贸街道中衡大厦16C</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color w:val="000000"/>
        </w:rPr>
        <w:t>为加强农田基础设施管护工作，巩固农田建设成果，确保</w:t>
      </w:r>
      <w:r>
        <w:rPr>
          <w:rFonts w:ascii="仿宋_GB2312" w:hAnsi="仿宋_GB2312" w:cs="仿宋_GB2312" w:eastAsia="仿宋_GB2312"/>
          <w:sz w:val="20"/>
          <w:color w:val="000000"/>
        </w:rPr>
        <w:t>持续发挥效益，根据《海口市农业农村局关于印发〈海口市</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年度省级农田建后管护实施方案〉的通知》（海农〔</w:t>
      </w:r>
      <w:r>
        <w:rPr>
          <w:rFonts w:ascii="仿宋_GB2312" w:hAnsi="仿宋_GB2312" w:cs="仿宋_GB2312" w:eastAsia="仿宋_GB2312"/>
          <w:sz w:val="20"/>
          <w:color w:val="000000"/>
        </w:rPr>
        <w:t>2024</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417 </w:t>
      </w:r>
      <w:r>
        <w:rPr>
          <w:rFonts w:ascii="仿宋_GB2312" w:hAnsi="仿宋_GB2312" w:cs="仿宋_GB2312" w:eastAsia="仿宋_GB2312"/>
          <w:sz w:val="20"/>
          <w:color w:val="000000"/>
        </w:rPr>
        <w:t>号）文件精神，</w:t>
      </w:r>
      <w:r>
        <w:rPr>
          <w:rFonts w:ascii="仿宋_GB2312" w:hAnsi="仿宋_GB2312" w:cs="仿宋_GB2312" w:eastAsia="仿宋_GB2312"/>
          <w:sz w:val="20"/>
          <w:color w:val="000000"/>
        </w:rPr>
        <w:t>切实落实</w:t>
      </w:r>
      <w:r>
        <w:rPr>
          <w:rFonts w:ascii="仿宋_GB2312" w:hAnsi="仿宋_GB2312" w:cs="仿宋_GB2312" w:eastAsia="仿宋_GB2312"/>
          <w:sz w:val="20"/>
          <w:color w:val="000000"/>
        </w:rPr>
        <w:t>“藏粮于地、藏粮于技”战略，在补齐补强农田基础设施短板的同时，建立健全管护机制，落实管护主体和责任，促进农田基础设施管护工作走上规范化、专业化、制度化的轨道，推进农田管护按时序完成年度管护任务，不断提升农田管护质量，确保农田基础设施发挥长期效益，提高农业综合生产能力，促进农业增长、农民增收。</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3,200,000.00</w:t>
      </w:r>
    </w:p>
    <w:p>
      <w:pPr>
        <w:pStyle w:val="null3"/>
        <w:jc w:val="left"/>
      </w:pPr>
      <w:r>
        <w:rPr>
          <w:rFonts w:ascii="仿宋_GB2312" w:hAnsi="仿宋_GB2312" w:cs="仿宋_GB2312" w:eastAsia="仿宋_GB2312"/>
        </w:rPr>
        <w:t>采购包最高限价（元）: 3,200,000.00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40,000.00</w:t>
            </w:r>
          </w:p>
        </w:tc>
        <w:tc>
          <w:tcPr>
            <w:tcW w:type="dxa" w:w="831"/>
          </w:tcPr>
          <w:p>
            <w:pPr>
              <w:pStyle w:val="null3"/>
              <w:jc w:val="right"/>
            </w:pPr>
            <w:r>
              <w:rPr>
                <w:rFonts w:ascii="仿宋_GB2312" w:hAnsi="仿宋_GB2312" w:cs="仿宋_GB2312" w:eastAsia="仿宋_GB2312"/>
              </w:rPr>
              <w:t>3,200,000.00</w:t>
            </w:r>
          </w:p>
        </w:tc>
        <w:tc>
          <w:tcPr>
            <w:tcW w:type="dxa" w:w="831"/>
          </w:tcPr>
          <w:p>
            <w:pPr>
              <w:pStyle w:val="null3"/>
              <w:jc w:val="left"/>
            </w:pPr>
            <w:r>
              <w:rPr>
                <w:rFonts w:ascii="仿宋_GB2312" w:hAnsi="仿宋_GB2312" w:cs="仿宋_GB2312" w:eastAsia="仿宋_GB2312"/>
              </w:rPr>
              <w:t>亩</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亩</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3,200,000.00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0"/>
                <w:b/>
              </w:rPr>
              <w:t>一</w:t>
            </w:r>
            <w:r>
              <w:rPr>
                <w:rFonts w:ascii="仿宋_GB2312" w:hAnsi="仿宋_GB2312" w:cs="仿宋_GB2312" w:eastAsia="仿宋_GB2312"/>
                <w:sz w:val="20"/>
                <w:b/>
              </w:rPr>
              <w:t>、采购内容和</w:t>
            </w:r>
            <w:r>
              <w:rPr>
                <w:rFonts w:ascii="仿宋_GB2312" w:hAnsi="仿宋_GB2312" w:cs="仿宋_GB2312" w:eastAsia="仿宋_GB2312"/>
                <w:sz w:val="20"/>
                <w:b/>
              </w:rPr>
              <w:t>服务</w:t>
            </w:r>
            <w:r>
              <w:rPr>
                <w:rFonts w:ascii="仿宋_GB2312" w:hAnsi="仿宋_GB2312" w:cs="仿宋_GB2312" w:eastAsia="仿宋_GB2312"/>
                <w:sz w:val="20"/>
                <w:b/>
              </w:rPr>
              <w:t>要求</w:t>
            </w:r>
          </w:p>
          <w:p>
            <w:pPr>
              <w:pStyle w:val="null3"/>
              <w:ind w:firstLine="480"/>
              <w:jc w:val="left"/>
            </w:pPr>
            <w:r>
              <w:rPr>
                <w:rFonts w:ascii="仿宋_GB2312" w:hAnsi="仿宋_GB2312" w:cs="仿宋_GB2312" w:eastAsia="仿宋_GB2312"/>
                <w:sz w:val="20"/>
              </w:rPr>
              <w:t>2024年省级农田建后任务4万亩，其中东山镇管护面积30284亩；永兴镇管护面积2370亩；海秀镇管护面积650亩；石山镇管护面积4546亩；西秀镇管护面积2150亩。</w:t>
            </w:r>
          </w:p>
          <w:p>
            <w:pPr>
              <w:pStyle w:val="null3"/>
              <w:ind w:firstLine="400"/>
              <w:jc w:val="left"/>
            </w:pPr>
            <w:r>
              <w:rPr>
                <w:rFonts w:ascii="仿宋_GB2312" w:hAnsi="仿宋_GB2312" w:cs="仿宋_GB2312" w:eastAsia="仿宋_GB2312"/>
                <w:sz w:val="20"/>
              </w:rPr>
              <w:t>1.管护实施单位职责</w:t>
            </w:r>
          </w:p>
          <w:p>
            <w:pPr>
              <w:pStyle w:val="null3"/>
              <w:ind w:firstLine="400"/>
              <w:jc w:val="left"/>
            </w:pPr>
            <w:r>
              <w:rPr>
                <w:rFonts w:ascii="仿宋_GB2312" w:hAnsi="仿宋_GB2312" w:cs="仿宋_GB2312" w:eastAsia="仿宋_GB2312"/>
                <w:sz w:val="20"/>
              </w:rPr>
              <w:t>秀英</w:t>
            </w:r>
            <w:r>
              <w:rPr>
                <w:rFonts w:ascii="仿宋_GB2312" w:hAnsi="仿宋_GB2312" w:cs="仿宋_GB2312" w:eastAsia="仿宋_GB2312"/>
                <w:sz w:val="20"/>
              </w:rPr>
              <w:t>区农业农村局为管护主体，在市农业农村局的监督指导下，具体负责本辖区内农田基础设施管护工作。</w:t>
            </w:r>
          </w:p>
          <w:p>
            <w:pPr>
              <w:pStyle w:val="null3"/>
              <w:ind w:firstLine="400"/>
              <w:jc w:val="left"/>
            </w:pPr>
            <w:r>
              <w:rPr>
                <w:rFonts w:ascii="仿宋_GB2312" w:hAnsi="仿宋_GB2312" w:cs="仿宋_GB2312" w:eastAsia="仿宋_GB2312"/>
                <w:sz w:val="20"/>
              </w:rPr>
              <w:t>秀英</w:t>
            </w:r>
            <w:r>
              <w:rPr>
                <w:rFonts w:ascii="仿宋_GB2312" w:hAnsi="仿宋_GB2312" w:cs="仿宋_GB2312" w:eastAsia="仿宋_GB2312"/>
                <w:sz w:val="20"/>
              </w:rPr>
              <w:t>区农业农村局委托第三方专业管护机构对农田基础设施进行管护和日常维护运营，积极吸纳当地农民专业合作社成员、当地农民充实管护和运营队伍，并建立健全农民以工代赈台账。镇政府要引导受益农业企业、村民适当投资投劳。区农业农村局要规范招投标、管护质量、进度和项目资料归档等工作。</w:t>
            </w:r>
          </w:p>
          <w:p>
            <w:pPr>
              <w:pStyle w:val="null3"/>
              <w:ind w:firstLine="400"/>
              <w:jc w:val="left"/>
            </w:pPr>
            <w:r>
              <w:rPr>
                <w:rFonts w:ascii="仿宋_GB2312" w:hAnsi="仿宋_GB2312" w:cs="仿宋_GB2312" w:eastAsia="仿宋_GB2312"/>
                <w:sz w:val="20"/>
              </w:rPr>
              <w:t>管护实施机构（单位）要认真完成管护工作任务，保证农田设施正常运行，持续发挥效益；必须服从政府防汛抗旱的统一调度，并接受市、区农业农村局以及镇、村各级组织的监督；要严格遵守法律和行政法规有关规定，不得以任何理由擅自收取有关费用，不得擅自将工程及设备变卖，不得破坏水土资源和生态环境。</w:t>
            </w:r>
          </w:p>
          <w:p>
            <w:pPr>
              <w:pStyle w:val="null3"/>
              <w:ind w:firstLine="400"/>
              <w:jc w:val="left"/>
            </w:pPr>
            <w:r>
              <w:rPr>
                <w:rFonts w:ascii="仿宋_GB2312" w:hAnsi="仿宋_GB2312" w:cs="仿宋_GB2312" w:eastAsia="仿宋_GB2312"/>
                <w:sz w:val="20"/>
              </w:rPr>
              <w:t>2.管护范围</w:t>
            </w:r>
          </w:p>
          <w:p>
            <w:pPr>
              <w:pStyle w:val="null3"/>
              <w:ind w:firstLine="400"/>
              <w:jc w:val="left"/>
            </w:pPr>
            <w:r>
              <w:rPr>
                <w:rFonts w:ascii="仿宋_GB2312" w:hAnsi="仿宋_GB2312" w:cs="仿宋_GB2312" w:eastAsia="仿宋_GB2312"/>
                <w:sz w:val="20"/>
              </w:rPr>
              <w:t>以</w:t>
            </w:r>
            <w:r>
              <w:rPr>
                <w:rFonts w:ascii="仿宋_GB2312" w:hAnsi="仿宋_GB2312" w:cs="仿宋_GB2312" w:eastAsia="仿宋_GB2312"/>
                <w:sz w:val="20"/>
              </w:rPr>
              <w:t>2011年以来建成并上图入库的高标准农田为重点，同步对急需管护的其他农田实施管护。其中，2019年以来高标准农田建设项目为每年必须管护项目。</w:t>
            </w:r>
          </w:p>
          <w:p>
            <w:pPr>
              <w:pStyle w:val="null3"/>
              <w:ind w:firstLine="400"/>
              <w:jc w:val="left"/>
            </w:pPr>
            <w:r>
              <w:rPr>
                <w:rFonts w:ascii="仿宋_GB2312" w:hAnsi="仿宋_GB2312" w:cs="仿宋_GB2312" w:eastAsia="仿宋_GB2312"/>
                <w:sz w:val="20"/>
              </w:rPr>
              <w:t>3.管护内容</w:t>
            </w:r>
          </w:p>
          <w:p>
            <w:pPr>
              <w:pStyle w:val="null3"/>
              <w:ind w:firstLine="400"/>
              <w:jc w:val="left"/>
            </w:pPr>
            <w:r>
              <w:rPr>
                <w:rFonts w:ascii="仿宋_GB2312" w:hAnsi="仿宋_GB2312" w:cs="仿宋_GB2312" w:eastAsia="仿宋_GB2312"/>
                <w:sz w:val="20"/>
              </w:rPr>
              <w:t>田间渠系工程、田间排水工程、输配水管道工程及相关配套工程设施维修和养护，使其恢复正常使用状态；田间机耕道路维修和养护，农田防护和生态环境保持工程修复；公示标志标牌及配套设施维护。</w:t>
            </w:r>
          </w:p>
          <w:p>
            <w:pPr>
              <w:pStyle w:val="null3"/>
              <w:ind w:firstLine="400"/>
              <w:jc w:val="left"/>
            </w:pPr>
            <w:r>
              <w:rPr>
                <w:rFonts w:ascii="仿宋_GB2312" w:hAnsi="仿宋_GB2312" w:cs="仿宋_GB2312" w:eastAsia="仿宋_GB2312"/>
                <w:sz w:val="20"/>
                <w:b/>
              </w:rPr>
              <w:t>★</w:t>
            </w:r>
            <w:r>
              <w:rPr>
                <w:rFonts w:ascii="仿宋_GB2312" w:hAnsi="仿宋_GB2312" w:cs="仿宋_GB2312" w:eastAsia="仿宋_GB2312"/>
                <w:sz w:val="20"/>
              </w:rPr>
              <w:t>4.管护方式</w:t>
            </w:r>
          </w:p>
          <w:p>
            <w:pPr>
              <w:pStyle w:val="null3"/>
              <w:ind w:firstLine="400"/>
              <w:jc w:val="left"/>
            </w:pPr>
            <w:r>
              <w:rPr>
                <w:rFonts w:ascii="仿宋_GB2312" w:hAnsi="仿宋_GB2312" w:cs="仿宋_GB2312" w:eastAsia="仿宋_GB2312"/>
                <w:sz w:val="20"/>
              </w:rPr>
              <w:t>管护方式：管护分三个阶段，共</w:t>
            </w:r>
            <w:r>
              <w:rPr>
                <w:rFonts w:ascii="仿宋_GB2312" w:hAnsi="仿宋_GB2312" w:cs="仿宋_GB2312" w:eastAsia="仿宋_GB2312"/>
                <w:sz w:val="20"/>
              </w:rPr>
              <w:t>9 个月。第一阶段“强化管护期”3 个月，主要进行排灌沟渠、田间路（机耕路）、桥（涵）等基础设施的清杂、清表、清淤，基础设施维修、维护等工作；第二阶段“巩固管护期”3 个月，主要对基础设施管护查遗补缺、核验管护效果等；第三阶段“日常巡护期”2 至 3个月，主要对基础设施日常巡查，发现故障及时解决，并使设施保持良好状态。年初 3 月底前为“管护准备期”，主要进行方案制定、管护地块落实、招标和合同签订等工作，其中</w:t>
            </w:r>
            <w:r>
              <w:rPr>
                <w:rFonts w:ascii="仿宋_GB2312" w:hAnsi="仿宋_GB2312" w:cs="仿宋_GB2312" w:eastAsia="仿宋_GB2312"/>
                <w:sz w:val="20"/>
              </w:rPr>
              <w:t>海口</w:t>
            </w:r>
            <w:r>
              <w:rPr>
                <w:rFonts w:ascii="仿宋_GB2312" w:hAnsi="仿宋_GB2312" w:cs="仿宋_GB2312" w:eastAsia="仿宋_GB2312"/>
                <w:sz w:val="20"/>
              </w:rPr>
              <w:t>市农业农村局制定管护实施指导意见（方案）和筹集资金，</w:t>
            </w:r>
            <w:r>
              <w:rPr>
                <w:rFonts w:ascii="仿宋_GB2312" w:hAnsi="仿宋_GB2312" w:cs="仿宋_GB2312" w:eastAsia="仿宋_GB2312"/>
                <w:sz w:val="20"/>
              </w:rPr>
              <w:t>秀英区</w:t>
            </w:r>
            <w:r>
              <w:rPr>
                <w:rFonts w:ascii="仿宋_GB2312" w:hAnsi="仿宋_GB2312" w:cs="仿宋_GB2312" w:eastAsia="仿宋_GB2312"/>
                <w:sz w:val="20"/>
              </w:rPr>
              <w:t>区农业农村局根据</w:t>
            </w:r>
            <w:r>
              <w:rPr>
                <w:rFonts w:ascii="仿宋_GB2312" w:hAnsi="仿宋_GB2312" w:cs="仿宋_GB2312" w:eastAsia="仿宋_GB2312"/>
                <w:sz w:val="20"/>
              </w:rPr>
              <w:t>海口</w:t>
            </w:r>
            <w:r>
              <w:rPr>
                <w:rFonts w:ascii="仿宋_GB2312" w:hAnsi="仿宋_GB2312" w:cs="仿宋_GB2312" w:eastAsia="仿宋_GB2312"/>
                <w:sz w:val="20"/>
              </w:rPr>
              <w:t>市农业农村局制定的管护实施方案制定区级实施方案，签订双方管护合同等。</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rPr>
              <w:t>5.管护标准</w:t>
            </w:r>
          </w:p>
          <w:p>
            <w:pPr>
              <w:pStyle w:val="null3"/>
              <w:ind w:firstLine="480"/>
              <w:jc w:val="left"/>
            </w:pPr>
            <w:r>
              <w:rPr>
                <w:rFonts w:ascii="仿宋_GB2312" w:hAnsi="仿宋_GB2312" w:cs="仿宋_GB2312" w:eastAsia="仿宋_GB2312"/>
                <w:sz w:val="20"/>
              </w:rPr>
              <w:t>沟渠无堵塞、无遮塞、无杂草、无遮掩、沟渠堤列无损坏滑坡、塌陷，沟底无淤泥，草皮护坡整洁、干净；配套建筑物（桥、涵、闸、渡槽、排放水口等设施设备）。无损坏、无堵塞、无遮塞、无遮掩、无乱改造、无安全隐患；田间路、机耕路路面无坑凹、耕地不侵占、路旁无堆土粪、无堆柴草杂物、无垃圾、无人畜损坏。损毁的农田水利设施及附属设施要规范修复</w:t>
            </w:r>
            <w:r>
              <w:rPr>
                <w:rFonts w:ascii="仿宋_GB2312" w:hAnsi="仿宋_GB2312" w:cs="仿宋_GB2312" w:eastAsia="仿宋_GB2312"/>
                <w:sz w:val="20"/>
              </w:rPr>
              <w:t>和完善。。</w:t>
            </w:r>
          </w:p>
          <w:p>
            <w:pPr>
              <w:pStyle w:val="null3"/>
              <w:ind w:firstLine="400"/>
              <w:jc w:val="left"/>
            </w:pPr>
            <w:r>
              <w:rPr>
                <w:rFonts w:ascii="仿宋_GB2312" w:hAnsi="仿宋_GB2312" w:cs="仿宋_GB2312" w:eastAsia="仿宋_GB2312"/>
                <w:sz w:val="20"/>
              </w:rPr>
              <w:t>6.管护资金使用范围</w:t>
            </w:r>
          </w:p>
          <w:p>
            <w:pPr>
              <w:pStyle w:val="null3"/>
              <w:ind w:firstLine="400"/>
              <w:jc w:val="left"/>
            </w:pPr>
            <w:r>
              <w:rPr>
                <w:rFonts w:ascii="仿宋_GB2312" w:hAnsi="仿宋_GB2312" w:cs="仿宋_GB2312" w:eastAsia="仿宋_GB2312"/>
                <w:sz w:val="20"/>
              </w:rPr>
              <w:t>工程设计使用期内工程设施日常维修、局部整修和岁修，购置必要的小型简易管护工具、运行监测设备、维修材料、设备所需汽油，以及发放专职管护员的酬劳等；委托专业机构作为管护主体的，应依据合同内容合理支付费用。</w:t>
            </w:r>
          </w:p>
          <w:p>
            <w:pPr>
              <w:pStyle w:val="null3"/>
              <w:ind w:firstLine="480"/>
              <w:jc w:val="left"/>
            </w:pPr>
            <w:r>
              <w:rPr>
                <w:rFonts w:ascii="仿宋_GB2312" w:hAnsi="仿宋_GB2312" w:cs="仿宋_GB2312" w:eastAsia="仿宋_GB2312"/>
                <w:sz w:val="20"/>
              </w:rPr>
              <w:t>7.监督考核</w:t>
            </w:r>
          </w:p>
          <w:p>
            <w:pPr>
              <w:pStyle w:val="null3"/>
              <w:ind w:firstLine="480"/>
              <w:jc w:val="left"/>
            </w:pPr>
            <w:r>
              <w:rPr>
                <w:rFonts w:ascii="仿宋_GB2312" w:hAnsi="仿宋_GB2312" w:cs="仿宋_GB2312" w:eastAsia="仿宋_GB2312"/>
                <w:sz w:val="20"/>
              </w:rPr>
              <w:t>移交管护后，市、区农业农村局将加强监督、监管，定期和随机进行督促和检查。秀英区农业农村局将联合镇政府定期检查省级管护质量，组织阶段管护验收和完工验收，对存在的问题及时通报管护机构，督导其及时整改，阶段验收达不到要求的不予支付管护资金。</w:t>
            </w:r>
          </w:p>
          <w:p>
            <w:pPr>
              <w:pStyle w:val="null3"/>
              <w:ind w:firstLine="480"/>
              <w:jc w:val="left"/>
            </w:pPr>
            <w:r>
              <w:rPr>
                <w:rFonts w:ascii="仿宋_GB2312" w:hAnsi="仿宋_GB2312" w:cs="仿宋_GB2312" w:eastAsia="仿宋_GB2312"/>
                <w:sz w:val="20"/>
              </w:rPr>
              <w:t>8.</w:t>
            </w:r>
            <w:r>
              <w:rPr>
                <w:rFonts w:ascii="仿宋_GB2312" w:hAnsi="仿宋_GB2312" w:cs="仿宋_GB2312" w:eastAsia="仿宋_GB2312"/>
                <w:sz w:val="20"/>
              </w:rPr>
              <w:t>相关</w:t>
            </w:r>
            <w:r>
              <w:rPr>
                <w:rFonts w:ascii="仿宋_GB2312" w:hAnsi="仿宋_GB2312" w:cs="仿宋_GB2312" w:eastAsia="仿宋_GB2312"/>
                <w:sz w:val="20"/>
              </w:rPr>
              <w:t>要求</w:t>
            </w:r>
          </w:p>
          <w:p>
            <w:pPr>
              <w:pStyle w:val="null3"/>
              <w:ind w:firstLine="480"/>
              <w:jc w:val="left"/>
            </w:pPr>
            <w:r>
              <w:rPr>
                <w:rFonts w:ascii="仿宋_GB2312" w:hAnsi="仿宋_GB2312" w:cs="仿宋_GB2312" w:eastAsia="仿宋_GB2312"/>
                <w:sz w:val="20"/>
              </w:rPr>
              <w:t>秀英区农业农村局将指导管护单位结合项目实际情况，组织项目受益区群众，通过以工代赈方式，参与农田建后管护工作，并按时足额发放薪酬。以工代赈的人员及发放资金进行登记造册并逐级上报区、市农业农村局。</w:t>
            </w:r>
          </w:p>
          <w:p>
            <w:pPr>
              <w:pStyle w:val="null3"/>
              <w:ind w:firstLine="400"/>
              <w:jc w:val="left"/>
            </w:pPr>
            <w:r>
              <w:rPr>
                <w:rFonts w:ascii="仿宋_GB2312" w:hAnsi="仿宋_GB2312" w:cs="仿宋_GB2312" w:eastAsia="仿宋_GB2312"/>
                <w:sz w:val="20"/>
                <w:b/>
              </w:rPr>
              <w:t>二</w:t>
            </w:r>
            <w:r>
              <w:rPr>
                <w:rFonts w:ascii="仿宋_GB2312" w:hAnsi="仿宋_GB2312" w:cs="仿宋_GB2312" w:eastAsia="仿宋_GB2312"/>
                <w:sz w:val="20"/>
                <w:b/>
              </w:rPr>
              <w:t>、商务要求</w:t>
            </w:r>
          </w:p>
          <w:p>
            <w:pPr>
              <w:pStyle w:val="null3"/>
              <w:ind w:firstLine="480"/>
              <w:jc w:val="left"/>
            </w:pPr>
            <w:r>
              <w:rPr>
                <w:rFonts w:ascii="仿宋_GB2312" w:hAnsi="仿宋_GB2312" w:cs="仿宋_GB2312" w:eastAsia="仿宋_GB2312"/>
                <w:sz w:val="20"/>
                <w:b/>
              </w:rPr>
              <w:t>★</w:t>
            </w:r>
            <w:r>
              <w:rPr>
                <w:rFonts w:ascii="仿宋_GB2312" w:hAnsi="仿宋_GB2312" w:cs="仿宋_GB2312" w:eastAsia="仿宋_GB2312"/>
                <w:sz w:val="20"/>
              </w:rPr>
              <w:t>1.合同履行期限</w:t>
            </w:r>
          </w:p>
          <w:p>
            <w:pPr>
              <w:pStyle w:val="null3"/>
              <w:ind w:firstLine="480"/>
              <w:jc w:val="left"/>
            </w:pPr>
            <w:r>
              <w:rPr>
                <w:rFonts w:ascii="仿宋_GB2312" w:hAnsi="仿宋_GB2312" w:cs="仿宋_GB2312" w:eastAsia="仿宋_GB2312"/>
                <w:sz w:val="20"/>
              </w:rPr>
              <w:t>自合同签订之日起</w:t>
            </w:r>
            <w:r>
              <w:rPr>
                <w:rFonts w:ascii="仿宋_GB2312" w:hAnsi="仿宋_GB2312" w:cs="仿宋_GB2312" w:eastAsia="仿宋_GB2312"/>
                <w:sz w:val="20"/>
              </w:rPr>
              <w:t>9个月。</w:t>
            </w:r>
          </w:p>
          <w:p>
            <w:pPr>
              <w:pStyle w:val="null3"/>
              <w:ind w:firstLine="480"/>
              <w:jc w:val="left"/>
            </w:pPr>
            <w:r>
              <w:rPr>
                <w:rFonts w:ascii="仿宋_GB2312" w:hAnsi="仿宋_GB2312" w:cs="仿宋_GB2312" w:eastAsia="仿宋_GB2312"/>
                <w:sz w:val="20"/>
              </w:rPr>
              <w:t>2.服务地点</w:t>
            </w:r>
          </w:p>
          <w:p>
            <w:pPr>
              <w:pStyle w:val="null3"/>
              <w:ind w:firstLine="480"/>
              <w:jc w:val="left"/>
            </w:pPr>
            <w:r>
              <w:rPr>
                <w:rFonts w:ascii="仿宋_GB2312" w:hAnsi="仿宋_GB2312" w:cs="仿宋_GB2312" w:eastAsia="仿宋_GB2312"/>
                <w:sz w:val="20"/>
              </w:rPr>
              <w:t>采购人指定地点。</w:t>
            </w:r>
          </w:p>
          <w:p>
            <w:pPr>
              <w:pStyle w:val="null3"/>
              <w:ind w:firstLine="400"/>
              <w:jc w:val="left"/>
            </w:pPr>
            <w:r>
              <w:rPr>
                <w:rFonts w:ascii="仿宋_GB2312" w:hAnsi="仿宋_GB2312" w:cs="仿宋_GB2312" w:eastAsia="仿宋_GB2312"/>
                <w:sz w:val="20"/>
                <w:b/>
              </w:rPr>
              <w:t>★</w:t>
            </w:r>
            <w:r>
              <w:rPr>
                <w:rFonts w:ascii="仿宋_GB2312" w:hAnsi="仿宋_GB2312" w:cs="仿宋_GB2312" w:eastAsia="仿宋_GB2312"/>
                <w:sz w:val="20"/>
              </w:rPr>
              <w:t>3.</w:t>
            </w:r>
            <w:r>
              <w:rPr>
                <w:rFonts w:ascii="仿宋_GB2312" w:hAnsi="仿宋_GB2312" w:cs="仿宋_GB2312" w:eastAsia="仿宋_GB2312"/>
                <w:sz w:val="20"/>
              </w:rPr>
              <w:t>付款时间、方式及条件：管护资金分</w:t>
            </w:r>
            <w:r>
              <w:rPr>
                <w:rFonts w:ascii="仿宋_GB2312" w:hAnsi="仿宋_GB2312" w:cs="仿宋_GB2312" w:eastAsia="仿宋_GB2312"/>
                <w:sz w:val="20"/>
              </w:rPr>
              <w:t>4次支付。与管护单位签订管护合同后支付 30%；完成第一阶段任务后支付 30%；完成第二阶段任务后支付 30%；第三阶段完成后支付 10%。部分损坏农田水利设施需要较大维修费用的</w:t>
            </w:r>
            <w:r>
              <w:rPr>
                <w:rFonts w:ascii="仿宋_GB2312" w:hAnsi="仿宋_GB2312" w:cs="仿宋_GB2312" w:eastAsia="仿宋_GB2312"/>
                <w:sz w:val="20"/>
              </w:rPr>
              <w:t>情形，经秀英区区农业农村局研究，</w:t>
            </w:r>
            <w:r>
              <w:rPr>
                <w:rFonts w:ascii="仿宋_GB2312" w:hAnsi="仿宋_GB2312" w:cs="仿宋_GB2312" w:eastAsia="仿宋_GB2312"/>
                <w:sz w:val="20"/>
              </w:rPr>
              <w:t>可以部分统筹使用管护资金予以维护</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b/>
              </w:rPr>
              <w:t>★</w:t>
            </w:r>
            <w:r>
              <w:rPr>
                <w:rFonts w:ascii="仿宋_GB2312" w:hAnsi="仿宋_GB2312" w:cs="仿宋_GB2312" w:eastAsia="仿宋_GB2312"/>
                <w:sz w:val="20"/>
              </w:rPr>
              <w:t>4.项目验收方法及标准</w:t>
            </w:r>
          </w:p>
          <w:p>
            <w:pPr>
              <w:pStyle w:val="null3"/>
              <w:ind w:firstLine="480"/>
              <w:jc w:val="left"/>
            </w:pPr>
            <w:r>
              <w:rPr>
                <w:rFonts w:ascii="仿宋_GB2312" w:hAnsi="仿宋_GB2312" w:cs="仿宋_GB2312" w:eastAsia="仿宋_GB2312"/>
                <w:sz w:val="20"/>
              </w:rPr>
              <w:t>项目服务成果具体按双方签订合同、采购文件、成交供应商响应文件以及国家、地方和行业的相关规范标准、政策和规定实施，项目服务工作质量需经采购人认可，并经采购人对项目进行验收通过。</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b/>
              </w:rPr>
              <w:t>★</w:t>
            </w:r>
            <w:r>
              <w:rPr>
                <w:rFonts w:ascii="仿宋_GB2312" w:hAnsi="仿宋_GB2312" w:cs="仿宋_GB2312" w:eastAsia="仿宋_GB2312"/>
                <w:sz w:val="20"/>
              </w:rPr>
              <w:t>5.其他要求</w:t>
            </w:r>
          </w:p>
          <w:p>
            <w:pPr>
              <w:pStyle w:val="null3"/>
              <w:jc w:val="left"/>
            </w:pPr>
            <w:r>
              <w:rPr>
                <w:rFonts w:ascii="仿宋_GB2312" w:hAnsi="仿宋_GB2312" w:cs="仿宋_GB2312" w:eastAsia="仿宋_GB2312"/>
                <w:sz w:val="20"/>
              </w:rPr>
              <w:t xml:space="preserve">   （</w:t>
            </w:r>
            <w:r>
              <w:rPr>
                <w:rFonts w:ascii="仿宋_GB2312" w:hAnsi="仿宋_GB2312" w:cs="仿宋_GB2312" w:eastAsia="仿宋_GB2312"/>
                <w:sz w:val="20"/>
              </w:rPr>
              <w:t>1）</w:t>
            </w:r>
            <w:r>
              <w:rPr>
                <w:rFonts w:ascii="仿宋_GB2312" w:hAnsi="仿宋_GB2312" w:cs="仿宋_GB2312" w:eastAsia="仿宋_GB2312"/>
                <w:sz w:val="20"/>
              </w:rPr>
              <w:t>供应商</w:t>
            </w:r>
            <w:r>
              <w:rPr>
                <w:rFonts w:ascii="仿宋_GB2312" w:hAnsi="仿宋_GB2312" w:cs="仿宋_GB2312" w:eastAsia="仿宋_GB2312"/>
                <w:sz w:val="20"/>
              </w:rPr>
              <w:t>报价不得高于采购预算金额，每亩管护资金</w:t>
            </w:r>
            <w:r>
              <w:rPr>
                <w:rFonts w:ascii="仿宋_GB2312" w:hAnsi="仿宋_GB2312" w:cs="仿宋_GB2312" w:eastAsia="仿宋_GB2312"/>
                <w:sz w:val="20"/>
              </w:rPr>
              <w:t>不得超过</w:t>
            </w:r>
            <w:r>
              <w:rPr>
                <w:rFonts w:ascii="仿宋_GB2312" w:hAnsi="仿宋_GB2312" w:cs="仿宋_GB2312" w:eastAsia="仿宋_GB2312"/>
                <w:sz w:val="20"/>
              </w:rPr>
              <w:t>80元</w:t>
            </w:r>
            <w:r>
              <w:rPr>
                <w:rFonts w:ascii="仿宋_GB2312" w:hAnsi="仿宋_GB2312" w:cs="仿宋_GB2312" w:eastAsia="仿宋_GB2312"/>
                <w:sz w:val="20"/>
              </w:rPr>
              <w:t>。</w:t>
            </w:r>
            <w:r>
              <w:rPr>
                <w:rFonts w:ascii="仿宋_GB2312" w:hAnsi="仿宋_GB2312" w:cs="仿宋_GB2312" w:eastAsia="仿宋_GB2312"/>
                <w:sz w:val="20"/>
              </w:rPr>
              <w:t>报价应为履行项目一切相关费用的包干</w:t>
            </w:r>
            <w:r>
              <w:rPr>
                <w:rFonts w:ascii="仿宋_GB2312" w:hAnsi="仿宋_GB2312" w:cs="仿宋_GB2312" w:eastAsia="仿宋_GB2312"/>
                <w:sz w:val="20"/>
              </w:rPr>
              <w:t>价，应包含上述所有服务内容及要求。</w:t>
            </w:r>
          </w:p>
          <w:p>
            <w:pPr>
              <w:pStyle w:val="null3"/>
              <w:jc w:val="both"/>
            </w:pPr>
            <w:r>
              <w:rPr>
                <w:rFonts w:ascii="仿宋_GB2312" w:hAnsi="仿宋_GB2312" w:cs="仿宋_GB2312" w:eastAsia="仿宋_GB2312"/>
                <w:sz w:val="20"/>
              </w:rPr>
              <w:t xml:space="preserve">  （</w:t>
            </w:r>
            <w:r>
              <w:rPr>
                <w:rFonts w:ascii="仿宋_GB2312" w:hAnsi="仿宋_GB2312" w:cs="仿宋_GB2312" w:eastAsia="仿宋_GB2312"/>
                <w:sz w:val="20"/>
              </w:rPr>
              <w:t>2）</w:t>
            </w:r>
            <w:r>
              <w:rPr>
                <w:rFonts w:ascii="仿宋_GB2312" w:hAnsi="仿宋_GB2312" w:cs="仿宋_GB2312" w:eastAsia="仿宋_GB2312"/>
                <w:sz w:val="20"/>
              </w:rPr>
              <w:t>供应商可自行踏勘现场，有关费用自理，踏勘期间发生的意外自负。采购人不承担供应商踏勘现场所发生的任何费用、责任和风险。</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（2）其他在成交结果公示期间，采购人有权对成交候选人的资质证书等进行核查，如发现与其响应文件中的描述不一，采购人、代理机构将报相关主管部门严肃处理。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供应商承诺函 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供应商承诺函 其他材料 商务应答表 供应商应提交的相关证明材料 无重大违法记录声明函 自觉抵制政府采购领域商业贿赂行为承诺书 商业信誉、财务会计制度、缴纳税收和社保的承诺函 法定代表人资格证明书或法定代表人授权委托书 封面 具有独立承担民事责任的能力证明文件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相关条款承诺书</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 相关条款承诺书</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商务部分20.00分</w:t>
            </w:r>
          </w:p>
          <w:p>
            <w:pPr>
              <w:pStyle w:val="null3"/>
              <w:jc w:val="left"/>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项目总体理解</w:t>
            </w:r>
          </w:p>
        </w:tc>
        <w:tc>
          <w:tcPr>
            <w:tcW w:type="dxa" w:w="2492"/>
          </w:tcPr>
          <w:p>
            <w:pPr>
              <w:pStyle w:val="null3"/>
              <w:jc w:val="left"/>
            </w:pPr>
            <w:r>
              <w:rPr>
                <w:rFonts w:ascii="仿宋_GB2312" w:hAnsi="仿宋_GB2312" w:cs="仿宋_GB2312" w:eastAsia="仿宋_GB2312"/>
              </w:rPr>
              <w:t>供应商根据本项目的采购需求，编制的项目总体理解内容应至少包含：（1）总体目标，（2）补助资金标准，（3）管护和运营模式，（4）管护主体和管护实施单位，（5）管护范围和主要内容，（6）管护资金和支付方式。评委对其进行综合评议，满分15分，每有一项缺项的扣2.5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项目实施方案与技术措施</w:t>
            </w:r>
          </w:p>
        </w:tc>
        <w:tc>
          <w:tcPr>
            <w:tcW w:type="dxa" w:w="2492"/>
          </w:tcPr>
          <w:p>
            <w:pPr>
              <w:pStyle w:val="null3"/>
              <w:jc w:val="left"/>
            </w:pPr>
            <w:r>
              <w:rPr>
                <w:rFonts w:ascii="仿宋_GB2312" w:hAnsi="仿宋_GB2312" w:cs="仿宋_GB2312" w:eastAsia="仿宋_GB2312"/>
              </w:rPr>
              <w:t>供应商根据本项目的采购需求，编制的项目实施方案与技术措施应至少包含：（1）管护内容和标准，（2）管护实施计划和步骤，（3）管护队伍，（4）管护方式，（5）管护人员职责。评委对其进行综合评议，满分15分，每有一项缺项的扣3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供应商根据本项目的采购需求，编制的安全管理体系与措施应至少包含：（1）项目安全风险，（2）安全生产组织机构，（3）安全生产职责，（4）常见事故处理措施。评委对其进行综合评议，满分10分，每有一项缺项的扣2.5分；在供应商已提供的基础上，每项存在一处内容不完整或有缺陷的扣1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项目应急预案</w:t>
            </w:r>
          </w:p>
        </w:tc>
        <w:tc>
          <w:tcPr>
            <w:tcW w:type="dxa" w:w="2492"/>
          </w:tcPr>
          <w:p>
            <w:pPr>
              <w:pStyle w:val="null3"/>
              <w:jc w:val="left"/>
            </w:pPr>
            <w:r>
              <w:rPr>
                <w:rFonts w:ascii="仿宋_GB2312" w:hAnsi="仿宋_GB2312" w:cs="仿宋_GB2312" w:eastAsia="仿宋_GB2312"/>
              </w:rPr>
              <w:t>供应商根据本项目的采购需求，编制的项目应急预案应至少包含：（1）应急指挥体系与职责，（2）监测预警，（3）应急响应处置程序，（4）救援措施，（5）保障要求。评委对其进行综合评议，满分10分，每有一项缺项的扣2分；在供应商已提供的基础上，每项存在一处内容不完整或有缺陷的扣0.5分，扣完为止；未提供不得分。注：内容不完整或有缺陷是指：非专门针对本项目或不适用本项目需求的情形、套用其他项目方案、内容前后矛盾、涉及的规范及标准错误等及其他情形。</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后续服务方案</w:t>
            </w:r>
          </w:p>
        </w:tc>
        <w:tc>
          <w:tcPr>
            <w:tcW w:type="dxa" w:w="2492"/>
          </w:tcPr>
          <w:p>
            <w:pPr>
              <w:pStyle w:val="null3"/>
              <w:jc w:val="left"/>
            </w:pPr>
            <w:r>
              <w:rPr>
                <w:rFonts w:ascii="仿宋_GB2312" w:hAnsi="仿宋_GB2312" w:cs="仿宋_GB2312" w:eastAsia="仿宋_GB2312"/>
              </w:rPr>
              <w:t>1.供应商提供的后续服务体系完善，响应时间迅速；后续服务体系及人员配置合理、措施有力、后续服务承诺优越的，得10分； 2.供应商提供的后续服务体系一般，响应时间普通；后续服务体系及人员配置基本齐全、措施一般、后续服务承诺不完善的，得7分； 3.供应商提供的后续服务方案较差、响应时间过长、后续服务体系欠缺得 3分； 4.不提供者不得分。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项目团队人员配置</w:t>
            </w:r>
          </w:p>
        </w:tc>
        <w:tc>
          <w:tcPr>
            <w:tcW w:type="dxa" w:w="2492"/>
          </w:tcPr>
          <w:p>
            <w:pPr>
              <w:pStyle w:val="null3"/>
              <w:jc w:val="left"/>
            </w:pPr>
            <w:r>
              <w:rPr>
                <w:rFonts w:ascii="仿宋_GB2312" w:hAnsi="仿宋_GB2312" w:cs="仿宋_GB2312" w:eastAsia="仿宋_GB2312"/>
              </w:rPr>
              <w:t>1.项目负责人（本项满分2分）： 拟派项目负责人具有二级注册建造师及以上证书的得2分。 2.项目其他团队人员（本项满分10分）： 根据供应商拟投入的服务团队人员配备进行评分：配备项目技术负责人1名得2分；每配备管护人员1名得1分，管护人员满分8分。 证明材料：项目负责人须提供证书证明材料复印件并加盖公章，以上人员均须提供供应商自2024年6月1日至今任意1个月为其缴纳的社保证明材料并加盖供应商公章。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2020年1月1日以来供应商承接过与本项目类似的农田管护服务或农田水利项目业绩的，每提供一个得2分，满分8分。 证明材料：提供合同关键页复印件（合同封面、工作内容、合同金额、合同签字盖章签署页等）并加盖供应商公章。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[HNSX]20250200001[CS]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海口市秀英区2024年度省级农田建后管护项目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海口市秀英区2024年度省级农田建后管护项目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40000.00亩</w:t>
            </w:r>
          </w:p>
        </w:tc>
        <w:tc>
          <w:tcPr>
            <w:tcW w:type="dxa" w:w="1038"/>
          </w:tcPr>
          <w:p>
            <w:pPr>
              <w:pStyle w:val="null3"/>
              <w:jc w:val="left"/>
            </w:pPr>
            <w:r>
              <w:rPr>
                <w:rFonts w:ascii="仿宋_GB2312" w:hAnsi="仿宋_GB2312" w:cs="仿宋_GB2312" w:eastAsia="仿宋_GB2312"/>
              </w:rPr>
              <w:t xml:space="preserve"> 3200000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详见附件：相关条款承诺书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