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FC2FA">
      <w:pPr>
        <w:spacing w:before="156" w:beforeLines="50" w:after="156" w:afterLines="50" w:line="360" w:lineRule="auto"/>
        <w:jc w:val="center"/>
        <w:outlineLvl w:val="0"/>
        <w:rPr>
          <w:rStyle w:val="4"/>
          <w:rFonts w:hint="eastAsia" w:ascii="宋体" w:hAnsi="宋体" w:eastAsia="宋体" w:cs="宋体"/>
          <w:b/>
          <w:color w:val="auto"/>
          <w:sz w:val="44"/>
          <w:szCs w:val="44"/>
          <w:highlight w:val="none"/>
        </w:rPr>
      </w:pPr>
      <w:r>
        <w:rPr>
          <w:rStyle w:val="4"/>
          <w:rFonts w:hint="eastAsia" w:ascii="宋体" w:hAnsi="宋体" w:eastAsia="宋体" w:cs="宋体"/>
          <w:b/>
          <w:color w:val="auto"/>
          <w:sz w:val="44"/>
          <w:szCs w:val="44"/>
          <w:highlight w:val="none"/>
        </w:rPr>
        <w:t>合同条款及格式（仅供参考）</w:t>
      </w:r>
    </w:p>
    <w:p w14:paraId="262537D9">
      <w:pPr>
        <w:pStyle w:val="5"/>
        <w:numPr>
          <w:ilvl w:val="0"/>
          <w:numId w:val="0"/>
        </w:numPr>
        <w:spacing w:line="540" w:lineRule="exact"/>
        <w:jc w:val="center"/>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（仅供参考，具体的合同条款由采购人与中标人在合同中约定</w:t>
      </w:r>
      <w:r>
        <w:rPr>
          <w:rFonts w:hint="eastAsia" w:ascii="仿宋" w:hAnsi="仿宋" w:eastAsia="仿宋" w:cs="仿宋"/>
          <w:b/>
          <w:color w:val="auto"/>
          <w:sz w:val="28"/>
          <w:szCs w:val="28"/>
          <w:highlight w:val="none"/>
          <w:lang w:eastAsia="zh-CN"/>
        </w:rPr>
        <w:t>）</w:t>
      </w:r>
    </w:p>
    <w:p w14:paraId="0A54D735">
      <w:pPr>
        <w:pStyle w:val="5"/>
        <w:numPr>
          <w:ilvl w:val="0"/>
          <w:numId w:val="0"/>
        </w:numPr>
        <w:spacing w:line="540" w:lineRule="exact"/>
        <w:jc w:val="both"/>
        <w:rPr>
          <w:rFonts w:hint="eastAsia" w:ascii="仿宋" w:hAnsi="仿宋" w:eastAsia="仿宋" w:cs="仿宋"/>
          <w:b/>
          <w:color w:val="auto"/>
          <w:sz w:val="44"/>
          <w:szCs w:val="44"/>
          <w:highlight w:val="none"/>
        </w:rPr>
      </w:pPr>
    </w:p>
    <w:p w14:paraId="0581A75A">
      <w:pPr>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甲方:</w:t>
      </w:r>
      <w:r>
        <w:rPr>
          <w:rFonts w:hint="eastAsia" w:ascii="仿宋" w:hAnsi="仿宋" w:eastAsia="仿宋" w:cs="仿宋"/>
          <w:b/>
          <w:bCs/>
          <w:color w:val="auto"/>
          <w:sz w:val="24"/>
          <w:highlight w:val="none"/>
        </w:rPr>
        <w:t xml:space="preserve"> </w:t>
      </w:r>
      <w:r>
        <w:rPr>
          <w:rFonts w:hint="eastAsia" w:ascii="仿宋" w:hAnsi="仿宋" w:eastAsia="仿宋" w:cs="仿宋"/>
          <w:b/>
          <w:color w:val="auto"/>
          <w:sz w:val="24"/>
          <w:highlight w:val="none"/>
          <w:u w:val="single"/>
        </w:rPr>
        <w:t xml:space="preserve">                            </w:t>
      </w:r>
    </w:p>
    <w:p w14:paraId="18E29C1D">
      <w:pPr>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乙方:</w:t>
      </w:r>
      <w:r>
        <w:rPr>
          <w:rFonts w:hint="eastAsia" w:ascii="仿宋" w:hAnsi="仿宋" w:eastAsia="仿宋" w:cs="仿宋"/>
          <w:b/>
          <w:color w:val="auto"/>
          <w:sz w:val="24"/>
          <w:highlight w:val="none"/>
        </w:rPr>
        <w:t xml:space="preserve">  </w:t>
      </w:r>
      <w:r>
        <w:rPr>
          <w:rFonts w:hint="eastAsia" w:ascii="仿宋" w:hAnsi="仿宋" w:eastAsia="仿宋" w:cs="仿宋"/>
          <w:b/>
          <w:color w:val="auto"/>
          <w:sz w:val="24"/>
          <w:highlight w:val="none"/>
          <w:u w:val="single"/>
        </w:rPr>
        <w:t xml:space="preserve">                           </w:t>
      </w:r>
    </w:p>
    <w:p w14:paraId="2BD2861F">
      <w:pPr>
        <w:rPr>
          <w:rFonts w:hint="eastAsia" w:ascii="仿宋" w:hAnsi="仿宋" w:eastAsia="仿宋" w:cs="仿宋"/>
          <w:b/>
          <w:color w:val="auto"/>
          <w:sz w:val="24"/>
          <w:highlight w:val="none"/>
          <w:u w:val="single"/>
        </w:rPr>
      </w:pPr>
    </w:p>
    <w:p w14:paraId="7C4453EF">
      <w:pPr>
        <w:rPr>
          <w:rFonts w:hint="eastAsia" w:ascii="仿宋" w:hAnsi="仿宋" w:eastAsia="仿宋" w:cs="仿宋"/>
          <w:color w:val="auto"/>
          <w:sz w:val="24"/>
          <w:highlight w:val="none"/>
        </w:rPr>
      </w:pPr>
      <w:r>
        <w:rPr>
          <w:rFonts w:hint="eastAsia" w:ascii="仿宋" w:hAnsi="仿宋" w:eastAsia="仿宋" w:cs="仿宋"/>
          <w:color w:val="auto"/>
          <w:sz w:val="24"/>
          <w:highlight w:val="none"/>
        </w:rPr>
        <w:t>甲乙双方根据</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（项目编号:  ）</w:t>
      </w:r>
    </w:p>
    <w:p w14:paraId="1FEEBAE5">
      <w:pP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一、合同标的及金额等(详见附件清单)</w:t>
      </w:r>
    </w:p>
    <w:tbl>
      <w:tblPr>
        <w:tblStyle w:val="2"/>
        <w:tblW w:w="8756" w:type="dxa"/>
        <w:tblInd w:w="-150" w:type="dxa"/>
        <w:tblLayout w:type="fixed"/>
        <w:tblCellMar>
          <w:top w:w="0" w:type="dxa"/>
          <w:left w:w="30" w:type="dxa"/>
          <w:bottom w:w="0" w:type="dxa"/>
          <w:right w:w="30" w:type="dxa"/>
        </w:tblCellMar>
      </w:tblPr>
      <w:tblGrid>
        <w:gridCol w:w="623"/>
        <w:gridCol w:w="1254"/>
        <w:gridCol w:w="2019"/>
        <w:gridCol w:w="1306"/>
        <w:gridCol w:w="969"/>
        <w:gridCol w:w="1464"/>
        <w:gridCol w:w="1121"/>
      </w:tblGrid>
      <w:tr w14:paraId="0E700810">
        <w:tblPrEx>
          <w:tblCellMar>
            <w:top w:w="0" w:type="dxa"/>
            <w:left w:w="30" w:type="dxa"/>
            <w:bottom w:w="0" w:type="dxa"/>
            <w:right w:w="30" w:type="dxa"/>
          </w:tblCellMar>
        </w:tblPrEx>
        <w:trPr>
          <w:trHeight w:val="1154" w:hRule="exact"/>
        </w:trPr>
        <w:tc>
          <w:tcPr>
            <w:tcW w:w="623" w:type="dxa"/>
            <w:tcBorders>
              <w:top w:val="single" w:color="auto" w:sz="8" w:space="0"/>
              <w:left w:val="single" w:color="auto" w:sz="8" w:space="0"/>
              <w:bottom w:val="single" w:color="auto" w:sz="8" w:space="0"/>
              <w:right w:val="single" w:color="auto" w:sz="8" w:space="0"/>
            </w:tcBorders>
            <w:noWrap w:val="0"/>
            <w:vAlign w:val="center"/>
          </w:tcPr>
          <w:p w14:paraId="6C1BDBF4">
            <w:pPr>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1254" w:type="dxa"/>
            <w:tcBorders>
              <w:top w:val="single" w:color="auto" w:sz="8" w:space="0"/>
              <w:left w:val="single" w:color="auto" w:sz="8" w:space="0"/>
              <w:bottom w:val="single" w:color="auto" w:sz="8" w:space="0"/>
              <w:right w:val="single" w:color="auto" w:sz="8" w:space="0"/>
            </w:tcBorders>
            <w:noWrap w:val="0"/>
            <w:vAlign w:val="center"/>
          </w:tcPr>
          <w:p w14:paraId="2B4475B1">
            <w:pPr>
              <w:widowControl/>
              <w:jc w:val="center"/>
              <w:textAlignment w:val="center"/>
              <w:rPr>
                <w:rFonts w:hint="eastAsia" w:ascii="仿宋" w:hAnsi="仿宋" w:eastAsia="仿宋" w:cs="仿宋"/>
                <w:b/>
                <w:color w:val="auto"/>
                <w:sz w:val="24"/>
                <w:highlight w:val="none"/>
              </w:rPr>
            </w:pPr>
            <w:r>
              <w:rPr>
                <w:rFonts w:hint="eastAsia" w:ascii="仿宋" w:hAnsi="仿宋" w:eastAsia="仿宋" w:cs="仿宋"/>
                <w:b/>
                <w:bCs/>
                <w:color w:val="auto"/>
                <w:kern w:val="0"/>
                <w:sz w:val="24"/>
                <w:highlight w:val="none"/>
                <w:lang w:bidi="ar"/>
              </w:rPr>
              <w:t>采购</w:t>
            </w:r>
            <w:r>
              <w:rPr>
                <w:rFonts w:hint="eastAsia" w:ascii="仿宋" w:hAnsi="仿宋" w:eastAsia="仿宋" w:cs="仿宋"/>
                <w:b/>
                <w:bCs/>
                <w:color w:val="auto"/>
                <w:kern w:val="0"/>
                <w:sz w:val="24"/>
                <w:highlight w:val="none"/>
                <w:lang w:val="en-US" w:eastAsia="zh-CN" w:bidi="ar"/>
              </w:rPr>
              <w:t>项目</w:t>
            </w:r>
          </w:p>
        </w:tc>
        <w:tc>
          <w:tcPr>
            <w:tcW w:w="2019" w:type="dxa"/>
            <w:tcBorders>
              <w:top w:val="single" w:color="auto" w:sz="8" w:space="0"/>
              <w:left w:val="single" w:color="auto" w:sz="8" w:space="0"/>
              <w:bottom w:val="single" w:color="auto" w:sz="8" w:space="0"/>
              <w:right w:val="single" w:color="auto" w:sz="8" w:space="0"/>
            </w:tcBorders>
            <w:noWrap w:val="0"/>
            <w:vAlign w:val="center"/>
          </w:tcPr>
          <w:p w14:paraId="27FC60A7">
            <w:pPr>
              <w:widowControl/>
              <w:jc w:val="center"/>
              <w:textAlignment w:val="center"/>
              <w:rPr>
                <w:rFonts w:hint="eastAsia" w:ascii="仿宋" w:hAnsi="仿宋" w:eastAsia="仿宋" w:cs="仿宋"/>
                <w:b/>
                <w:color w:val="auto"/>
                <w:sz w:val="24"/>
                <w:highlight w:val="none"/>
              </w:rPr>
            </w:pPr>
            <w:r>
              <w:rPr>
                <w:rFonts w:hint="eastAsia" w:ascii="仿宋" w:hAnsi="仿宋" w:eastAsia="仿宋" w:cs="仿宋"/>
                <w:b/>
                <w:bCs/>
                <w:color w:val="auto"/>
                <w:kern w:val="0"/>
                <w:sz w:val="24"/>
                <w:highlight w:val="none"/>
                <w:lang w:eastAsia="zh-CN" w:bidi="ar"/>
              </w:rPr>
              <w:t>功能</w:t>
            </w:r>
            <w:r>
              <w:rPr>
                <w:rFonts w:hint="eastAsia" w:ascii="仿宋" w:hAnsi="仿宋" w:eastAsia="仿宋" w:cs="仿宋"/>
                <w:b/>
                <w:bCs/>
                <w:color w:val="auto"/>
                <w:kern w:val="0"/>
                <w:sz w:val="24"/>
                <w:highlight w:val="none"/>
                <w:lang w:bidi="ar"/>
              </w:rPr>
              <w:t>描述</w:t>
            </w:r>
          </w:p>
        </w:tc>
        <w:tc>
          <w:tcPr>
            <w:tcW w:w="1306" w:type="dxa"/>
            <w:tcBorders>
              <w:top w:val="single" w:color="auto" w:sz="8" w:space="0"/>
              <w:left w:val="single" w:color="auto" w:sz="8" w:space="0"/>
              <w:bottom w:val="single" w:color="auto" w:sz="8" w:space="0"/>
              <w:right w:val="single" w:color="auto" w:sz="8" w:space="0"/>
            </w:tcBorders>
            <w:noWrap w:val="0"/>
            <w:vAlign w:val="center"/>
          </w:tcPr>
          <w:p w14:paraId="5766AD30">
            <w:pPr>
              <w:widowControl/>
              <w:jc w:val="center"/>
              <w:textAlignment w:val="center"/>
              <w:rPr>
                <w:rFonts w:hint="eastAsia" w:ascii="仿宋" w:hAnsi="仿宋" w:eastAsia="仿宋" w:cs="仿宋"/>
                <w:b/>
                <w:bCs/>
                <w:color w:val="auto"/>
                <w:kern w:val="0"/>
                <w:sz w:val="24"/>
                <w:highlight w:val="none"/>
                <w:lang w:bidi="ar"/>
              </w:rPr>
            </w:pPr>
            <w:r>
              <w:rPr>
                <w:rFonts w:hint="eastAsia" w:ascii="仿宋" w:hAnsi="仿宋" w:eastAsia="仿宋" w:cs="仿宋"/>
                <w:b/>
                <w:bCs/>
                <w:color w:val="auto"/>
                <w:kern w:val="0"/>
                <w:sz w:val="24"/>
                <w:highlight w:val="none"/>
                <w:lang w:bidi="ar"/>
              </w:rPr>
              <w:t>单价（元）</w:t>
            </w:r>
          </w:p>
        </w:tc>
        <w:tc>
          <w:tcPr>
            <w:tcW w:w="969" w:type="dxa"/>
            <w:tcBorders>
              <w:top w:val="single" w:color="auto" w:sz="8" w:space="0"/>
              <w:left w:val="single" w:color="auto" w:sz="8" w:space="0"/>
              <w:bottom w:val="single" w:color="auto" w:sz="8" w:space="0"/>
              <w:right w:val="single" w:color="auto" w:sz="8" w:space="0"/>
            </w:tcBorders>
            <w:noWrap w:val="0"/>
            <w:vAlign w:val="center"/>
          </w:tcPr>
          <w:p w14:paraId="259D9C40">
            <w:pPr>
              <w:widowControl/>
              <w:jc w:val="center"/>
              <w:textAlignment w:val="center"/>
              <w:rPr>
                <w:rFonts w:hint="eastAsia" w:ascii="仿宋" w:hAnsi="仿宋" w:eastAsia="仿宋" w:cs="仿宋"/>
                <w:b/>
                <w:bCs/>
                <w:color w:val="auto"/>
                <w:kern w:val="0"/>
                <w:sz w:val="24"/>
                <w:highlight w:val="none"/>
                <w:lang w:bidi="ar"/>
              </w:rPr>
            </w:pPr>
            <w:r>
              <w:rPr>
                <w:rFonts w:hint="eastAsia" w:ascii="仿宋" w:hAnsi="仿宋" w:eastAsia="仿宋" w:cs="仿宋"/>
                <w:b/>
                <w:bCs/>
                <w:color w:val="auto"/>
                <w:kern w:val="0"/>
                <w:sz w:val="24"/>
                <w:highlight w:val="none"/>
                <w:lang w:bidi="ar"/>
              </w:rPr>
              <w:t>数量</w:t>
            </w:r>
          </w:p>
        </w:tc>
        <w:tc>
          <w:tcPr>
            <w:tcW w:w="1464" w:type="dxa"/>
            <w:tcBorders>
              <w:top w:val="single" w:color="auto" w:sz="8" w:space="0"/>
              <w:left w:val="single" w:color="auto" w:sz="8" w:space="0"/>
              <w:bottom w:val="single" w:color="auto" w:sz="8" w:space="0"/>
              <w:right w:val="single" w:color="auto" w:sz="8" w:space="0"/>
            </w:tcBorders>
            <w:noWrap w:val="0"/>
            <w:vAlign w:val="center"/>
          </w:tcPr>
          <w:p w14:paraId="469ABFF6">
            <w:pPr>
              <w:widowControl/>
              <w:jc w:val="center"/>
              <w:textAlignment w:val="center"/>
              <w:rPr>
                <w:rFonts w:hint="eastAsia" w:ascii="仿宋" w:hAnsi="仿宋" w:eastAsia="仿宋" w:cs="仿宋"/>
                <w:b/>
                <w:bCs/>
                <w:color w:val="auto"/>
                <w:kern w:val="0"/>
                <w:sz w:val="24"/>
                <w:highlight w:val="none"/>
                <w:lang w:bidi="ar"/>
              </w:rPr>
            </w:pPr>
            <w:r>
              <w:rPr>
                <w:rFonts w:hint="eastAsia" w:ascii="仿宋" w:hAnsi="仿宋" w:eastAsia="仿宋" w:cs="仿宋"/>
                <w:b/>
                <w:bCs/>
                <w:color w:val="auto"/>
                <w:kern w:val="0"/>
                <w:sz w:val="24"/>
                <w:highlight w:val="none"/>
                <w:lang w:bidi="ar"/>
              </w:rPr>
              <w:t>合计（元）</w:t>
            </w:r>
          </w:p>
        </w:tc>
        <w:tc>
          <w:tcPr>
            <w:tcW w:w="1121" w:type="dxa"/>
            <w:tcBorders>
              <w:top w:val="single" w:color="auto" w:sz="8" w:space="0"/>
              <w:left w:val="single" w:color="auto" w:sz="8" w:space="0"/>
              <w:bottom w:val="single" w:color="auto" w:sz="8" w:space="0"/>
              <w:right w:val="single" w:color="auto" w:sz="8" w:space="0"/>
            </w:tcBorders>
            <w:noWrap w:val="0"/>
            <w:vAlign w:val="center"/>
          </w:tcPr>
          <w:p w14:paraId="3865B950">
            <w:pPr>
              <w:widowControl/>
              <w:jc w:val="center"/>
              <w:textAlignment w:val="center"/>
              <w:rPr>
                <w:rFonts w:hint="eastAsia" w:ascii="仿宋" w:hAnsi="仿宋" w:eastAsia="仿宋" w:cs="仿宋"/>
                <w:b/>
                <w:bCs/>
                <w:color w:val="auto"/>
                <w:kern w:val="0"/>
                <w:sz w:val="24"/>
                <w:highlight w:val="none"/>
                <w:lang w:bidi="ar"/>
              </w:rPr>
            </w:pPr>
            <w:r>
              <w:rPr>
                <w:rFonts w:hint="eastAsia" w:ascii="仿宋" w:hAnsi="仿宋" w:eastAsia="仿宋" w:cs="仿宋"/>
                <w:b/>
                <w:bCs/>
                <w:color w:val="auto"/>
                <w:kern w:val="0"/>
                <w:sz w:val="24"/>
                <w:highlight w:val="none"/>
                <w:lang w:bidi="ar"/>
              </w:rPr>
              <w:t>备注</w:t>
            </w:r>
          </w:p>
        </w:tc>
      </w:tr>
      <w:tr w14:paraId="238DB258">
        <w:tblPrEx>
          <w:tblCellMar>
            <w:top w:w="0" w:type="dxa"/>
            <w:left w:w="30" w:type="dxa"/>
            <w:bottom w:w="0" w:type="dxa"/>
            <w:right w:w="30" w:type="dxa"/>
          </w:tblCellMar>
        </w:tblPrEx>
        <w:trPr>
          <w:trHeight w:val="739" w:hRule="exact"/>
        </w:trPr>
        <w:tc>
          <w:tcPr>
            <w:tcW w:w="623" w:type="dxa"/>
            <w:tcBorders>
              <w:top w:val="single" w:color="auto" w:sz="8" w:space="0"/>
              <w:left w:val="single" w:color="auto" w:sz="8" w:space="0"/>
              <w:bottom w:val="single" w:color="auto" w:sz="8" w:space="0"/>
              <w:right w:val="single" w:color="auto" w:sz="8" w:space="0"/>
            </w:tcBorders>
            <w:noWrap w:val="0"/>
            <w:vAlign w:val="center"/>
          </w:tcPr>
          <w:p w14:paraId="1390AF52">
            <w:pP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254" w:type="dxa"/>
            <w:tcBorders>
              <w:top w:val="single" w:color="auto" w:sz="8" w:space="0"/>
              <w:left w:val="single" w:color="auto" w:sz="8" w:space="0"/>
              <w:bottom w:val="single" w:color="auto" w:sz="8" w:space="0"/>
              <w:right w:val="single" w:color="auto" w:sz="8" w:space="0"/>
            </w:tcBorders>
            <w:noWrap w:val="0"/>
            <w:vAlign w:val="bottom"/>
          </w:tcPr>
          <w:p w14:paraId="0CB0F2AF">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447C0B10">
            <w:pPr>
              <w:rPr>
                <w:rFonts w:hint="eastAsia" w:ascii="仿宋" w:hAnsi="仿宋" w:eastAsia="仿宋" w:cs="仿宋"/>
                <w:color w:val="auto"/>
                <w:sz w:val="24"/>
                <w:highlight w:val="none"/>
              </w:rPr>
            </w:pPr>
          </w:p>
        </w:tc>
        <w:tc>
          <w:tcPr>
            <w:tcW w:w="2019" w:type="dxa"/>
            <w:tcBorders>
              <w:top w:val="single" w:color="auto" w:sz="8" w:space="0"/>
              <w:left w:val="single" w:color="auto" w:sz="8" w:space="0"/>
              <w:bottom w:val="single" w:color="auto" w:sz="8" w:space="0"/>
              <w:right w:val="single" w:color="auto" w:sz="8" w:space="0"/>
            </w:tcBorders>
            <w:noWrap w:val="0"/>
            <w:vAlign w:val="center"/>
          </w:tcPr>
          <w:p w14:paraId="3A3856F9">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tc>
        <w:tc>
          <w:tcPr>
            <w:tcW w:w="1306" w:type="dxa"/>
            <w:tcBorders>
              <w:top w:val="single" w:color="auto" w:sz="8" w:space="0"/>
              <w:left w:val="single" w:color="auto" w:sz="8" w:space="0"/>
              <w:bottom w:val="single" w:color="auto" w:sz="8" w:space="0"/>
              <w:right w:val="single" w:color="auto" w:sz="8" w:space="0"/>
            </w:tcBorders>
            <w:noWrap w:val="0"/>
            <w:vAlign w:val="top"/>
          </w:tcPr>
          <w:p w14:paraId="3199CEB2">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tc>
        <w:tc>
          <w:tcPr>
            <w:tcW w:w="969" w:type="dxa"/>
            <w:tcBorders>
              <w:top w:val="single" w:color="auto" w:sz="8" w:space="0"/>
              <w:left w:val="single" w:color="auto" w:sz="8" w:space="0"/>
              <w:bottom w:val="single" w:color="auto" w:sz="8" w:space="0"/>
              <w:right w:val="single" w:color="auto" w:sz="8" w:space="0"/>
            </w:tcBorders>
            <w:noWrap w:val="0"/>
            <w:vAlign w:val="top"/>
          </w:tcPr>
          <w:p w14:paraId="6A9DA101">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tc>
        <w:tc>
          <w:tcPr>
            <w:tcW w:w="1464" w:type="dxa"/>
            <w:tcBorders>
              <w:top w:val="single" w:color="auto" w:sz="8" w:space="0"/>
              <w:left w:val="single" w:color="auto" w:sz="8" w:space="0"/>
              <w:bottom w:val="single" w:color="auto" w:sz="8" w:space="0"/>
              <w:right w:val="single" w:color="auto" w:sz="8" w:space="0"/>
            </w:tcBorders>
            <w:noWrap w:val="0"/>
            <w:vAlign w:val="top"/>
          </w:tcPr>
          <w:p w14:paraId="538C50E7">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tc>
        <w:tc>
          <w:tcPr>
            <w:tcW w:w="1121" w:type="dxa"/>
            <w:tcBorders>
              <w:top w:val="single" w:color="auto" w:sz="8" w:space="0"/>
              <w:left w:val="single" w:color="auto" w:sz="8" w:space="0"/>
              <w:bottom w:val="single" w:color="auto" w:sz="8" w:space="0"/>
              <w:right w:val="single" w:color="auto" w:sz="8" w:space="0"/>
            </w:tcBorders>
            <w:noWrap w:val="0"/>
            <w:vAlign w:val="center"/>
          </w:tcPr>
          <w:p w14:paraId="6A718E0B">
            <w:pPr>
              <w:rPr>
                <w:rFonts w:hint="eastAsia" w:ascii="仿宋" w:hAnsi="仿宋" w:eastAsia="仿宋" w:cs="仿宋"/>
                <w:color w:val="auto"/>
                <w:sz w:val="24"/>
                <w:highlight w:val="none"/>
              </w:rPr>
            </w:pPr>
          </w:p>
        </w:tc>
      </w:tr>
      <w:tr w14:paraId="7B3FB960">
        <w:tblPrEx>
          <w:tblCellMar>
            <w:top w:w="0" w:type="dxa"/>
            <w:left w:w="30" w:type="dxa"/>
            <w:bottom w:w="0" w:type="dxa"/>
            <w:right w:w="30" w:type="dxa"/>
          </w:tblCellMar>
        </w:tblPrEx>
        <w:trPr>
          <w:trHeight w:val="704" w:hRule="exact"/>
        </w:trPr>
        <w:tc>
          <w:tcPr>
            <w:tcW w:w="623" w:type="dxa"/>
            <w:tcBorders>
              <w:top w:val="single" w:color="auto" w:sz="8" w:space="0"/>
              <w:left w:val="single" w:color="auto" w:sz="8" w:space="0"/>
              <w:bottom w:val="single" w:color="auto" w:sz="8" w:space="0"/>
              <w:right w:val="single" w:color="auto" w:sz="8" w:space="0"/>
            </w:tcBorders>
            <w:noWrap w:val="0"/>
            <w:vAlign w:val="center"/>
          </w:tcPr>
          <w:p w14:paraId="6D0EE74C">
            <w:pP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254" w:type="dxa"/>
            <w:tcBorders>
              <w:top w:val="single" w:color="auto" w:sz="8" w:space="0"/>
              <w:left w:val="single" w:color="auto" w:sz="8" w:space="0"/>
              <w:bottom w:val="single" w:color="auto" w:sz="8" w:space="0"/>
              <w:right w:val="single" w:color="auto" w:sz="8" w:space="0"/>
            </w:tcBorders>
            <w:noWrap w:val="0"/>
            <w:vAlign w:val="bottom"/>
          </w:tcPr>
          <w:p w14:paraId="6285DF05">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1FD3C281">
            <w:pPr>
              <w:rPr>
                <w:rFonts w:hint="eastAsia" w:ascii="仿宋" w:hAnsi="仿宋" w:eastAsia="仿宋" w:cs="仿宋"/>
                <w:color w:val="auto"/>
                <w:sz w:val="24"/>
                <w:highlight w:val="none"/>
              </w:rPr>
            </w:pPr>
          </w:p>
        </w:tc>
        <w:tc>
          <w:tcPr>
            <w:tcW w:w="2019" w:type="dxa"/>
            <w:tcBorders>
              <w:top w:val="single" w:color="auto" w:sz="8" w:space="0"/>
              <w:left w:val="single" w:color="auto" w:sz="8" w:space="0"/>
              <w:bottom w:val="single" w:color="auto" w:sz="8" w:space="0"/>
              <w:right w:val="single" w:color="auto" w:sz="8" w:space="0"/>
            </w:tcBorders>
            <w:noWrap w:val="0"/>
            <w:vAlign w:val="center"/>
          </w:tcPr>
          <w:p w14:paraId="3BC07379">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tc>
        <w:tc>
          <w:tcPr>
            <w:tcW w:w="1306" w:type="dxa"/>
            <w:tcBorders>
              <w:top w:val="single" w:color="auto" w:sz="8" w:space="0"/>
              <w:left w:val="single" w:color="auto" w:sz="8" w:space="0"/>
              <w:bottom w:val="single" w:color="auto" w:sz="8" w:space="0"/>
              <w:right w:val="single" w:color="auto" w:sz="8" w:space="0"/>
            </w:tcBorders>
            <w:noWrap w:val="0"/>
            <w:vAlign w:val="top"/>
          </w:tcPr>
          <w:p w14:paraId="6C42971B">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tc>
        <w:tc>
          <w:tcPr>
            <w:tcW w:w="969" w:type="dxa"/>
            <w:tcBorders>
              <w:top w:val="single" w:color="auto" w:sz="8" w:space="0"/>
              <w:left w:val="single" w:color="auto" w:sz="8" w:space="0"/>
              <w:bottom w:val="single" w:color="auto" w:sz="8" w:space="0"/>
              <w:right w:val="single" w:color="auto" w:sz="8" w:space="0"/>
            </w:tcBorders>
            <w:noWrap w:val="0"/>
            <w:vAlign w:val="top"/>
          </w:tcPr>
          <w:p w14:paraId="61A08E9C">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tc>
        <w:tc>
          <w:tcPr>
            <w:tcW w:w="1464" w:type="dxa"/>
            <w:tcBorders>
              <w:top w:val="single" w:color="auto" w:sz="8" w:space="0"/>
              <w:left w:val="single" w:color="auto" w:sz="8" w:space="0"/>
              <w:bottom w:val="single" w:color="auto" w:sz="8" w:space="0"/>
              <w:right w:val="single" w:color="auto" w:sz="8" w:space="0"/>
            </w:tcBorders>
            <w:noWrap w:val="0"/>
            <w:vAlign w:val="top"/>
          </w:tcPr>
          <w:p w14:paraId="3FD44EBA">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tc>
        <w:tc>
          <w:tcPr>
            <w:tcW w:w="1121" w:type="dxa"/>
            <w:tcBorders>
              <w:top w:val="single" w:color="auto" w:sz="8" w:space="0"/>
              <w:left w:val="single" w:color="auto" w:sz="8" w:space="0"/>
              <w:bottom w:val="single" w:color="auto" w:sz="8" w:space="0"/>
              <w:right w:val="single" w:color="auto" w:sz="8" w:space="0"/>
            </w:tcBorders>
            <w:noWrap w:val="0"/>
            <w:vAlign w:val="center"/>
          </w:tcPr>
          <w:p w14:paraId="5B129444">
            <w:pPr>
              <w:rPr>
                <w:rFonts w:hint="eastAsia" w:ascii="仿宋" w:hAnsi="仿宋" w:eastAsia="仿宋" w:cs="仿宋"/>
                <w:color w:val="auto"/>
                <w:sz w:val="24"/>
                <w:highlight w:val="none"/>
              </w:rPr>
            </w:pPr>
          </w:p>
        </w:tc>
      </w:tr>
      <w:tr w14:paraId="1F41603C">
        <w:tblPrEx>
          <w:tblCellMar>
            <w:top w:w="0" w:type="dxa"/>
            <w:left w:w="30" w:type="dxa"/>
            <w:bottom w:w="0" w:type="dxa"/>
            <w:right w:w="30" w:type="dxa"/>
          </w:tblCellMar>
        </w:tblPrEx>
        <w:trPr>
          <w:trHeight w:val="704" w:hRule="exact"/>
        </w:trPr>
        <w:tc>
          <w:tcPr>
            <w:tcW w:w="623" w:type="dxa"/>
            <w:tcBorders>
              <w:top w:val="single" w:color="auto" w:sz="8" w:space="0"/>
              <w:left w:val="single" w:color="auto" w:sz="8" w:space="0"/>
              <w:bottom w:val="single" w:color="auto" w:sz="8" w:space="0"/>
              <w:right w:val="single" w:color="auto" w:sz="8" w:space="0"/>
            </w:tcBorders>
            <w:noWrap w:val="0"/>
            <w:vAlign w:val="center"/>
          </w:tcPr>
          <w:p w14:paraId="7A31AFEE">
            <w:pPr>
              <w:rPr>
                <w:rFonts w:hint="eastAsia" w:ascii="仿宋" w:hAnsi="仿宋" w:eastAsia="仿宋" w:cs="仿宋"/>
                <w:color w:val="auto"/>
                <w:sz w:val="24"/>
                <w:highlight w:val="none"/>
              </w:rPr>
            </w:pPr>
          </w:p>
        </w:tc>
        <w:tc>
          <w:tcPr>
            <w:tcW w:w="1254" w:type="dxa"/>
            <w:tcBorders>
              <w:top w:val="single" w:color="auto" w:sz="8" w:space="0"/>
              <w:left w:val="single" w:color="auto" w:sz="8" w:space="0"/>
              <w:bottom w:val="single" w:color="auto" w:sz="8" w:space="0"/>
              <w:right w:val="single" w:color="auto" w:sz="8" w:space="0"/>
            </w:tcBorders>
            <w:noWrap w:val="0"/>
            <w:vAlign w:val="bottom"/>
          </w:tcPr>
          <w:p w14:paraId="7D9FB189">
            <w:pPr>
              <w:rPr>
                <w:rFonts w:hint="eastAsia" w:ascii="仿宋" w:hAnsi="仿宋" w:eastAsia="仿宋" w:cs="仿宋"/>
                <w:color w:val="auto"/>
                <w:sz w:val="24"/>
                <w:highlight w:val="none"/>
              </w:rPr>
            </w:pPr>
          </w:p>
        </w:tc>
        <w:tc>
          <w:tcPr>
            <w:tcW w:w="2019" w:type="dxa"/>
            <w:tcBorders>
              <w:top w:val="single" w:color="auto" w:sz="8" w:space="0"/>
              <w:left w:val="single" w:color="auto" w:sz="8" w:space="0"/>
              <w:bottom w:val="single" w:color="auto" w:sz="8" w:space="0"/>
              <w:right w:val="single" w:color="auto" w:sz="8" w:space="0"/>
            </w:tcBorders>
            <w:noWrap w:val="0"/>
            <w:vAlign w:val="center"/>
          </w:tcPr>
          <w:p w14:paraId="19A00D2E">
            <w:pPr>
              <w:rPr>
                <w:rFonts w:hint="eastAsia" w:ascii="仿宋" w:hAnsi="仿宋" w:eastAsia="仿宋" w:cs="仿宋"/>
                <w:color w:val="auto"/>
                <w:sz w:val="24"/>
                <w:highlight w:val="none"/>
              </w:rPr>
            </w:pPr>
          </w:p>
        </w:tc>
        <w:tc>
          <w:tcPr>
            <w:tcW w:w="1306" w:type="dxa"/>
            <w:tcBorders>
              <w:top w:val="single" w:color="auto" w:sz="8" w:space="0"/>
              <w:left w:val="single" w:color="auto" w:sz="8" w:space="0"/>
              <w:bottom w:val="single" w:color="auto" w:sz="8" w:space="0"/>
              <w:right w:val="single" w:color="auto" w:sz="8" w:space="0"/>
            </w:tcBorders>
            <w:noWrap w:val="0"/>
            <w:vAlign w:val="top"/>
          </w:tcPr>
          <w:p w14:paraId="516C679B">
            <w:pPr>
              <w:rPr>
                <w:rFonts w:hint="eastAsia" w:ascii="仿宋" w:hAnsi="仿宋" w:eastAsia="仿宋" w:cs="仿宋"/>
                <w:color w:val="auto"/>
                <w:sz w:val="24"/>
                <w:highlight w:val="none"/>
              </w:rPr>
            </w:pPr>
          </w:p>
        </w:tc>
        <w:tc>
          <w:tcPr>
            <w:tcW w:w="969" w:type="dxa"/>
            <w:tcBorders>
              <w:top w:val="single" w:color="auto" w:sz="8" w:space="0"/>
              <w:left w:val="single" w:color="auto" w:sz="8" w:space="0"/>
              <w:bottom w:val="single" w:color="auto" w:sz="8" w:space="0"/>
              <w:right w:val="single" w:color="auto" w:sz="8" w:space="0"/>
            </w:tcBorders>
            <w:noWrap w:val="0"/>
            <w:vAlign w:val="top"/>
          </w:tcPr>
          <w:p w14:paraId="4FE7254A">
            <w:pPr>
              <w:rPr>
                <w:rFonts w:hint="eastAsia" w:ascii="仿宋" w:hAnsi="仿宋" w:eastAsia="仿宋" w:cs="仿宋"/>
                <w:color w:val="auto"/>
                <w:sz w:val="24"/>
                <w:highlight w:val="none"/>
              </w:rPr>
            </w:pPr>
          </w:p>
        </w:tc>
        <w:tc>
          <w:tcPr>
            <w:tcW w:w="1464" w:type="dxa"/>
            <w:tcBorders>
              <w:top w:val="single" w:color="auto" w:sz="8" w:space="0"/>
              <w:left w:val="single" w:color="auto" w:sz="8" w:space="0"/>
              <w:bottom w:val="single" w:color="auto" w:sz="8" w:space="0"/>
              <w:right w:val="single" w:color="auto" w:sz="8" w:space="0"/>
            </w:tcBorders>
            <w:noWrap w:val="0"/>
            <w:vAlign w:val="top"/>
          </w:tcPr>
          <w:p w14:paraId="5F2460BE">
            <w:pPr>
              <w:rPr>
                <w:rFonts w:hint="eastAsia" w:ascii="仿宋" w:hAnsi="仿宋" w:eastAsia="仿宋" w:cs="仿宋"/>
                <w:color w:val="auto"/>
                <w:sz w:val="24"/>
                <w:highlight w:val="none"/>
              </w:rPr>
            </w:pPr>
          </w:p>
        </w:tc>
        <w:tc>
          <w:tcPr>
            <w:tcW w:w="1121" w:type="dxa"/>
            <w:tcBorders>
              <w:top w:val="single" w:color="auto" w:sz="8" w:space="0"/>
              <w:left w:val="single" w:color="auto" w:sz="8" w:space="0"/>
              <w:bottom w:val="single" w:color="auto" w:sz="8" w:space="0"/>
              <w:right w:val="single" w:color="auto" w:sz="8" w:space="0"/>
            </w:tcBorders>
            <w:noWrap w:val="0"/>
            <w:vAlign w:val="center"/>
          </w:tcPr>
          <w:p w14:paraId="01120B7C">
            <w:pPr>
              <w:rPr>
                <w:rFonts w:hint="eastAsia" w:ascii="仿宋" w:hAnsi="仿宋" w:eastAsia="仿宋" w:cs="仿宋"/>
                <w:color w:val="auto"/>
                <w:sz w:val="24"/>
                <w:highlight w:val="none"/>
              </w:rPr>
            </w:pPr>
          </w:p>
        </w:tc>
      </w:tr>
      <w:tr w14:paraId="25D20557">
        <w:tblPrEx>
          <w:tblCellMar>
            <w:top w:w="0" w:type="dxa"/>
            <w:left w:w="30" w:type="dxa"/>
            <w:bottom w:w="0" w:type="dxa"/>
            <w:right w:w="30" w:type="dxa"/>
          </w:tblCellMar>
        </w:tblPrEx>
        <w:trPr>
          <w:trHeight w:val="556" w:hRule="exact"/>
        </w:trPr>
        <w:tc>
          <w:tcPr>
            <w:tcW w:w="1877" w:type="dxa"/>
            <w:gridSpan w:val="2"/>
            <w:vMerge w:val="restart"/>
            <w:tcBorders>
              <w:top w:val="single" w:color="auto" w:sz="8" w:space="0"/>
              <w:left w:val="single" w:color="auto" w:sz="8" w:space="0"/>
              <w:bottom w:val="single" w:color="auto" w:sz="8" w:space="0"/>
              <w:right w:val="single" w:color="auto" w:sz="8" w:space="0"/>
            </w:tcBorders>
            <w:noWrap w:val="0"/>
            <w:vAlign w:val="center"/>
          </w:tcPr>
          <w:p w14:paraId="396D4AA9">
            <w:pPr>
              <w:rPr>
                <w:rFonts w:hint="eastAsia" w:ascii="仿宋" w:hAnsi="仿宋" w:eastAsia="仿宋" w:cs="仿宋"/>
                <w:color w:val="auto"/>
                <w:sz w:val="24"/>
                <w:highlight w:val="none"/>
              </w:rPr>
            </w:pPr>
            <w:r>
              <w:rPr>
                <w:rFonts w:hint="eastAsia" w:ascii="仿宋" w:hAnsi="仿宋" w:eastAsia="仿宋" w:cs="仿宋"/>
                <w:b/>
                <w:color w:val="auto"/>
                <w:sz w:val="24"/>
                <w:highlight w:val="none"/>
              </w:rPr>
              <w:t>合同总额</w:t>
            </w:r>
          </w:p>
        </w:tc>
        <w:tc>
          <w:tcPr>
            <w:tcW w:w="6879" w:type="dxa"/>
            <w:gridSpan w:val="5"/>
            <w:tcBorders>
              <w:top w:val="single" w:color="auto" w:sz="8" w:space="0"/>
              <w:left w:val="single" w:color="auto" w:sz="8" w:space="0"/>
              <w:bottom w:val="single" w:color="auto" w:sz="8" w:space="0"/>
              <w:right w:val="single" w:color="auto" w:sz="8" w:space="0"/>
            </w:tcBorders>
            <w:noWrap w:val="0"/>
            <w:vAlign w:val="center"/>
          </w:tcPr>
          <w:p w14:paraId="16F57E75">
            <w:pPr>
              <w:rPr>
                <w:rFonts w:hint="eastAsia" w:ascii="仿宋" w:hAnsi="仿宋" w:eastAsia="仿宋" w:cs="仿宋"/>
                <w:color w:val="auto"/>
                <w:sz w:val="24"/>
                <w:highlight w:val="none"/>
              </w:rPr>
            </w:pPr>
            <w:r>
              <w:rPr>
                <w:rFonts w:hint="eastAsia" w:ascii="仿宋" w:hAnsi="仿宋" w:eastAsia="仿宋" w:cs="仿宋"/>
                <w:color w:val="auto"/>
                <w:sz w:val="24"/>
                <w:highlight w:val="none"/>
              </w:rPr>
              <w:t>（小写）：¥      元</w:t>
            </w:r>
          </w:p>
        </w:tc>
      </w:tr>
      <w:tr w14:paraId="53EAF47D">
        <w:tblPrEx>
          <w:tblCellMar>
            <w:top w:w="0" w:type="dxa"/>
            <w:left w:w="30" w:type="dxa"/>
            <w:bottom w:w="0" w:type="dxa"/>
            <w:right w:w="30" w:type="dxa"/>
          </w:tblCellMar>
        </w:tblPrEx>
        <w:trPr>
          <w:trHeight w:val="594" w:hRule="atLeast"/>
        </w:trPr>
        <w:tc>
          <w:tcPr>
            <w:tcW w:w="1877" w:type="dxa"/>
            <w:gridSpan w:val="2"/>
            <w:vMerge w:val="continue"/>
            <w:tcBorders>
              <w:top w:val="single" w:color="auto" w:sz="8" w:space="0"/>
              <w:left w:val="single" w:color="auto" w:sz="8" w:space="0"/>
              <w:bottom w:val="single" w:color="auto" w:sz="8" w:space="0"/>
              <w:right w:val="single" w:color="auto" w:sz="8" w:space="0"/>
            </w:tcBorders>
            <w:noWrap w:val="0"/>
            <w:vAlign w:val="center"/>
          </w:tcPr>
          <w:p w14:paraId="04226026">
            <w:pPr>
              <w:rPr>
                <w:rFonts w:hint="eastAsia" w:ascii="仿宋" w:hAnsi="仿宋" w:eastAsia="仿宋" w:cs="仿宋"/>
                <w:color w:val="auto"/>
                <w:sz w:val="24"/>
                <w:highlight w:val="none"/>
              </w:rPr>
            </w:pPr>
          </w:p>
        </w:tc>
        <w:tc>
          <w:tcPr>
            <w:tcW w:w="6879" w:type="dxa"/>
            <w:gridSpan w:val="5"/>
            <w:tcBorders>
              <w:top w:val="single" w:color="auto" w:sz="8" w:space="0"/>
              <w:left w:val="single" w:color="auto" w:sz="8" w:space="0"/>
              <w:bottom w:val="single" w:color="auto" w:sz="8" w:space="0"/>
              <w:right w:val="single" w:color="auto" w:sz="8" w:space="0"/>
            </w:tcBorders>
            <w:noWrap w:val="0"/>
            <w:vAlign w:val="center"/>
          </w:tcPr>
          <w:p w14:paraId="51AE5765">
            <w:pPr>
              <w:rPr>
                <w:rFonts w:hint="eastAsia" w:ascii="仿宋" w:hAnsi="仿宋" w:eastAsia="仿宋" w:cs="仿宋"/>
                <w:color w:val="auto"/>
                <w:sz w:val="24"/>
                <w:highlight w:val="none"/>
              </w:rPr>
            </w:pPr>
            <w:r>
              <w:rPr>
                <w:rFonts w:hint="eastAsia" w:ascii="仿宋" w:hAnsi="仿宋" w:eastAsia="仿宋" w:cs="仿宋"/>
                <w:color w:val="auto"/>
                <w:sz w:val="24"/>
                <w:highlight w:val="none"/>
              </w:rPr>
              <w:t>（大写）:               元整</w:t>
            </w:r>
          </w:p>
        </w:tc>
      </w:tr>
    </w:tbl>
    <w:p w14:paraId="373BD8C2">
      <w:pPr>
        <w:rPr>
          <w:rFonts w:hint="eastAsia" w:ascii="仿宋" w:hAnsi="仿宋" w:eastAsia="仿宋" w:cs="仿宋"/>
          <w:b/>
          <w:color w:val="auto"/>
          <w:sz w:val="24"/>
          <w:highlight w:val="none"/>
        </w:rPr>
      </w:pPr>
    </w:p>
    <w:p w14:paraId="33477CF1">
      <w:pPr>
        <w:rPr>
          <w:rFonts w:hint="eastAsia" w:ascii="仿宋" w:hAnsi="仿宋" w:eastAsia="仿宋" w:cs="仿宋"/>
          <w:b/>
          <w:bCs/>
          <w:color w:val="auto"/>
          <w:sz w:val="24"/>
          <w:highlight w:val="none"/>
        </w:rPr>
      </w:pPr>
      <w:bookmarkStart w:id="0" w:name="_Toc417386176"/>
      <w:r>
        <w:rPr>
          <w:rFonts w:hint="eastAsia" w:ascii="仿宋" w:hAnsi="仿宋" w:eastAsia="仿宋" w:cs="仿宋"/>
          <w:b/>
          <w:color w:val="auto"/>
          <w:sz w:val="24"/>
          <w:highlight w:val="none"/>
        </w:rPr>
        <w:t>二</w:t>
      </w:r>
      <w:r>
        <w:rPr>
          <w:rFonts w:hint="eastAsia" w:ascii="仿宋" w:hAnsi="仿宋" w:eastAsia="仿宋" w:cs="仿宋"/>
          <w:b/>
          <w:bCs/>
          <w:color w:val="auto"/>
          <w:sz w:val="24"/>
          <w:highlight w:val="none"/>
        </w:rPr>
        <w:t>、付款方式</w:t>
      </w:r>
      <w:bookmarkEnd w:id="0"/>
    </w:p>
    <w:p w14:paraId="5E46397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中标后</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采购人</w:t>
      </w:r>
      <w:r>
        <w:rPr>
          <w:rFonts w:hint="eastAsia" w:ascii="仿宋" w:hAnsi="仿宋" w:eastAsia="仿宋" w:cs="仿宋"/>
          <w:color w:val="auto"/>
          <w:sz w:val="21"/>
          <w:szCs w:val="21"/>
          <w:highlight w:val="none"/>
          <w:lang w:eastAsia="zh-CN"/>
        </w:rPr>
        <w:t>与中标人沟通</w:t>
      </w:r>
      <w:r>
        <w:rPr>
          <w:rFonts w:hint="eastAsia" w:ascii="仿宋" w:hAnsi="仿宋" w:eastAsia="仿宋" w:cs="仿宋"/>
          <w:color w:val="auto"/>
          <w:sz w:val="21"/>
          <w:szCs w:val="21"/>
          <w:highlight w:val="none"/>
        </w:rPr>
        <w:t>协商。</w:t>
      </w:r>
    </w:p>
    <w:p w14:paraId="2D16013C">
      <w:pP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三、违约赔偿</w:t>
      </w:r>
    </w:p>
    <w:p w14:paraId="74EBD67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 除本项第3条款规定的不可抗力外，如果乙方没有按照合同规定的时间交货和提供服务，甲方可从合同款中扣除违约赔偿费，每延迟一个工作日迟交货物（含软件及相关服务）或未提供服务或提供产品及服务不满足项目需求，按合同金额的0.3％计扣违约赔偿费，但违约赔偿费的最高限额为合同金额的10％。</w:t>
      </w:r>
    </w:p>
    <w:p w14:paraId="7824468E">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 除本项第3条款规定的不可抗力外，如果因乙方原因造成延迟交货时间超过一个月，或者乙方不履行项目建设义务，则甲方有权解除合同，要求乙方退还甲方已付的项目款并按合同金额的10%赔偿甲方，同时甲方报政府采购主管部门处理。</w:t>
      </w:r>
    </w:p>
    <w:p w14:paraId="23D7DCFC">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3.如果双方中任何一方由于战争、严重火灾、水灾、台风和地震以及其它经双方同意属于不可抗力的事故，致使合同履行受阻时，履行合同的期限应予以延长，延长的期限应相当于事故所影响的时间。</w:t>
      </w:r>
    </w:p>
    <w:p w14:paraId="64B825AB">
      <w:pPr>
        <w:rPr>
          <w:rFonts w:hint="eastAsia" w:ascii="仿宋" w:hAnsi="仿宋" w:eastAsia="仿宋" w:cs="仿宋"/>
          <w:b/>
          <w:bCs/>
          <w:color w:val="auto"/>
          <w:sz w:val="24"/>
          <w:highlight w:val="none"/>
        </w:rPr>
      </w:pPr>
      <w:bookmarkStart w:id="1" w:name="_Toc417386177"/>
      <w:r>
        <w:rPr>
          <w:rFonts w:hint="eastAsia" w:ascii="仿宋" w:hAnsi="仿宋" w:eastAsia="仿宋" w:cs="仿宋"/>
          <w:b/>
          <w:bCs/>
          <w:color w:val="auto"/>
          <w:sz w:val="24"/>
          <w:highlight w:val="none"/>
        </w:rPr>
        <w:t>四、合同纠纷处理</w:t>
      </w:r>
      <w:bookmarkEnd w:id="1"/>
    </w:p>
    <w:p w14:paraId="13EE480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因本协议引起或与本协议有关的任何争议，双方应协商解决；协商不成的，任何一方均有权向甲方所在地有管辖权的人民法院提起诉讼。</w:t>
      </w:r>
    </w:p>
    <w:p w14:paraId="4C288224">
      <w:pPr>
        <w:rPr>
          <w:rFonts w:hint="eastAsia" w:ascii="仿宋" w:hAnsi="仿宋" w:eastAsia="仿宋" w:cs="仿宋"/>
          <w:b/>
          <w:bCs/>
          <w:color w:val="auto"/>
          <w:sz w:val="24"/>
          <w:highlight w:val="none"/>
        </w:rPr>
      </w:pPr>
      <w:bookmarkStart w:id="2" w:name="_Toc417386178"/>
      <w:r>
        <w:rPr>
          <w:rFonts w:hint="eastAsia" w:ascii="仿宋" w:hAnsi="仿宋" w:eastAsia="仿宋" w:cs="仿宋"/>
          <w:b/>
          <w:bCs/>
          <w:color w:val="auto"/>
          <w:sz w:val="24"/>
          <w:highlight w:val="none"/>
        </w:rPr>
        <w:t>五、合同生效</w:t>
      </w:r>
      <w:bookmarkEnd w:id="2"/>
    </w:p>
    <w:p w14:paraId="6DF1582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本合同由甲乙双方签字盖章后生效。</w:t>
      </w:r>
    </w:p>
    <w:p w14:paraId="2642EC14">
      <w:pPr>
        <w:rPr>
          <w:rFonts w:hint="eastAsia" w:ascii="仿宋" w:hAnsi="仿宋" w:eastAsia="仿宋" w:cs="仿宋"/>
          <w:b/>
          <w:bCs/>
          <w:color w:val="auto"/>
          <w:sz w:val="24"/>
          <w:highlight w:val="none"/>
        </w:rPr>
      </w:pPr>
      <w:bookmarkStart w:id="3" w:name="_Toc417386179"/>
      <w:r>
        <w:rPr>
          <w:rFonts w:hint="eastAsia" w:ascii="仿宋" w:hAnsi="仿宋" w:eastAsia="仿宋" w:cs="仿宋"/>
          <w:b/>
          <w:bCs/>
          <w:color w:val="auto"/>
          <w:sz w:val="24"/>
          <w:highlight w:val="none"/>
        </w:rPr>
        <w:t>六、合同鉴证</w:t>
      </w:r>
      <w:bookmarkEnd w:id="3"/>
    </w:p>
    <w:p w14:paraId="4FEF59D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采购招标代理机构应当在本合同上签章，以证明本合同条款与采购文件、投标文件的相关要求相符并且未对采购内容和技术参数进行实质性修改。</w:t>
      </w:r>
    </w:p>
    <w:p w14:paraId="4C68E380">
      <w:pPr>
        <w:rPr>
          <w:rFonts w:hint="eastAsia" w:ascii="仿宋" w:hAnsi="仿宋" w:eastAsia="仿宋" w:cs="仿宋"/>
          <w:b/>
          <w:bCs/>
          <w:color w:val="auto"/>
          <w:sz w:val="24"/>
          <w:highlight w:val="none"/>
        </w:rPr>
      </w:pPr>
      <w:bookmarkStart w:id="4" w:name="_Toc417386180"/>
      <w:r>
        <w:rPr>
          <w:rFonts w:hint="eastAsia" w:ascii="仿宋" w:hAnsi="仿宋" w:eastAsia="仿宋" w:cs="仿宋"/>
          <w:b/>
          <w:bCs/>
          <w:color w:val="auto"/>
          <w:sz w:val="24"/>
          <w:highlight w:val="none"/>
        </w:rPr>
        <w:t>七、本合同的组成文件</w:t>
      </w:r>
      <w:bookmarkEnd w:id="4"/>
    </w:p>
    <w:p w14:paraId="1CE1163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1.合同通用条款和专用条款；</w:t>
      </w:r>
    </w:p>
    <w:p w14:paraId="0556B4D9">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2.采购文件、乙方的投标文件和评标时的澄清函（如有）；</w:t>
      </w:r>
    </w:p>
    <w:p w14:paraId="1627550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3.中标通知书；</w:t>
      </w:r>
    </w:p>
    <w:p w14:paraId="595CAD4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4.甲乙双方商定的其他必要文件。</w:t>
      </w:r>
    </w:p>
    <w:p w14:paraId="6E50615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上述合同文件内容互为补充，如有不明确，由甲方负责解释。</w:t>
      </w:r>
    </w:p>
    <w:p w14:paraId="0A8D03F3">
      <w:pPr>
        <w:rPr>
          <w:rFonts w:hint="eastAsia" w:ascii="仿宋" w:hAnsi="仿宋" w:eastAsia="仿宋" w:cs="仿宋"/>
          <w:b/>
          <w:bCs/>
          <w:color w:val="auto"/>
          <w:sz w:val="24"/>
          <w:highlight w:val="none"/>
        </w:rPr>
      </w:pPr>
      <w:bookmarkStart w:id="5" w:name="_Toc417386181"/>
      <w:r>
        <w:rPr>
          <w:rFonts w:hint="eastAsia" w:ascii="仿宋" w:hAnsi="仿宋" w:eastAsia="仿宋" w:cs="仿宋"/>
          <w:b/>
          <w:bCs/>
          <w:color w:val="auto"/>
          <w:sz w:val="24"/>
          <w:highlight w:val="none"/>
        </w:rPr>
        <w:t>八、合同备案</w:t>
      </w:r>
      <w:bookmarkEnd w:id="5"/>
    </w:p>
    <w:p w14:paraId="4B5F56F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本合同一式四份，中文书写。甲方、乙方、采购招标代理机构各执一份，另外一份由采购招标代理机构报政府采购主管部门备案。 </w:t>
      </w:r>
    </w:p>
    <w:p w14:paraId="77425B1F">
      <w:pPr>
        <w:adjustRightInd w:val="0"/>
        <w:snapToGrid w:val="0"/>
        <w:spacing w:line="360" w:lineRule="auto"/>
        <w:ind w:firstLine="480" w:firstLineChars="200"/>
        <w:rPr>
          <w:rFonts w:hint="eastAsia" w:ascii="仿宋" w:hAnsi="仿宋" w:eastAsia="仿宋" w:cs="仿宋"/>
          <w:color w:val="auto"/>
          <w:sz w:val="24"/>
          <w:highlight w:val="none"/>
        </w:rPr>
      </w:pPr>
    </w:p>
    <w:p w14:paraId="24BA2BB8">
      <w:pPr>
        <w:pStyle w:val="5"/>
        <w:spacing w:line="540" w:lineRule="exact"/>
        <w:rPr>
          <w:rFonts w:hint="eastAsia" w:ascii="宋体" w:hAnsi="宋体" w:eastAsia="宋体" w:cs="宋体"/>
          <w:b/>
          <w:color w:val="auto"/>
          <w:sz w:val="44"/>
          <w:szCs w:val="44"/>
          <w:highlight w:val="none"/>
        </w:rPr>
      </w:pPr>
    </w:p>
    <w:p w14:paraId="09AC81D4">
      <w:pPr>
        <w:keepNext w:val="0"/>
        <w:keepLines w:val="0"/>
        <w:pageBreakBefore w:val="0"/>
        <w:widowControl w:val="0"/>
        <w:tabs>
          <w:tab w:val="left" w:pos="360"/>
        </w:tabs>
        <w:kinsoku/>
        <w:wordWrap/>
        <w:overflowPunct/>
        <w:topLinePunct w:val="0"/>
        <w:autoSpaceDE/>
        <w:autoSpaceDN/>
        <w:bidi w:val="0"/>
        <w:adjustRightInd/>
        <w:snapToGrid/>
        <w:spacing w:line="420" w:lineRule="exact"/>
        <w:textAlignment w:val="auto"/>
        <w:rPr>
          <w:rFonts w:hint="default" w:ascii="Arial Narrow" w:hAnsi="Arial Narrow" w:eastAsia="仿宋" w:cs="Arial Narrow"/>
          <w:color w:val="auto"/>
          <w:kern w:val="0"/>
          <w:sz w:val="24"/>
        </w:rPr>
      </w:pPr>
      <w:r>
        <w:rPr>
          <w:rFonts w:hint="default" w:ascii="Arial Narrow" w:hAnsi="Arial Narrow" w:eastAsia="仿宋" w:cs="Arial Narrow"/>
          <w:color w:val="auto"/>
          <w:kern w:val="0"/>
          <w:sz w:val="24"/>
        </w:rPr>
        <w:t>甲方（盖章）：                           乙方（盖章）：</w:t>
      </w:r>
    </w:p>
    <w:p w14:paraId="3A121B44">
      <w:pPr>
        <w:keepNext w:val="0"/>
        <w:keepLines w:val="0"/>
        <w:pageBreakBefore w:val="0"/>
        <w:widowControl w:val="0"/>
        <w:tabs>
          <w:tab w:val="left" w:pos="360"/>
        </w:tabs>
        <w:kinsoku/>
        <w:wordWrap/>
        <w:overflowPunct/>
        <w:topLinePunct w:val="0"/>
        <w:autoSpaceDE/>
        <w:autoSpaceDN/>
        <w:bidi w:val="0"/>
        <w:adjustRightInd/>
        <w:snapToGrid/>
        <w:spacing w:line="420" w:lineRule="exact"/>
        <w:ind w:firstLine="480" w:firstLineChars="200"/>
        <w:textAlignment w:val="auto"/>
        <w:rPr>
          <w:rFonts w:hint="default" w:ascii="Arial Narrow" w:hAnsi="Arial Narrow" w:eastAsia="仿宋" w:cs="Arial Narrow"/>
          <w:color w:val="auto"/>
          <w:kern w:val="0"/>
          <w:sz w:val="24"/>
        </w:rPr>
      </w:pPr>
    </w:p>
    <w:p w14:paraId="33FC106D">
      <w:pPr>
        <w:keepNext w:val="0"/>
        <w:keepLines w:val="0"/>
        <w:pageBreakBefore w:val="0"/>
        <w:widowControl w:val="0"/>
        <w:tabs>
          <w:tab w:val="left" w:pos="360"/>
        </w:tabs>
        <w:kinsoku/>
        <w:wordWrap/>
        <w:overflowPunct/>
        <w:topLinePunct w:val="0"/>
        <w:autoSpaceDE/>
        <w:autoSpaceDN/>
        <w:bidi w:val="0"/>
        <w:adjustRightInd/>
        <w:snapToGrid/>
        <w:spacing w:line="420" w:lineRule="exact"/>
        <w:textAlignment w:val="auto"/>
        <w:rPr>
          <w:rFonts w:hint="default" w:ascii="Arial Narrow" w:hAnsi="Arial Narrow" w:eastAsia="仿宋" w:cs="Arial Narrow"/>
          <w:color w:val="auto"/>
          <w:kern w:val="0"/>
          <w:sz w:val="24"/>
        </w:rPr>
      </w:pPr>
      <w:r>
        <w:rPr>
          <w:rFonts w:hint="default" w:ascii="Arial Narrow" w:hAnsi="Arial Narrow" w:eastAsia="仿宋" w:cs="Arial Narrow"/>
          <w:color w:val="auto"/>
          <w:kern w:val="0"/>
          <w:sz w:val="24"/>
        </w:rPr>
        <w:t>法定代表人（签章/签字）：                法定代表人（签章/签字）：</w:t>
      </w:r>
    </w:p>
    <w:p w14:paraId="679527ED">
      <w:pPr>
        <w:keepNext w:val="0"/>
        <w:keepLines w:val="0"/>
        <w:pageBreakBefore w:val="0"/>
        <w:widowControl w:val="0"/>
        <w:tabs>
          <w:tab w:val="left" w:pos="360"/>
        </w:tabs>
        <w:kinsoku/>
        <w:wordWrap/>
        <w:overflowPunct/>
        <w:topLinePunct w:val="0"/>
        <w:autoSpaceDE/>
        <w:autoSpaceDN/>
        <w:bidi w:val="0"/>
        <w:adjustRightInd/>
        <w:snapToGrid/>
        <w:spacing w:line="420" w:lineRule="exact"/>
        <w:textAlignment w:val="auto"/>
        <w:rPr>
          <w:rFonts w:hint="default" w:ascii="Arial Narrow" w:hAnsi="Arial Narrow" w:eastAsia="仿宋" w:cs="Arial Narrow"/>
          <w:color w:val="auto"/>
          <w:kern w:val="0"/>
          <w:sz w:val="24"/>
        </w:rPr>
      </w:pPr>
    </w:p>
    <w:p w14:paraId="706151C5">
      <w:pPr>
        <w:keepNext w:val="0"/>
        <w:keepLines w:val="0"/>
        <w:pageBreakBefore w:val="0"/>
        <w:widowControl w:val="0"/>
        <w:tabs>
          <w:tab w:val="left" w:pos="360"/>
        </w:tabs>
        <w:kinsoku/>
        <w:wordWrap/>
        <w:overflowPunct/>
        <w:topLinePunct w:val="0"/>
        <w:autoSpaceDE/>
        <w:autoSpaceDN/>
        <w:bidi w:val="0"/>
        <w:adjustRightInd/>
        <w:snapToGrid/>
        <w:spacing w:line="420" w:lineRule="exact"/>
        <w:textAlignment w:val="auto"/>
        <w:rPr>
          <w:rFonts w:hint="default" w:ascii="Arial Narrow" w:hAnsi="Arial Narrow" w:eastAsia="仿宋" w:cs="Arial Narrow"/>
          <w:color w:val="auto"/>
          <w:kern w:val="0"/>
          <w:sz w:val="24"/>
        </w:rPr>
      </w:pPr>
      <w:r>
        <w:rPr>
          <w:rFonts w:hint="default" w:ascii="Arial Narrow" w:hAnsi="Arial Narrow" w:eastAsia="仿宋" w:cs="Arial Narrow"/>
          <w:color w:val="auto"/>
          <w:kern w:val="0"/>
          <w:sz w:val="24"/>
        </w:rPr>
        <w:t>日期：   年  月  日                      日期：   年  月  日</w:t>
      </w:r>
    </w:p>
    <w:p w14:paraId="6AC4113F">
      <w:pPr>
        <w:adjustRightInd w:val="0"/>
        <w:snapToGrid w:val="0"/>
        <w:ind w:firstLine="480" w:firstLineChars="200"/>
        <w:rPr>
          <w:rFonts w:hAnsi="宋体"/>
          <w:color w:val="auto"/>
          <w:sz w:val="24"/>
          <w:highlight w:val="none"/>
        </w:rPr>
      </w:pPr>
    </w:p>
    <w:p w14:paraId="1C128B7A">
      <w:pPr>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招标代理机构声明：本合同标的经海南和兴泰项目管理有限公司</w:t>
      </w:r>
      <w:bookmarkStart w:id="6" w:name="_GoBack"/>
      <w:bookmarkEnd w:id="6"/>
      <w:r>
        <w:rPr>
          <w:rFonts w:hint="eastAsia" w:ascii="仿宋" w:hAnsi="仿宋" w:eastAsia="仿宋" w:cs="仿宋"/>
          <w:color w:val="auto"/>
          <w:sz w:val="24"/>
          <w:highlight w:val="none"/>
        </w:rPr>
        <w:t>依法定程序采购，合同主要条款内容与响应文件的内容一致。</w:t>
      </w:r>
    </w:p>
    <w:p w14:paraId="774DB046">
      <w:pPr>
        <w:spacing w:line="500" w:lineRule="exact"/>
        <w:ind w:firstLine="480" w:firstLineChars="200"/>
        <w:rPr>
          <w:rFonts w:hint="eastAsia" w:ascii="仿宋" w:hAnsi="仿宋" w:eastAsia="仿宋" w:cs="仿宋"/>
          <w:color w:val="auto"/>
          <w:sz w:val="24"/>
          <w:highlight w:val="none"/>
        </w:rPr>
      </w:pPr>
    </w:p>
    <w:p w14:paraId="4C5523D4">
      <w:pPr>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招标代理机构：海南和兴泰项目管理有限公司（盖章）</w:t>
      </w:r>
    </w:p>
    <w:p w14:paraId="20087290">
      <w:pPr>
        <w:spacing w:line="500" w:lineRule="exact"/>
        <w:ind w:firstLine="480" w:firstLineChars="200"/>
        <w:rPr>
          <w:rFonts w:hint="default" w:ascii="仿宋" w:hAnsi="仿宋" w:eastAsia="仿宋" w:cs="仿宋"/>
          <w:b/>
          <w:color w:val="auto"/>
          <w:sz w:val="24"/>
          <w:highlight w:val="none"/>
          <w:lang w:val="en-US" w:eastAsia="zh-CN"/>
        </w:rPr>
      </w:pPr>
      <w:r>
        <w:rPr>
          <w:rFonts w:hint="eastAsia" w:ascii="仿宋" w:hAnsi="仿宋" w:eastAsia="仿宋" w:cs="仿宋"/>
          <w:color w:val="auto"/>
          <w:sz w:val="24"/>
          <w:highlight w:val="none"/>
        </w:rPr>
        <w:t>地  址：海南省海口秀英区海秀街道办海秀西路2号金城新天地1#楼A单元14层1401号房</w:t>
      </w:r>
      <w:r>
        <w:rPr>
          <w:rFonts w:hint="eastAsia" w:ascii="仿宋" w:hAnsi="仿宋" w:eastAsia="仿宋" w:cs="仿宋"/>
          <w:color w:val="auto"/>
          <w:sz w:val="24"/>
          <w:highlight w:val="none"/>
          <w:lang w:val="en-US" w:eastAsia="zh-CN"/>
        </w:rPr>
        <w:t xml:space="preserve">   </w:t>
      </w:r>
    </w:p>
    <w:p w14:paraId="4B89C431">
      <w:pPr>
        <w:spacing w:line="500" w:lineRule="exac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经办人：</w:t>
      </w:r>
      <w:r>
        <w:rPr>
          <w:rFonts w:hint="eastAsia" w:ascii="仿宋" w:hAnsi="仿宋" w:eastAsia="仿宋" w:cs="仿宋"/>
          <w:color w:val="auto"/>
          <w:sz w:val="24"/>
          <w:highlight w:val="none"/>
          <w:u w:val="single"/>
        </w:rPr>
        <w:t xml:space="preserve">                   </w:t>
      </w:r>
    </w:p>
    <w:p w14:paraId="4DE480CB">
      <w:pPr>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2EF5D14F"/>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swiss"/>
    <w:pitch w:val="default"/>
    <w:sig w:usb0="00000000" w:usb1="00000000" w:usb2="00000000" w:usb3="00000000" w:csb0="003E0000" w:csb1="00000000"/>
  </w:font>
  <w:font w:name="仿宋">
    <w:panose1 w:val="02010609060101010101"/>
    <w:charset w:val="86"/>
    <w:family w:val="auto"/>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ED7132"/>
    <w:rsid w:val="2038582A"/>
    <w:rsid w:val="3F01042B"/>
    <w:rsid w:val="65B47A60"/>
    <w:rsid w:val="696A2A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标题 1 Char"/>
    <w:qFormat/>
    <w:uiPriority w:val="0"/>
    <w:rPr>
      <w:rFonts w:hint="default" w:ascii="Arial" w:hAnsi="Arial" w:eastAsia="宋体" w:cs="Arial"/>
      <w:bCs/>
      <w:kern w:val="32"/>
      <w:sz w:val="32"/>
      <w:szCs w:val="32"/>
      <w:lang w:val="en-US" w:eastAsia="zh-CN" w:bidi="ar-SA"/>
    </w:rPr>
  </w:style>
  <w:style w:type="paragraph" w:customStyle="1" w:styleId="5">
    <w:name w:val="正文 A"/>
    <w:qFormat/>
    <w:uiPriority w:val="0"/>
    <w:pPr>
      <w:widowControl w:val="0"/>
      <w:jc w:val="both"/>
    </w:pPr>
    <w:rPr>
      <w:rFonts w:ascii="Times New Roman" w:hAnsi="Times New Roman" w:eastAsia="Arial Unicode MS" w:cs="Arial Unicode MS"/>
      <w:color w:val="000000"/>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918</Words>
  <Characters>930</Characters>
  <Lines>0</Lines>
  <Paragraphs>0</Paragraphs>
  <TotalTime>1</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2025-04-02T08:36:00Z</dcterms:created>
  <dc:creator>Administrator</dc:creator>
  <cp:lastModifiedBy>WPS_1559614142</cp:lastModifiedBy>
  <dcterms:modified xsi:type="dcterms:W3CDTF">2026-03-11T02:25:21Z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eyJoZGlkIjoiYzAzMzIzZGZjOTYwNjdkYmRiNGQ2ZTM1ZWI2MzkyYTYiLCJ1c2VySWQiOiI1NzEwODI3NTUifQ==</vt:lpwstr>
  </property>
  <property fmtid="{D5CDD505-2E9C-101B-9397-08002B2CF9AE}" pid="4" name="ICV">
    <vt:lpwstr>E8C224902F8349E8A72EC39D725D9AB3_13</vt:lpwstr>
  </property>
</Properties>
</file>