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海南海口特殊教育幼儿园开学设备购置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[HNYY]20250900001[CS]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海南（海口）特殊教育学校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海南隆信项目管理有限公司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海南（海口）特殊教育学校</w:t>
      </w:r>
      <w:r>
        <w:rPr>
          <w:rFonts w:ascii="仿宋_GB2312" w:hAnsi="仿宋_GB2312" w:cs="仿宋_GB2312" w:eastAsia="仿宋_GB2312"/>
        </w:rPr>
        <w:t xml:space="preserve"> 的委托， </w:t>
      </w:r>
      <w:r>
        <w:rPr>
          <w:rFonts w:ascii="仿宋_GB2312" w:hAnsi="仿宋_GB2312" w:cs="仿宋_GB2312" w:eastAsia="仿宋_GB2312"/>
        </w:rPr>
        <w:t>海南隆信项目管理有限公司</w:t>
      </w:r>
      <w:r>
        <w:rPr>
          <w:rFonts w:ascii="仿宋_GB2312" w:hAnsi="仿宋_GB2312" w:cs="仿宋_GB2312" w:eastAsia="仿宋_GB2312"/>
        </w:rPr>
        <w:t xml:space="preserve"> 对 </w:t>
      </w:r>
      <w:r>
        <w:rPr>
          <w:rFonts w:ascii="仿宋_GB2312" w:hAnsi="仿宋_GB2312" w:cs="仿宋_GB2312" w:eastAsia="仿宋_GB2312"/>
        </w:rPr>
        <w:t>海南海口特殊教育幼儿园开学设备购置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[HNYY]20250900001[CS]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海南海口特殊教育幼儿园开学设备购置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2,730,000.00元</w:t>
      </w:r>
      <w:r>
        <w:rPr>
          <w:rFonts w:ascii="仿宋_GB2312" w:hAnsi="仿宋_GB2312" w:cs="仿宋_GB2312" w:eastAsia="仿宋_GB2312"/>
        </w:rPr>
        <w:t>贰佰柒拾叁万元整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自合同签订之日起30天内完成交货</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投标人（供应商）无须到达开标现场，远程按时参加在线开标解密、磋商报价。2、请投标人（供应商）自行在海南省政府采购智慧云平台-办事指南查看相应的系统操作指南，严格按照操作指南要求进行系统操作，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海南（海口）特殊教育学校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海口市龙华区城西镇城南路薛村教育里21号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0898-65925015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海南隆信项目管理有限公司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海口市琼山区海府路168号金鹿花园三期四栋1单元302房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hainanlongxin2022@163.com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0898-65373586</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代理服务费收费标准：以中标（成交）金额为基准计算，参照琼价费管[2011]225号文件规定收费标准按88%收取招标代理服务费。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1、本项目为线上不见面开评标，各供应商无需到开标现场，根据文件要求按时登录系统进行操作。 2、中标（成交）单位须在中标后三日内提供一正二副纸质响应文件，且与上传系统电子响应文件内容一致。 3、本项目不接受供应商成功加密后的电子备用响应文件，以供应商成功加密后递交至海南省政府采购智慧云平台的电子响应文件为准，因供应商自身原因导致无法解密或解密失败的，自行承担不利后果。4、电子标签字以下四种形式之一均有效： （1）响应文件编制工具中加盖签名章或签字章； （2）响应文件编制工具中使用“手写签名”签字； （3）响应文件打印为文本签字后扫描上传； （4）响应文件打印为文本盖签名章或签字章后扫描上传，由委托代理人签字的，供应商应附有法定代表人授权书。5、签章是签字、盖章的合称。</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联系电话：0898-65373586</w:t>
      </w:r>
    </w:p>
    <w:p>
      <w:pPr>
        <w:pStyle w:val="null3"/>
        <w:jc w:val="left"/>
      </w:pPr>
      <w:r>
        <w:rPr>
          <w:rFonts w:ascii="仿宋_GB2312" w:hAnsi="仿宋_GB2312" w:cs="仿宋_GB2312" w:eastAsia="仿宋_GB2312"/>
        </w:rPr>
        <w:t>地址：海口市琼山区海府路168号金鹿花园三期四栋1单元302房</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1、采购单位：海南（海口）特殊教育学校</w:t>
      </w:r>
    </w:p>
    <w:p>
      <w:pPr>
        <w:pStyle w:val="null3"/>
        <w:ind w:firstLine="480"/>
        <w:jc w:val="left"/>
      </w:pPr>
      <w:r>
        <w:rPr>
          <w:rFonts w:ascii="仿宋_GB2312" w:hAnsi="仿宋_GB2312" w:cs="仿宋_GB2312" w:eastAsia="仿宋_GB2312"/>
          <w:sz w:val="24"/>
        </w:rPr>
        <w:t>2、项目名称：海南海口特殊教育幼儿园开学设备购置</w:t>
      </w:r>
    </w:p>
    <w:p>
      <w:pPr>
        <w:pStyle w:val="null3"/>
        <w:ind w:firstLine="480"/>
        <w:jc w:val="left"/>
      </w:pPr>
      <w:r>
        <w:rPr>
          <w:rFonts w:ascii="仿宋_GB2312" w:hAnsi="仿宋_GB2312" w:cs="仿宋_GB2312" w:eastAsia="仿宋_GB2312"/>
          <w:sz w:val="24"/>
        </w:rPr>
        <w:t>3、预算金额：</w:t>
      </w:r>
      <w:r>
        <w:rPr>
          <w:rFonts w:ascii="仿宋_GB2312" w:hAnsi="仿宋_GB2312" w:cs="仿宋_GB2312" w:eastAsia="仿宋_GB2312"/>
          <w:sz w:val="24"/>
        </w:rPr>
        <w:t>¥</w:t>
      </w:r>
      <w:r>
        <w:rPr>
          <w:rFonts w:ascii="仿宋_GB2312" w:hAnsi="仿宋_GB2312" w:cs="仿宋_GB2312" w:eastAsia="仿宋_GB2312"/>
          <w:sz w:val="24"/>
        </w:rPr>
        <w:t>2730000.00元</w:t>
      </w:r>
    </w:p>
    <w:p>
      <w:pPr>
        <w:pStyle w:val="null3"/>
        <w:ind w:firstLine="480"/>
        <w:jc w:val="left"/>
      </w:pPr>
      <w:r>
        <w:rPr>
          <w:rFonts w:ascii="仿宋_GB2312" w:hAnsi="仿宋_GB2312" w:cs="仿宋_GB2312" w:eastAsia="仿宋_GB2312"/>
          <w:sz w:val="24"/>
        </w:rPr>
        <w:t>4、最高限价：</w:t>
      </w:r>
      <w:r>
        <w:rPr>
          <w:rFonts w:ascii="仿宋_GB2312" w:hAnsi="仿宋_GB2312" w:cs="仿宋_GB2312" w:eastAsia="仿宋_GB2312"/>
          <w:sz w:val="24"/>
        </w:rPr>
        <w:t>¥</w:t>
      </w:r>
      <w:r>
        <w:rPr>
          <w:rFonts w:ascii="仿宋_GB2312" w:hAnsi="仿宋_GB2312" w:cs="仿宋_GB2312" w:eastAsia="仿宋_GB2312"/>
          <w:sz w:val="24"/>
        </w:rPr>
        <w:t>2648013.00元</w:t>
      </w:r>
    </w:p>
    <w:p>
      <w:pPr>
        <w:pStyle w:val="null3"/>
        <w:ind w:firstLine="480"/>
        <w:jc w:val="left"/>
      </w:pPr>
      <w:r>
        <w:rPr>
          <w:rFonts w:ascii="仿宋_GB2312" w:hAnsi="仿宋_GB2312" w:cs="仿宋_GB2312" w:eastAsia="仿宋_GB2312"/>
          <w:sz w:val="24"/>
        </w:rPr>
        <w:t>5、采购方式：竞争性磋商</w:t>
      </w:r>
    </w:p>
    <w:p>
      <w:pPr>
        <w:pStyle w:val="null3"/>
        <w:ind w:firstLine="480"/>
        <w:jc w:val="left"/>
      </w:pPr>
      <w:r>
        <w:rPr>
          <w:rFonts w:ascii="仿宋_GB2312" w:hAnsi="仿宋_GB2312" w:cs="仿宋_GB2312" w:eastAsia="仿宋_GB2312"/>
          <w:sz w:val="24"/>
        </w:rPr>
        <w:t>6、核心产品：钢琴</w:t>
      </w:r>
    </w:p>
    <w:p>
      <w:pPr>
        <w:pStyle w:val="null3"/>
        <w:ind w:firstLine="480"/>
        <w:jc w:val="left"/>
      </w:pPr>
      <w:r>
        <w:rPr>
          <w:rFonts w:ascii="仿宋_GB2312" w:hAnsi="仿宋_GB2312" w:cs="仿宋_GB2312" w:eastAsia="仿宋_GB2312"/>
          <w:sz w:val="24"/>
        </w:rPr>
        <w:t>7、需求清单一览表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214"/>
        <w:gridCol w:w="2009"/>
        <w:gridCol w:w="2548"/>
        <w:gridCol w:w="1259"/>
        <w:gridCol w:w="1259"/>
      </w:tblGrid>
      <w:tr>
        <w:tc>
          <w:tcPr>
            <w:tcW w:type="dxa" w:w="121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序号</w:t>
            </w:r>
          </w:p>
        </w:tc>
        <w:tc>
          <w:tcPr>
            <w:tcW w:type="dxa" w:w="200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采购设备功能区域</w:t>
            </w:r>
          </w:p>
        </w:tc>
        <w:tc>
          <w:tcPr>
            <w:tcW w:type="dxa" w:w="254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采购设备名称</w:t>
            </w:r>
          </w:p>
        </w:tc>
        <w:tc>
          <w:tcPr>
            <w:tcW w:type="dxa" w:w="125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单位</w:t>
            </w:r>
          </w:p>
        </w:tc>
        <w:tc>
          <w:tcPr>
            <w:tcW w:type="dxa" w:w="125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数量</w:t>
            </w:r>
          </w:p>
        </w:tc>
      </w:tr>
      <w:tr>
        <w:tc>
          <w:tcPr>
            <w:tcW w:type="dxa" w:w="1214"/>
            <w:vMerge/>
            <w:tcBorders>
              <w:top w:val="single" w:color="000000" w:sz="4"/>
              <w:left w:val="single" w:color="000000" w:sz="4"/>
              <w:bottom w:val="single" w:color="000000" w:sz="4"/>
              <w:right w:val="single" w:color="000000" w:sz="4"/>
            </w:tcBorders>
          </w:tcPr>
          <w:p/>
        </w:tc>
        <w:tc>
          <w:tcPr>
            <w:tcW w:type="dxa" w:w="2009"/>
            <w:vMerge/>
            <w:tcBorders>
              <w:top w:val="single" w:color="000000" w:sz="4"/>
              <w:left w:val="single" w:color="000000" w:sz="4"/>
              <w:bottom w:val="single" w:color="000000" w:sz="4"/>
              <w:right w:val="single" w:color="000000" w:sz="4"/>
            </w:tcBorders>
          </w:tcPr>
          <w:p/>
        </w:tc>
        <w:tc>
          <w:tcPr>
            <w:tcW w:type="dxa" w:w="2548"/>
            <w:vMerge/>
            <w:tcBorders>
              <w:top w:val="single" w:color="000000" w:sz="4"/>
              <w:left w:val="single" w:color="000000" w:sz="4"/>
              <w:bottom w:val="single" w:color="000000" w:sz="4"/>
              <w:right w:val="single" w:color="000000" w:sz="4"/>
            </w:tcBorders>
          </w:tcPr>
          <w:p/>
        </w:tc>
        <w:tc>
          <w:tcPr>
            <w:tcW w:type="dxa" w:w="1259"/>
            <w:vMerge/>
            <w:tcBorders>
              <w:top w:val="single" w:color="000000" w:sz="4"/>
              <w:left w:val="single" w:color="000000" w:sz="4"/>
              <w:bottom w:val="single" w:color="000000" w:sz="4"/>
              <w:right w:val="single" w:color="000000" w:sz="4"/>
            </w:tcBorders>
          </w:tcPr>
          <w:p/>
        </w:tc>
        <w:tc>
          <w:tcPr>
            <w:tcW w:type="dxa" w:w="1259"/>
            <w:vMerge/>
            <w:tcBorders>
              <w:top w:val="single" w:color="000000" w:sz="4"/>
              <w:left w:val="single" w:color="000000" w:sz="4"/>
              <w:bottom w:val="single" w:color="000000" w:sz="4"/>
              <w:right w:val="single" w:color="000000" w:sz="4"/>
            </w:tcBorders>
          </w:tcPr>
          <w:p/>
        </w:tc>
      </w:tr>
      <w:tr>
        <w:tc>
          <w:tcPr>
            <w:tcW w:type="dxa" w:w="1214"/>
            <w:vMerge/>
            <w:tcBorders>
              <w:top w:val="single" w:color="000000" w:sz="4"/>
              <w:left w:val="single" w:color="000000" w:sz="4"/>
              <w:bottom w:val="single" w:color="000000" w:sz="4"/>
              <w:right w:val="single" w:color="000000" w:sz="4"/>
            </w:tcBorders>
          </w:tcPr>
          <w:p/>
        </w:tc>
        <w:tc>
          <w:tcPr>
            <w:tcW w:type="dxa" w:w="2009"/>
            <w:vMerge/>
            <w:tcBorders>
              <w:top w:val="single" w:color="000000" w:sz="4"/>
              <w:left w:val="single" w:color="000000" w:sz="4"/>
              <w:bottom w:val="single" w:color="000000" w:sz="4"/>
              <w:right w:val="single" w:color="000000" w:sz="4"/>
            </w:tcBorders>
          </w:tcPr>
          <w:p/>
        </w:tc>
        <w:tc>
          <w:tcPr>
            <w:tcW w:type="dxa" w:w="2548"/>
            <w:vMerge/>
            <w:tcBorders>
              <w:top w:val="single" w:color="000000" w:sz="4"/>
              <w:left w:val="single" w:color="000000" w:sz="4"/>
              <w:bottom w:val="single" w:color="000000" w:sz="4"/>
              <w:right w:val="single" w:color="000000" w:sz="4"/>
            </w:tcBorders>
          </w:tcPr>
          <w:p/>
        </w:tc>
        <w:tc>
          <w:tcPr>
            <w:tcW w:type="dxa" w:w="1259"/>
            <w:vMerge/>
            <w:tcBorders>
              <w:top w:val="single" w:color="000000" w:sz="4"/>
              <w:left w:val="single" w:color="000000" w:sz="4"/>
              <w:bottom w:val="single" w:color="000000" w:sz="4"/>
              <w:right w:val="single" w:color="000000" w:sz="4"/>
            </w:tcBorders>
          </w:tcPr>
          <w:p/>
        </w:tc>
        <w:tc>
          <w:tcPr>
            <w:tcW w:type="dxa" w:w="1259"/>
            <w:vMerge/>
            <w:tcBorders>
              <w:top w:val="single" w:color="000000" w:sz="4"/>
              <w:left w:val="single" w:color="000000" w:sz="4"/>
              <w:bottom w:val="single" w:color="000000" w:sz="4"/>
              <w:right w:val="single" w:color="000000" w:sz="4"/>
            </w:tcBorders>
          </w:tcP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幼儿课桌</w:t>
            </w:r>
            <w:r>
              <w:rPr>
                <w:rFonts w:ascii="仿宋_GB2312" w:hAnsi="仿宋_GB2312" w:cs="仿宋_GB2312" w:eastAsia="仿宋_GB2312"/>
                <w:sz w:val="22"/>
              </w:rPr>
              <w:t>1</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幼儿课桌</w:t>
            </w:r>
            <w:r>
              <w:rPr>
                <w:rFonts w:ascii="仿宋_GB2312" w:hAnsi="仿宋_GB2312" w:cs="仿宋_GB2312" w:eastAsia="仿宋_GB2312"/>
                <w:sz w:val="22"/>
              </w:rPr>
              <w:t>2</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幼儿课桌</w:t>
            </w:r>
            <w:r>
              <w:rPr>
                <w:rFonts w:ascii="仿宋_GB2312" w:hAnsi="仿宋_GB2312" w:cs="仿宋_GB2312" w:eastAsia="仿宋_GB2312"/>
                <w:sz w:val="22"/>
              </w:rPr>
              <w:t>3</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幼儿课桌</w:t>
            </w:r>
            <w:r>
              <w:rPr>
                <w:rFonts w:ascii="仿宋_GB2312" w:hAnsi="仿宋_GB2312" w:cs="仿宋_GB2312" w:eastAsia="仿宋_GB2312"/>
                <w:sz w:val="22"/>
              </w:rPr>
              <w:t>4</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可移动多媒体一体机</w:t>
            </w:r>
            <w:r>
              <w:br/>
            </w:r>
            <w:r>
              <w:rPr>
                <w:rFonts w:ascii="仿宋_GB2312" w:hAnsi="仿宋_GB2312" w:cs="仿宋_GB2312" w:eastAsia="仿宋_GB2312"/>
                <w:sz w:val="22"/>
              </w:rPr>
              <w:t>（含一体机支架）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教师办公电脑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c>
          <w:tcPr>
            <w:tcW w:type="dxa" w:w="20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打印机</w:t>
            </w:r>
          </w:p>
        </w:tc>
        <w:tc>
          <w:tcPr>
            <w:tcW w:type="dxa" w:w="125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vMerge/>
            <w:tcBorders>
              <w:top w:val="none" w:color="000000" w:sz="4"/>
              <w:left w:val="single" w:color="000000" w:sz="4"/>
              <w:bottom w:val="single" w:color="000000" w:sz="4"/>
              <w:right w:val="single" w:color="000000" w:sz="4"/>
            </w:tcBorders>
          </w:tcPr>
          <w:p/>
        </w:tc>
        <w:tc>
          <w:tcPr>
            <w:tcW w:type="dxa" w:w="2009"/>
            <w:vMerge/>
            <w:tcBorders>
              <w:top w:val="none" w:color="000000" w:sz="4"/>
              <w:left w:val="single" w:color="000000" w:sz="4"/>
              <w:bottom w:val="single" w:color="000000" w:sz="4"/>
              <w:right w:val="single" w:color="000000" w:sz="4"/>
            </w:tcBorders>
          </w:tcPr>
          <w:p/>
        </w:tc>
        <w:tc>
          <w:tcPr>
            <w:tcW w:type="dxa" w:w="2548"/>
            <w:vMerge/>
            <w:tcBorders>
              <w:top w:val="none" w:color="000000" w:sz="4"/>
              <w:left w:val="single" w:color="000000" w:sz="4"/>
              <w:bottom w:val="single" w:color="000000" w:sz="4"/>
              <w:right w:val="single" w:color="000000" w:sz="4"/>
            </w:tcBorders>
          </w:tcPr>
          <w:p/>
        </w:tc>
        <w:tc>
          <w:tcPr>
            <w:tcW w:type="dxa" w:w="1259"/>
            <w:vMerge/>
            <w:tcBorders>
              <w:top w:val="none" w:color="000000" w:sz="4"/>
              <w:left w:val="single" w:color="000000" w:sz="4"/>
              <w:bottom w:val="single" w:color="000000" w:sz="4"/>
              <w:right w:val="single" w:color="000000" w:sz="4"/>
            </w:tcBorders>
          </w:tcPr>
          <w:p/>
        </w:tc>
        <w:tc>
          <w:tcPr>
            <w:tcW w:type="dxa" w:w="1259"/>
            <w:vMerge/>
            <w:tcBorders>
              <w:top w:val="none" w:color="000000" w:sz="4"/>
              <w:left w:val="single" w:color="000000" w:sz="4"/>
              <w:bottom w:val="single" w:color="000000" w:sz="4"/>
              <w:right w:val="single" w:color="000000" w:sz="4"/>
            </w:tcBorders>
          </w:tcP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黑板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定制书包鞋柜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位</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儿童午睡床</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玩具收纳柜</w:t>
            </w:r>
            <w:r>
              <w:rPr>
                <w:rFonts w:ascii="仿宋_GB2312" w:hAnsi="仿宋_GB2312" w:cs="仿宋_GB2312" w:eastAsia="仿宋_GB2312"/>
                <w:sz w:val="22"/>
              </w:rPr>
              <w:t>1</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玩具收纳柜</w:t>
            </w:r>
            <w:r>
              <w:rPr>
                <w:rFonts w:ascii="仿宋_GB2312" w:hAnsi="仿宋_GB2312" w:cs="仿宋_GB2312" w:eastAsia="仿宋_GB2312"/>
                <w:sz w:val="22"/>
              </w:rPr>
              <w:t>2</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小吃摊位柜子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图书架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定制配餐柜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平方米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教玩具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水杯柜子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托盘</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小收纳筐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移动水杯架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儿童落地衣架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儿童晾衣架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钢琴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饮水机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自闭症感官帐篷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儿童室内帐篷</w:t>
            </w:r>
            <w:r>
              <w:rPr>
                <w:rFonts w:ascii="仿宋_GB2312" w:hAnsi="仿宋_GB2312" w:cs="仿宋_GB2312" w:eastAsia="仿宋_GB2312"/>
                <w:sz w:val="22"/>
              </w:rPr>
              <w:t>1</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儿童室内帐篷</w:t>
            </w:r>
            <w:r>
              <w:rPr>
                <w:rFonts w:ascii="仿宋_GB2312" w:hAnsi="仿宋_GB2312" w:cs="仿宋_GB2312" w:eastAsia="仿宋_GB2312"/>
                <w:sz w:val="22"/>
              </w:rPr>
              <w:t>2</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儿童室内帐篷</w:t>
            </w:r>
            <w:r>
              <w:rPr>
                <w:rFonts w:ascii="仿宋_GB2312" w:hAnsi="仿宋_GB2312" w:cs="仿宋_GB2312" w:eastAsia="仿宋_GB2312"/>
                <w:sz w:val="22"/>
              </w:rPr>
              <w:t>3</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儿童室内帐篷</w:t>
            </w:r>
            <w:r>
              <w:rPr>
                <w:rFonts w:ascii="仿宋_GB2312" w:hAnsi="仿宋_GB2312" w:cs="仿宋_GB2312" w:eastAsia="仿宋_GB2312"/>
                <w:sz w:val="22"/>
              </w:rPr>
              <w:t>4</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电子班牌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过塑机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垃圾桶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紫外线消毒灯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融合班级</w:t>
            </w:r>
            <w:r>
              <w:br/>
            </w:r>
            <w:r>
              <w:rPr>
                <w:rFonts w:ascii="仿宋_GB2312" w:hAnsi="仿宋_GB2312" w:cs="仿宋_GB2312" w:eastAsia="仿宋_GB2312"/>
                <w:sz w:val="22"/>
              </w:rPr>
              <w:t>智障班级</w:t>
            </w:r>
            <w:r>
              <w:br/>
            </w:r>
            <w:r>
              <w:rPr>
                <w:rFonts w:ascii="仿宋_GB2312" w:hAnsi="仿宋_GB2312" w:cs="仿宋_GB2312" w:eastAsia="仿宋_GB2312"/>
                <w:sz w:val="22"/>
              </w:rPr>
              <w:t>共</w:t>
            </w:r>
            <w:r>
              <w:rPr>
                <w:rFonts w:ascii="仿宋_GB2312" w:hAnsi="仿宋_GB2312" w:cs="仿宋_GB2312" w:eastAsia="仿宋_GB2312"/>
                <w:sz w:val="22"/>
              </w:rPr>
              <w:t>2间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灭火器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听障教室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声场测听仪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听障教室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声级计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听障教室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便携式助听器评估仪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听障教室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可推拉多层黑板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听障教室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AI辅助教学系统</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功放</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一拖二手持式话筒</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单</w:t>
            </w:r>
            <w:r>
              <w:rPr>
                <w:rFonts w:ascii="仿宋_GB2312" w:hAnsi="仿宋_GB2312" w:cs="仿宋_GB2312" w:eastAsia="仿宋_GB2312"/>
                <w:sz w:val="22"/>
              </w:rPr>
              <w:t>10寸专业音箱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辅材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机柜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盲杖</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盲文图形制作工具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盲用绘图板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盲文图形制作机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专用热敏纸</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盲人有声读书机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手持电子助视器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台式助视器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阳光读屏软件（专业网络版）</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双面盲文刻印机</w:t>
            </w:r>
            <w:r>
              <w:rPr>
                <w:rFonts w:ascii="仿宋_GB2312" w:hAnsi="仿宋_GB2312" w:cs="仿宋_GB2312" w:eastAsia="仿宋_GB2312"/>
                <w:sz w:val="22"/>
              </w:rPr>
              <w:t>Everest-D V5</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电脑（含键盘鼠标）</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明盲对照绘本</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视障教室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儿童读物</w:t>
            </w:r>
            <w:r>
              <w:rPr>
                <w:rFonts w:ascii="仿宋_GB2312" w:hAnsi="仿宋_GB2312" w:cs="仿宋_GB2312" w:eastAsia="仿宋_GB2312"/>
                <w:sz w:val="22"/>
              </w:rPr>
              <w:t>-大字版</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AAC沟通笔</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灭火器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桌椅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矮柜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特殊教育教具类</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阅览室及康复训练室</w:t>
            </w:r>
            <w:r>
              <w:rPr>
                <w:rFonts w:ascii="仿宋_GB2312" w:hAnsi="仿宋_GB2312" w:cs="仿宋_GB2312" w:eastAsia="仿宋_GB2312"/>
                <w:sz w:val="22"/>
              </w:rPr>
              <w:t>4间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定制绘本馆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平方米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矮柜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弱视治疗仪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视功能训练区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方位及追踪训练灯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木制式眼手协调训练系统</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低视力康复训练软件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特殊需要儿童汉字学习系统</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低视力儿童视功能训练图谱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儿童阅览桌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手写荧光板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视听功能训练室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磁性书写板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一楼教师办公室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一楼教师办公室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一楼教师办公室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一楼教师办公室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灭火器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三角垫</w:t>
            </w:r>
            <w:r>
              <w:rPr>
                <w:rFonts w:ascii="仿宋_GB2312" w:hAnsi="仿宋_GB2312" w:cs="仿宋_GB2312" w:eastAsia="仿宋_GB2312"/>
                <w:sz w:val="22"/>
              </w:rPr>
              <w:t>60×50×10公分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三角垫</w:t>
            </w:r>
            <w:r>
              <w:rPr>
                <w:rFonts w:ascii="仿宋_GB2312" w:hAnsi="仿宋_GB2312" w:cs="仿宋_GB2312" w:eastAsia="仿宋_GB2312"/>
                <w:sz w:val="22"/>
              </w:rPr>
              <w:t>60×50×30公分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三角垫</w:t>
            </w:r>
            <w:r>
              <w:rPr>
                <w:rFonts w:ascii="仿宋_GB2312" w:hAnsi="仿宋_GB2312" w:cs="仿宋_GB2312" w:eastAsia="仿宋_GB2312"/>
                <w:sz w:val="22"/>
              </w:rPr>
              <w:t>60×50×40公分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三角垫</w:t>
            </w:r>
            <w:r>
              <w:rPr>
                <w:rFonts w:ascii="仿宋_GB2312" w:hAnsi="仿宋_GB2312" w:cs="仿宋_GB2312" w:eastAsia="仿宋_GB2312"/>
                <w:sz w:val="22"/>
              </w:rPr>
              <w:t>60×50×50公分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滚筒</w:t>
            </w:r>
            <w:r>
              <w:rPr>
                <w:rFonts w:ascii="仿宋_GB2312" w:hAnsi="仿宋_GB2312" w:cs="仿宋_GB2312" w:eastAsia="仿宋_GB2312"/>
                <w:sz w:val="22"/>
              </w:rPr>
              <w:t>90×25公分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滚筒</w:t>
            </w:r>
            <w:r>
              <w:rPr>
                <w:rFonts w:ascii="仿宋_GB2312" w:hAnsi="仿宋_GB2312" w:cs="仿宋_GB2312" w:eastAsia="仿宋_GB2312"/>
                <w:sz w:val="22"/>
              </w:rPr>
              <w:t>90×30公分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滚筒</w:t>
            </w:r>
            <w:r>
              <w:rPr>
                <w:rFonts w:ascii="仿宋_GB2312" w:hAnsi="仿宋_GB2312" w:cs="仿宋_GB2312" w:eastAsia="仿宋_GB2312"/>
                <w:sz w:val="22"/>
              </w:rPr>
              <w:t>90×35公分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滚筒</w:t>
            </w:r>
            <w:r>
              <w:rPr>
                <w:rFonts w:ascii="仿宋_GB2312" w:hAnsi="仿宋_GB2312" w:cs="仿宋_GB2312" w:eastAsia="仿宋_GB2312"/>
                <w:sz w:val="22"/>
              </w:rPr>
              <w:t>90×40公分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鱼游板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过河石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刷身刷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踩踏石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圆形小滑板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跷跷板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手摇旋转盘</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地面地垫</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高跷组合</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摇晃岛玩具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悬浮板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感统教室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灭火器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投影仪及幕布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反馈抑制器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一拖二手持式话筒</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无线会议系统主机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无线会议主席单元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无线会议代表单元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会议线性音柱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双通道专业功放</w:t>
            </w:r>
            <w:r>
              <w:rPr>
                <w:rFonts w:ascii="仿宋_GB2312" w:hAnsi="仿宋_GB2312" w:cs="仿宋_GB2312" w:eastAsia="仿宋_GB2312"/>
                <w:sz w:val="22"/>
              </w:rPr>
              <w:t>(300W*2)</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调音台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电源时序器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网络机柜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辅材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笔记本电脑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可移动多媒体一体机</w:t>
            </w:r>
            <w:r>
              <w:br/>
            </w:r>
            <w:r>
              <w:rPr>
                <w:rFonts w:ascii="仿宋_GB2312" w:hAnsi="仿宋_GB2312" w:cs="仿宋_GB2312" w:eastAsia="仿宋_GB2312"/>
                <w:sz w:val="22"/>
              </w:rPr>
              <w:t>（含一体机支架）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移动黑板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LED屏</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平方米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4.16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开关电源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简易框架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控制系统</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电源线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LED屏</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平方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开关电源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接收卡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视频处理器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显示屏结构</w:t>
            </w:r>
            <w:r>
              <w:rPr>
                <w:rFonts w:ascii="仿宋_GB2312" w:hAnsi="仿宋_GB2312" w:cs="仿宋_GB2312" w:eastAsia="仿宋_GB2312"/>
                <w:sz w:val="22"/>
              </w:rPr>
              <w:t>(铝塑板包围)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22.32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配电箱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139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屏体供电主电源线（含布线）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屏体主电源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屏体通讯主信号线（含布线）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反馈抑制器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真分集一拖二手持式无线话筒</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单</w:t>
            </w:r>
            <w:r>
              <w:rPr>
                <w:rFonts w:ascii="仿宋_GB2312" w:hAnsi="仿宋_GB2312" w:cs="仿宋_GB2312" w:eastAsia="仿宋_GB2312"/>
                <w:sz w:val="22"/>
              </w:rPr>
              <w:t>10寸专业音箱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四通道专业功放</w:t>
            </w:r>
            <w:r>
              <w:rPr>
                <w:rFonts w:ascii="仿宋_GB2312" w:hAnsi="仿宋_GB2312" w:cs="仿宋_GB2312" w:eastAsia="仿宋_GB2312"/>
                <w:sz w:val="22"/>
              </w:rPr>
              <w:t>(400W*4)</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8路调音台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电源时序器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网络机柜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辅材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笔记本电脑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演讲台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主席台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位</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桌子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二楼多功能活动室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桌子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玩具收纳柜</w:t>
            </w:r>
            <w:r>
              <w:rPr>
                <w:rFonts w:ascii="仿宋_GB2312" w:hAnsi="仿宋_GB2312" w:cs="仿宋_GB2312" w:eastAsia="仿宋_GB2312"/>
                <w:sz w:val="22"/>
              </w:rPr>
              <w:t>1</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地毯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粉红塔</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几何立体组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蒙氏教室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阅读角书架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画架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画板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画纸</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彩纸</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颜料</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调色盘</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画笔</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圆头剪刀</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把</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陶艺工具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串珠材料</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拼贴材料</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收纳柜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网格展示架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179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折叠网格展示架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美工教室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迎宾展板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音乐放松椅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体感音波减压放松舱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钢琴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打击乐器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弦乐器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乐器分类柜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音乐治疗室及音乐教室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乐谱及耗材柜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1号教师办公及休息室3间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189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1号教师办公及休息室3间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1号教师办公及休息室3间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1号教师办公及休息室3间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桌前椅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木质文件柜（带锁）</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打印扫描一体机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园长室间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199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大型打印机扫描仪一体机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保险柜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验钞机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票据装订机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文件柜（带锁）</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财务室间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2号教师办公室间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窗帘（含配件）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2号教师办公室间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组</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2号教师办公室间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会议桌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二楼</w:t>
            </w:r>
            <w:r>
              <w:rPr>
                <w:rFonts w:ascii="仿宋_GB2312" w:hAnsi="仿宋_GB2312" w:cs="仿宋_GB2312" w:eastAsia="仿宋_GB2312"/>
                <w:sz w:val="22"/>
              </w:rPr>
              <w:t>2号教师办公室间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椅子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平衡木（</w:t>
            </w:r>
            <w:r>
              <w:rPr>
                <w:rFonts w:ascii="仿宋_GB2312" w:hAnsi="仿宋_GB2312" w:cs="仿宋_GB2312" w:eastAsia="仿宋_GB2312"/>
                <w:sz w:val="22"/>
              </w:rPr>
              <w:t>6桥7墩）</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塑料双人跷跷板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8</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多人互动秋千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综合大型滑梯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海绵垫子</w:t>
            </w:r>
            <w:r>
              <w:rPr>
                <w:rFonts w:ascii="仿宋_GB2312" w:hAnsi="仿宋_GB2312" w:cs="仿宋_GB2312" w:eastAsia="仿宋_GB2312"/>
                <w:sz w:val="22"/>
              </w:rPr>
              <w:t>120×60×5 厘米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三轮小车</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 xml:space="preserve"> </w:t>
            </w:r>
            <w:r>
              <w:rPr>
                <w:rFonts w:ascii="仿宋_GB2312" w:hAnsi="仿宋_GB2312" w:cs="仿宋_GB2312" w:eastAsia="仿宋_GB2312"/>
                <w:sz w:val="22"/>
              </w:rPr>
              <w:t>收纳筐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219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仿真泡沫砖头</w:t>
            </w:r>
            <w:r>
              <w:rPr>
                <w:rFonts w:ascii="仿宋_GB2312" w:hAnsi="仿宋_GB2312" w:cs="仿宋_GB2312" w:eastAsia="仿宋_GB2312"/>
                <w:sz w:val="22"/>
              </w:rPr>
              <w:t>439件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泡沫原木色砖块（</w:t>
            </w:r>
            <w:r>
              <w:rPr>
                <w:rFonts w:ascii="仿宋_GB2312" w:hAnsi="仿宋_GB2312" w:cs="仿宋_GB2312" w:eastAsia="仿宋_GB2312"/>
                <w:sz w:val="22"/>
              </w:rPr>
              <w:t>100块）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雨衣</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雨鞋</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雨具放置架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拳击袋</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安吉草墩攀爬组合</w:t>
            </w:r>
            <w:r>
              <w:rPr>
                <w:rFonts w:ascii="仿宋_GB2312" w:hAnsi="仿宋_GB2312" w:cs="仿宋_GB2312" w:eastAsia="仿宋_GB2312"/>
                <w:sz w:val="22"/>
              </w:rPr>
              <w:t>12件套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安吉攀爬游戏</w:t>
            </w:r>
            <w:r>
              <w:rPr>
                <w:rFonts w:ascii="仿宋_GB2312" w:hAnsi="仿宋_GB2312" w:cs="仿宋_GB2312" w:eastAsia="仿宋_GB2312"/>
                <w:sz w:val="22"/>
              </w:rPr>
              <w:t>17件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小车划船组合</w:t>
            </w:r>
            <w:r>
              <w:rPr>
                <w:rFonts w:ascii="仿宋_GB2312" w:hAnsi="仿宋_GB2312" w:cs="仿宋_GB2312" w:eastAsia="仿宋_GB2312"/>
                <w:sz w:val="22"/>
              </w:rPr>
              <w:t>10件套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防腐木梅花桩高</w:t>
            </w:r>
            <w:r>
              <w:rPr>
                <w:rFonts w:ascii="仿宋_GB2312" w:hAnsi="仿宋_GB2312" w:cs="仿宋_GB2312" w:eastAsia="仿宋_GB2312"/>
                <w:sz w:val="22"/>
              </w:rPr>
              <w:t>15公分</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229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迷彩爬行隧道五合一（</w:t>
            </w:r>
            <w:r>
              <w:rPr>
                <w:rFonts w:ascii="仿宋_GB2312" w:hAnsi="仿宋_GB2312" w:cs="仿宋_GB2312" w:eastAsia="仿宋_GB2312"/>
                <w:sz w:val="22"/>
              </w:rPr>
              <w:t>1114X52X130）四个隧道一个城堡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户外仿真厨房玩具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安吉滚筒（</w:t>
            </w:r>
            <w:r>
              <w:rPr>
                <w:rFonts w:ascii="仿宋_GB2312" w:hAnsi="仿宋_GB2312" w:cs="仿宋_GB2312" w:eastAsia="仿宋_GB2312"/>
                <w:sz w:val="22"/>
              </w:rPr>
              <w:t>60厘米）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足球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篮球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篮球架（可伸缩）</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分班活动场地</w:t>
            </w:r>
            <w:r>
              <w:rPr>
                <w:rFonts w:ascii="仿宋_GB2312" w:hAnsi="仿宋_GB2312" w:cs="仿宋_GB2312" w:eastAsia="仿宋_GB2312"/>
                <w:sz w:val="22"/>
              </w:rPr>
              <w:t>6块</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足球架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值班室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八大件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值班室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值班室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239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值班室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医用检查床</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身高体重测量仪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电子体温计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压舌板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盒</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视力检查表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听诊器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消毒喷雾器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紫外线消毒灯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盏</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消毒毛巾</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249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打印机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等候座椅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档案柜子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观察床</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血压计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防护用品</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消毒用品</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呕吐物处置箱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急救箱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污物桶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轮椅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消毒柜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洗衣机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观察室</w:t>
            </w:r>
            <w:r>
              <w:rPr>
                <w:rFonts w:ascii="仿宋_GB2312" w:hAnsi="仿宋_GB2312" w:cs="仿宋_GB2312" w:eastAsia="仿宋_GB2312"/>
                <w:sz w:val="22"/>
              </w:rPr>
              <w:t>1间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烘干机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烹饪区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不锈钢炉灶拼台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烹饪区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燃气双头双尾炒炉</w:t>
            </w:r>
            <w:r>
              <w:rPr>
                <w:rFonts w:ascii="仿宋_GB2312" w:hAnsi="仿宋_GB2312" w:cs="仿宋_GB2312" w:eastAsia="仿宋_GB2312"/>
                <w:sz w:val="22"/>
              </w:rPr>
              <w:t xml:space="preserve">    </w:t>
            </w:r>
            <w:r>
              <w:rPr>
                <w:rFonts w:ascii="仿宋_GB2312" w:hAnsi="仿宋_GB2312" w:cs="仿宋_GB2312" w:eastAsia="仿宋_GB2312"/>
                <w:sz w:val="22"/>
              </w:rPr>
              <w:t>（锅架、炸篱架、尾撑）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烹饪区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二十四盘电蒸饭柜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269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烹饪区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燃气单头矮汤炉</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烹饪区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双通工作台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烹饪区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厨房挂墙式洗地水龙头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粗加工区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加大双星洗物池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粗加工区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双层操作台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粗加工区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大单星盆水池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粗加工区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单星工作台（右星）</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粗加工区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立式切肉机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粗加工区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豆浆机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三层六盘电烤箱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279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十五层醒发箱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不锈钢十五层饼盘架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四门双温双控冷柜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双星盆水池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全钢</w:t>
            </w:r>
            <w:r>
              <w:rPr>
                <w:rFonts w:ascii="仿宋_GB2312" w:hAnsi="仿宋_GB2312" w:cs="仿宋_GB2312" w:eastAsia="仿宋_GB2312"/>
                <w:sz w:val="22"/>
              </w:rPr>
              <w:t>130高速压面机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双速双动和面机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多功能搅拌机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案板擀面台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活动面粉车</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配餐区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不锈钢洗手池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289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配餐区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自动感应干手器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配餐区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双层操作台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配餐区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食品留样冷柜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配餐区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感应水龙头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存放区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不锈钢四层货架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存放区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高深储物柜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消毒区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双门立式高温热风循消毒柜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清洗区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不锈钢四层货架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清洗区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双星盆水池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清洗区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收残台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299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开水房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开水器带底座</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开水房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不锈钢开水器底架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库房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不锈钢米、面架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库房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不锈钢四层货架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仓库</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1.0米风幕机节能静音型</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仓库</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半球式诱捕灭蚊蝇灯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仓库</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1.2米风幕机节能静音型</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仓库</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更衣柜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加工间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120型上翻门可视刀具砧板消毒柜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加工间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双层工作台带靠背（圆腿）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309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主厨房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厨房灭火系统</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主厨房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双层工作台带靠背（圆腿）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主厨房</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双通工作台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洗碗间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1.5米商用超声波洗碗机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备餐间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紫外线消毒灯</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备餐间</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不锈钢高位水龙头连下水器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明厨亮灶半球网络专用摄像机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6T监控级硬盘</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2盘位16路网络视频录像机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16口POE百兆交换机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319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55寸明厨亮灶显示屏</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明厨亮灶系统集成费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不锈钢烟罩</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不锈钢隔墙板</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5.1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低噪音风柜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二级静电油烟净化器</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风机支架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净化器支架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镀锌集烟箱、烟管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镀锌弯头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9</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329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镀锌变头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帆布软接</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管道角铁法兰</w:t>
            </w:r>
            <w:r>
              <w:rPr>
                <w:rFonts w:ascii="仿宋_GB2312" w:hAnsi="仿宋_GB2312" w:cs="仿宋_GB2312" w:eastAsia="仿宋_GB2312"/>
                <w:sz w:val="22"/>
              </w:rPr>
              <w:t>/固定支架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25</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热厨区排烟项目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风机缺相保护装置</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不锈钢烟罩</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镀锌集烟箱、烟管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轴流风机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面点区排烟项目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镀锌弯头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低噪音风柜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风机支架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件</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339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镀锌集烟箱、烟管</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米</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风管弯头</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7</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不锈钢送风口</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帆布软接</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风机缺相保护装置</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厨房送鲜风项目</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波纹下挂鲜风下挂口</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就餐区</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四人餐桌椅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资料存档室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文件柜</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个</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资料存档室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办公桌</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资料存档室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办公椅</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张</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349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资料存档室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办公电脑</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350</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资料存档室</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打印机</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351</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幼儿餐盘、具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200</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352</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厨房用具盆等</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353</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仓库收纳箱</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354</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三防设备设施</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355</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柜式送餐车</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4</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356</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清洗清洁工具</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357</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备餐间、仓库空调</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台</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358</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空调安装辅材</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套</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2</w:t>
            </w:r>
          </w:p>
        </w:tc>
      </w:tr>
      <w:tr>
        <w:tc>
          <w:tcPr>
            <w:tcW w:type="dxa" w:w="121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359</w:t>
            </w:r>
          </w:p>
        </w:tc>
        <w:tc>
          <w:tcPr>
            <w:tcW w:type="dxa" w:w="20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其他设备</w:t>
            </w:r>
          </w:p>
        </w:tc>
        <w:tc>
          <w:tcPr>
            <w:tcW w:type="dxa" w:w="254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厨房设备安装辅助材料</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项</w:t>
            </w:r>
          </w:p>
        </w:tc>
        <w:tc>
          <w:tcPr>
            <w:tcW w:type="dxa" w:w="12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2"/>
              </w:rPr>
              <w:t>1</w:t>
            </w: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2,730,000.00</w:t>
      </w:r>
    </w:p>
    <w:p>
      <w:pPr>
        <w:pStyle w:val="null3"/>
        <w:jc w:val="left"/>
      </w:pPr>
      <w:r>
        <w:rPr>
          <w:rFonts w:ascii="仿宋_GB2312" w:hAnsi="仿宋_GB2312" w:cs="仿宋_GB2312" w:eastAsia="仿宋_GB2312"/>
        </w:rPr>
        <w:t>采购包最高限价（元）: 2,648,013.00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A02010109-平板式计算机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A02010109-平板式计算机</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2,648,013.00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标的名称：A02010109-平板式计算机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1.合同履行期限（交货期）：自合同签订之日起30天内完成交货。</w:t>
            </w:r>
          </w:p>
          <w:p>
            <w:pPr>
              <w:pStyle w:val="null3"/>
              <w:jc w:val="both"/>
            </w:pPr>
            <w:r>
              <w:rPr>
                <w:rFonts w:ascii="仿宋_GB2312" w:hAnsi="仿宋_GB2312" w:cs="仿宋_GB2312" w:eastAsia="仿宋_GB2312"/>
                <w:sz w:val="21"/>
              </w:rPr>
              <w:t>2.合同履行地点（交货地点）：采购人指定地点。</w:t>
            </w:r>
          </w:p>
          <w:p>
            <w:pPr>
              <w:pStyle w:val="null3"/>
              <w:jc w:val="both"/>
            </w:pPr>
            <w:r>
              <w:rPr>
                <w:rFonts w:ascii="仿宋_GB2312" w:hAnsi="仿宋_GB2312" w:cs="仿宋_GB2312" w:eastAsia="仿宋_GB2312"/>
                <w:sz w:val="21"/>
              </w:rPr>
              <w:t>3.支付方式：合同签订后，甲方凭乙方开具的正式有效发票于5个工作日内向乙方支付合同总金额的 30％预付款；所有货品（设备）到后，甲方凭乙方开具的正式有效发票于5个工作日内向乙方支付合同总金额的 40％；全部安装、调试完毕，项目整体交付使用，项目最终验收合格后，甲方凭乙方开具的正式有效发票于5个工作日内向乙方支付合同总金额的27%；货品（设备）质保期届满且确认无质量问题后，甲方凭乙方开具的有效发票，在10个工作日内，向乙方支付合同总金额3%。（具体以合同签订为准）</w:t>
            </w:r>
          </w:p>
          <w:p>
            <w:pPr>
              <w:pStyle w:val="null3"/>
              <w:jc w:val="both"/>
            </w:pPr>
            <w:r>
              <w:rPr>
                <w:rFonts w:ascii="仿宋_GB2312" w:hAnsi="仿宋_GB2312" w:cs="仿宋_GB2312" w:eastAsia="仿宋_GB2312"/>
                <w:sz w:val="21"/>
              </w:rPr>
              <w:t>4.包装及运输要求：本次采购的货物和材料必须是全新的，所有货物运输到达现场时的包装必须是完整的。安装所需工具设施物料由供应商自备、自费运到现场，完工后自费搬走。</w:t>
            </w:r>
          </w:p>
          <w:p>
            <w:pPr>
              <w:pStyle w:val="null3"/>
              <w:jc w:val="both"/>
            </w:pPr>
            <w:r>
              <w:rPr>
                <w:rFonts w:ascii="仿宋_GB2312" w:hAnsi="仿宋_GB2312" w:cs="仿宋_GB2312" w:eastAsia="仿宋_GB2312"/>
                <w:sz w:val="21"/>
              </w:rPr>
              <w:t>5.验收方式、验收标准：按国家有关规定以及甲方采购文件的质量要求和技术指标、乙方的响应文件及承诺与合同约定标准进行验收；甲乙双方如对质量要求和技术指标的约定标准有相互抵触或异议的事项，由甲方在采购文件与响应文件中按质量要求和技术指标比较优胜的原则确定该项的约定标准进行验收。</w:t>
            </w:r>
          </w:p>
          <w:p>
            <w:pPr>
              <w:pStyle w:val="null3"/>
              <w:jc w:val="both"/>
            </w:pPr>
            <w:r>
              <w:rPr>
                <w:rFonts w:ascii="仿宋_GB2312" w:hAnsi="仿宋_GB2312" w:cs="仿宋_GB2312" w:eastAsia="仿宋_GB2312"/>
                <w:sz w:val="21"/>
              </w:rPr>
              <w:t>6.售后服务、质保期：供应商必须为此次投标货物提供不少于3年质保服务（设备质保期如有超出部分按原厂商标准提供维护，质保期以验收合格之日算起）。</w:t>
            </w:r>
          </w:p>
          <w:p>
            <w:pPr>
              <w:pStyle w:val="null3"/>
              <w:jc w:val="both"/>
            </w:pPr>
            <w:r>
              <w:rPr>
                <w:rFonts w:ascii="仿宋_GB2312" w:hAnsi="仿宋_GB2312" w:cs="仿宋_GB2312" w:eastAsia="仿宋_GB2312"/>
                <w:sz w:val="21"/>
              </w:rPr>
              <w:t>7.其他要求</w:t>
            </w:r>
          </w:p>
          <w:p>
            <w:pPr>
              <w:pStyle w:val="null3"/>
              <w:jc w:val="both"/>
            </w:pPr>
            <w:r>
              <w:rPr>
                <w:rFonts w:ascii="仿宋_GB2312" w:hAnsi="仿宋_GB2312" w:cs="仿宋_GB2312" w:eastAsia="仿宋_GB2312"/>
                <w:sz w:val="21"/>
              </w:rPr>
              <w:t>7.1.供应商应充分了解上述情况，根据实际情况，充分考虑所需要的设备费、运输费、装卸费、安装费、验收、税费等一切费用等费用计入报价中，以后不得增加相关费用。</w:t>
            </w:r>
          </w:p>
          <w:p>
            <w:pPr>
              <w:pStyle w:val="null3"/>
              <w:jc w:val="both"/>
            </w:pPr>
            <w:r>
              <w:rPr>
                <w:rFonts w:ascii="仿宋_GB2312" w:hAnsi="仿宋_GB2312" w:cs="仿宋_GB2312" w:eastAsia="仿宋_GB2312"/>
                <w:sz w:val="21"/>
              </w:rPr>
              <w:t>7.2根据①海南省财政厅关于印发《海南省省直行政事业单位通用办公设备及家具配置标准》的通知、②海南省财政厅海南省教育厅关于印发《海南省省本级教育类资产配置标准》的通知，本项目采购清单中的产品如属于以上通知中所列类别的，应遵循该通知的规定，供应商对本项目中以上通知所涉产品的报价不得超过通知中的配置标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项目配送方案</w:t>
            </w:r>
          </w:p>
        </w:tc>
        <w:tc>
          <w:tcPr>
            <w:tcW w:type="dxa" w:w="2492"/>
          </w:tcPr>
          <w:p>
            <w:pPr>
              <w:pStyle w:val="null3"/>
              <w:jc w:val="left"/>
            </w:pPr>
            <w:r>
              <w:rPr>
                <w:rFonts w:ascii="仿宋_GB2312" w:hAnsi="仿宋_GB2312" w:cs="仿宋_GB2312" w:eastAsia="仿宋_GB2312"/>
              </w:rPr>
              <w:t>根据供应商提供的配送方案，内容包括但不仅限于：配送前准备工作、仓储物流、配送保证措施、配送团队等进行综合评审赋分，提供详细的配送方案的得8分，每缺少一项内容扣2分； 提供的配送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根据供应商提供的实施方案，内容包括但不仅限于：项目管理机构、人员岗位职责、实施目标、进度计划、安装方案、质量管理措施、质量保证措施、重难点分析等进行综合评审赋分。 提供详细的实施方案的得16分，每缺少一项内容扣2分； 提供的实施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根据供应商提供的售后服务方案，内容包括但不仅限于：售后服务内容、售后服务方式、维修方案、响应方式、响应时间、应急维修等进行综合评审赋分。 提供详细的售后服务方案的得12分，每缺少一项内容扣2分； 提供的售后服务方案内容，每一项存在缺陷扣1分。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根据供应商提供的培训方案，内容包括但不仅限于：培训组织计划、产品使用培训、培训人员配备、培训课程、培训课时、培训师资等进行综合评审赋分。 提供详细的培训方案的得12分，每缺少一项内容扣2分； 提供的培训方案内容，每一项存在缺陷扣1分。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1.供应商提供的产品技术参数、规格及其它要求完全满足或优于采购文件技术指标要求得满分20分； 2.标“▲”条款（10分）:无偏离的计10分，每负偏离1项扣1分，负偏离达10项的，此项得0分; 3.非标"▲”条款（10分）:无偏离的计10分，每负偏离1项扣0.2分，负偏离≥50项，此项得0分。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供应商提供2022年1月1日至今（以合同签订日期为准）承接的类似项目业绩，提供一个业绩得1分，满分2分。注：提供合同复印件并加盖单位公章，不提供不得分。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[HNYY]20250900001[CS]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海南海口特殊教育幼儿园开学设备购置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海南海口特殊教育幼儿园开学设备购置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交货地点</w:t>
            </w:r>
          </w:p>
        </w:tc>
        <w:tc>
          <w:tcPr>
            <w:tcW w:type="dxa" w:w="639"/>
          </w:tcPr>
          <w:p>
            <w:pPr>
              <w:pStyle w:val="null3"/>
              <w:jc w:val="left"/>
            </w:pPr>
            <w:r>
              <w:rPr>
                <w:rFonts w:ascii="仿宋_GB2312" w:hAnsi="仿宋_GB2312" w:cs="仿宋_GB2312" w:eastAsia="仿宋_GB2312"/>
              </w:rPr>
              <w:t xml:space="preserve"> 合同履行期限</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A02010109-平板式计算机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项</w:t>
            </w:r>
          </w:p>
        </w:tc>
        <w:tc>
          <w:tcPr>
            <w:tcW w:type="dxa" w:w="639"/>
          </w:tcPr>
          <w:p>
            <w:pPr>
              <w:pStyle w:val="null3"/>
              <w:jc w:val="left"/>
            </w:pPr>
            <w:r>
              <w:rPr>
                <w:rFonts w:ascii="仿宋_GB2312" w:hAnsi="仿宋_GB2312" w:cs="仿宋_GB2312" w:eastAsia="仿宋_GB2312"/>
              </w:rPr>
              <w:t xml:space="preserve"> 2648013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