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海口市电子政务外网运维项目（2025年-2026年）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[0700]20250900001[GK]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海口市信息中心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中国通用咨询投资有限公司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海口市信息中心</w:t>
      </w:r>
      <w:r>
        <w:rPr>
          <w:rFonts w:ascii="仿宋_GB2312" w:hAnsi="仿宋_GB2312" w:cs="仿宋_GB2312" w:eastAsia="仿宋_GB2312"/>
        </w:rPr>
        <w:t xml:space="preserve"> 委托， </w:t>
      </w:r>
      <w:r>
        <w:rPr>
          <w:rFonts w:ascii="仿宋_GB2312" w:hAnsi="仿宋_GB2312" w:cs="仿宋_GB2312" w:eastAsia="仿宋_GB2312"/>
        </w:rPr>
        <w:t>中国通用咨询投资有限公司</w:t>
      </w:r>
      <w:r>
        <w:rPr>
          <w:rFonts w:ascii="仿宋_GB2312" w:hAnsi="仿宋_GB2312" w:cs="仿宋_GB2312" w:eastAsia="仿宋_GB2312"/>
        </w:rPr>
        <w:t xml:space="preserve"> 对 </w:t>
      </w:r>
      <w:r>
        <w:rPr>
          <w:rFonts w:ascii="仿宋_GB2312" w:hAnsi="仿宋_GB2312" w:cs="仿宋_GB2312" w:eastAsia="仿宋_GB2312"/>
        </w:rPr>
        <w:t>海口市电子政务外网运维项目（2025年-2026年）</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[0700]20250900001[GK]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海口市电子政务外网运维项目（2025年-2026年）</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7,420,000.00元</w:t>
      </w:r>
      <w:r>
        <w:rPr>
          <w:rFonts w:ascii="仿宋_GB2312" w:hAnsi="仿宋_GB2312" w:cs="仿宋_GB2312" w:eastAsia="仿宋_GB2312"/>
        </w:rPr>
        <w:t>柒佰肆拾贰万元整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二年（合同逐年签约）</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2、投标人须在海南政府采购网(https://www.ccgp-hainan.gov.cn/zhuzhan/)中的海南省政府采购电子化交易管理系统平台进行注册并完善信息，然后下载参与投标项目电子招标文件（数据包）及其他文件； 3、电子标（招标文件数据包后缀名.wtbwj）:必须使用投标工具（帮助中心下载）制作电子版的投标文件， 并使用数字证书（https://www.yuque.com/haonan123/bzzx /ugmn1f）进行签字和加密，投标截止时间前，必须登录系统上传加密的电子投标文件（后 缀名. wenc）,开标前必须进入电子开标大厅在线签到（未签到视为无效投标）； 注意事项：电子标采用全程电子化操 作，供应商应详细阅读海南政府采购网的通知《海南省财政厅关于进一步推进政府采购全流 程电子化的通知》，供应商使用交易系统遇到问题可致电技术支持：0898-68546705。4、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海口市信息中心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海口市秀英区长滨东二街市行政办公区17栋北楼2层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570135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0898-68703022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中国通用咨询投资有限公司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北京市丰台区西三环中路90号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周璟煜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0898-65801980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采购包1：7,420,000.00元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代理服务费收费标准：本次采购活动按招标代理协议的约定向中标/成交供应商收取招标代理服务费：人民币伍万肆仟贰佰贰拾陆元（¥54226.00元）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联系人：周璟煜</w:t>
      </w:r>
    </w:p>
    <w:p>
      <w:pPr>
        <w:pStyle w:val="null3"/>
        <w:jc w:val="left"/>
      </w:pPr>
      <w:r>
        <w:rPr>
          <w:rFonts w:ascii="仿宋_GB2312" w:hAnsi="仿宋_GB2312" w:cs="仿宋_GB2312" w:eastAsia="仿宋_GB2312"/>
        </w:rPr>
        <w:t>联系电话：0898-65801980</w:t>
      </w:r>
    </w:p>
    <w:p>
      <w:pPr>
        <w:pStyle w:val="null3"/>
        <w:jc w:val="left"/>
      </w:pPr>
      <w:r>
        <w:rPr>
          <w:rFonts w:ascii="仿宋_GB2312" w:hAnsi="仿宋_GB2312" w:cs="仿宋_GB2312" w:eastAsia="仿宋_GB2312"/>
        </w:rPr>
        <w:t>地址：海南省海口市龙华区明珠路7号华润大厦B座1403</w:t>
      </w:r>
    </w:p>
    <w:p>
      <w:pPr>
        <w:pStyle w:val="null3"/>
        <w:jc w:val="left"/>
      </w:pPr>
      <w:r>
        <w:rPr>
          <w:rFonts w:ascii="仿宋_GB2312" w:hAnsi="仿宋_GB2312" w:cs="仿宋_GB2312" w:eastAsia="仿宋_GB2312"/>
        </w:rPr>
        <w:t>邮编：570125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构建</w:t>
      </w:r>
      <w:r>
        <w:rPr>
          <w:rFonts w:ascii="仿宋_GB2312" w:hAnsi="仿宋_GB2312" w:cs="仿宋_GB2312" w:eastAsia="仿宋_GB2312"/>
          <w:sz w:val="24"/>
        </w:rPr>
        <w:t>“核心层-汇聚层-接入层”三级架构，实现市、区、乡镇（街道）、村（社区）四级网络全覆盖，为全市各级政府部门开展电子政务外网业务应用提供网络支撑和数据传输保障，为省电子政务外网提供海口城域数据的传输服务；满足全市政府工作人员的网络办公需要；满足全市市民网上政务服务的需要；满足全市各级政府部门内部共享协同办公的传输需要；满足面向社会服务支撑全市不见面审批的传输需要；满足主城区网络支撑社会视频、教育资源、居民健康档案与医疗影像的传输需要。实现对现有的信息系统基础资源进行监控和管理，及时掌握信息系统资源现状和配置信息，反映信息系统资源的可用性情况和健康状况，最大限度保障设备可用性，降低设备故障对业务运行的不良影响，为海口市电子政务外网承载的应用系统提供安全、可靠、高效的网络环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7,420,000.00</w:t>
      </w:r>
    </w:p>
    <w:p>
      <w:pPr>
        <w:pStyle w:val="null3"/>
        <w:jc w:val="left"/>
      </w:pPr>
      <w:r>
        <w:rPr>
          <w:rFonts w:ascii="仿宋_GB2312" w:hAnsi="仿宋_GB2312" w:cs="仿宋_GB2312" w:eastAsia="仿宋_GB2312"/>
        </w:rPr>
        <w:t>采购包最高限价（元）: 7,420,000.00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7,420,000.00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一、服务内容</w:t>
            </w:r>
          </w:p>
          <w:p>
            <w:pPr>
              <w:pStyle w:val="null3"/>
              <w:ind w:firstLine="480"/>
              <w:jc w:val="both"/>
            </w:pPr>
            <w:r>
              <w:rPr>
                <w:rFonts w:ascii="仿宋_GB2312" w:hAnsi="仿宋_GB2312" w:cs="仿宋_GB2312" w:eastAsia="仿宋_GB2312"/>
                <w:sz w:val="24"/>
              </w:rPr>
              <w:t>“海口市电子政务外网运维项目（2025年-2026年）”</w:t>
            </w:r>
            <w:r>
              <w:rPr>
                <w:rFonts w:ascii="仿宋_GB2312" w:hAnsi="仿宋_GB2312" w:cs="仿宋_GB2312" w:eastAsia="仿宋_GB2312"/>
                <w:sz w:val="24"/>
              </w:rPr>
              <w:t>网络采用自建</w:t>
            </w:r>
            <w:r>
              <w:rPr>
                <w:rFonts w:ascii="仿宋_GB2312" w:hAnsi="仿宋_GB2312" w:cs="仿宋_GB2312" w:eastAsia="仿宋_GB2312"/>
                <w:sz w:val="24"/>
              </w:rPr>
              <w:t>+租赁方式建设，在原有党政办公网主城区光纤网络基础上，租赁运营商光纤链路和节点机房，建设光纤环网，将末梢延伸扩容至主城区以外的乡镇和农村。</w:t>
            </w:r>
          </w:p>
          <w:p>
            <w:pPr>
              <w:pStyle w:val="null3"/>
              <w:jc w:val="both"/>
            </w:pPr>
            <w:r>
              <w:rPr>
                <w:rFonts w:ascii="仿宋_GB2312" w:hAnsi="仿宋_GB2312" w:cs="仿宋_GB2312" w:eastAsia="仿宋_GB2312"/>
                <w:sz w:val="24"/>
                <w:b/>
              </w:rPr>
              <w:t>二、需求清单</w:t>
            </w:r>
          </w:p>
          <w:tbl>
            <w:tblPr>
              <w:tblInd w:type="dxa" w:w="120"/>
              <w:tblBorders>
                <w:top w:val="none" w:color="000000" w:sz="4"/>
                <w:left w:val="none" w:color="000000" w:sz="4"/>
                <w:bottom w:val="none" w:color="000000" w:sz="4"/>
                <w:right w:val="none" w:color="000000" w:sz="4"/>
                <w:insideH w:val="none"/>
                <w:insideV w:val="none"/>
              </w:tblBorders>
            </w:tblPr>
            <w:tblGrid>
              <w:gridCol w:w="131"/>
              <w:gridCol w:w="631"/>
              <w:gridCol w:w="1065"/>
              <w:gridCol w:w="131"/>
              <w:gridCol w:w="131"/>
              <w:gridCol w:w="394"/>
            </w:tblGrid>
            <w:tr>
              <w:tc>
                <w:tcPr>
                  <w:tcW w:type="dxa" w:w="1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6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设备材料名称</w:t>
                  </w:r>
                </w:p>
              </w:tc>
              <w:tc>
                <w:tcPr>
                  <w:tcW w:type="dxa" w:w="106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功能参数</w:t>
                  </w:r>
                </w:p>
              </w:tc>
              <w:tc>
                <w:tcPr>
                  <w:tcW w:type="dxa" w:w="1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单位</w:t>
                  </w:r>
                </w:p>
              </w:tc>
              <w:tc>
                <w:tcPr>
                  <w:tcW w:type="dxa" w:w="1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数量</w:t>
                  </w:r>
                </w:p>
              </w:tc>
              <w:tc>
                <w:tcPr>
                  <w:tcW w:type="dxa" w:w="39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备注</w:t>
                  </w: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一</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光纤线路租用服务</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一级环网租用</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4芯裸光纤9条</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二级环网租用</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4芯裸光纤22条</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三级环网租用</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4芯裸光纤64条</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末梢节点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不少</w:t>
                  </w:r>
                  <w:r>
                    <w:rPr>
                      <w:rFonts w:ascii="仿宋_GB2312" w:hAnsi="仿宋_GB2312" w:cs="仿宋_GB2312" w:eastAsia="仿宋_GB2312"/>
                      <w:sz w:val="24"/>
                    </w:rPr>
                    <w:t>10M数字电路349条</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其中</w:t>
                  </w:r>
                  <w:r>
                    <w:rPr>
                      <w:rFonts w:ascii="仿宋_GB2312" w:hAnsi="仿宋_GB2312" w:cs="仿宋_GB2312" w:eastAsia="仿宋_GB2312"/>
                      <w:sz w:val="24"/>
                    </w:rPr>
                    <w:t>10条用于备用</w:t>
                  </w: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二</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光纤线路维护服务</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原有党政网光纤维护</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16000芯公里</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三</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光纤线路整合</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光纤线路整合服务</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一级、二级、三级环网及末端节点调测</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项</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自建光缆和租赁光缆调测对接。</w:t>
                  </w: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四</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节点机房已有设备搬迁</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如机房利旧或服务商更换涉及机房搬迁。</w:t>
                  </w: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4.1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一级环网</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桂林洋机房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骨干路由器</w:t>
                  </w:r>
                  <w:r>
                    <w:rPr>
                      <w:rFonts w:ascii="仿宋_GB2312" w:hAnsi="仿宋_GB2312" w:cs="仿宋_GB2312" w:eastAsia="仿宋_GB2312"/>
                      <w:sz w:val="24"/>
                    </w:rPr>
                    <w:t>华为</w:t>
                  </w:r>
                  <w:r>
                    <w:rPr>
                      <w:rFonts w:ascii="仿宋_GB2312" w:hAnsi="仿宋_GB2312" w:cs="仿宋_GB2312" w:eastAsia="仿宋_GB2312"/>
                      <w:sz w:val="24"/>
                    </w:rPr>
                    <w:t>NE40E-X8 2台；</w:t>
                  </w:r>
                  <w:r>
                    <w:br/>
                  </w: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2台；</w:t>
                  </w:r>
                  <w:r>
                    <w:br/>
                  </w:r>
                  <w:r>
                    <w:rPr>
                      <w:rFonts w:ascii="仿宋_GB2312" w:hAnsi="仿宋_GB2312" w:cs="仿宋_GB2312" w:eastAsia="仿宋_GB2312"/>
                      <w:sz w:val="24"/>
                    </w:rPr>
                    <w:t>防火墙</w:t>
                  </w:r>
                  <w:r>
                    <w:rPr>
                      <w:rFonts w:ascii="仿宋_GB2312" w:hAnsi="仿宋_GB2312" w:cs="仿宋_GB2312" w:eastAsia="仿宋_GB2312"/>
                      <w:sz w:val="24"/>
                    </w:rPr>
                    <w:t>天融信</w:t>
                  </w:r>
                  <w:r>
                    <w:rPr>
                      <w:rFonts w:ascii="仿宋_GB2312" w:hAnsi="仿宋_GB2312" w:cs="仿宋_GB2312" w:eastAsia="仿宋_GB2312"/>
                      <w:sz w:val="24"/>
                    </w:rPr>
                    <w:t>NGFW4000-UF NG-81442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4.2</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二级环网</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滨涯节点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金牛岭节点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秀英节点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国贸节点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海甸节点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火车东站节点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蓝天节点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国兴节点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灵山节点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美兰节点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五源河节点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永秀节点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综合保税区节点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琼山节点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高新区节点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4.3</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三级环网</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长流镇机房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永兴镇机房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东山镇机房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遵谭镇机房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27</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新坡镇机房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龙泉镇机房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29</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龙塘镇机房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龙桥镇机房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灵山镇机房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32</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演丰镇机房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33</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三江镇机房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34</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大致坡镇机房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云龙镇机房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36</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红旗镇机房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37</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旧州镇机房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38</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三门坡镇机房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39</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甲子镇机房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大坡镇机房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五</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机房租赁</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机房租赁</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一、二、三级节点服务商机房租赁，租期两年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34</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bl>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3.1光纤线路租用和运维服务要求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1）租用运营商光纤线路服务</w:t>
            </w:r>
          </w:p>
          <w:p>
            <w:pPr>
              <w:pStyle w:val="null3"/>
              <w:ind w:firstLine="480"/>
              <w:jc w:val="both"/>
            </w:pPr>
            <w:r>
              <w:rPr>
                <w:rFonts w:ascii="仿宋_GB2312" w:hAnsi="仿宋_GB2312" w:cs="仿宋_GB2312" w:eastAsia="仿宋_GB2312"/>
                <w:sz w:val="24"/>
              </w:rPr>
              <w:t>第一、二级光纤租用：在原有党政网</w:t>
            </w:r>
            <w:r>
              <w:rPr>
                <w:rFonts w:ascii="仿宋_GB2312" w:hAnsi="仿宋_GB2312" w:cs="仿宋_GB2312" w:eastAsia="仿宋_GB2312"/>
                <w:sz w:val="24"/>
              </w:rPr>
              <w:t>16000芯公里光纤基础上，租用运营商光纤构建第一、二级光纤环网。</w:t>
            </w:r>
          </w:p>
          <w:p>
            <w:pPr>
              <w:pStyle w:val="null3"/>
              <w:ind w:firstLine="480"/>
              <w:jc w:val="both"/>
            </w:pPr>
            <w:r>
              <w:rPr>
                <w:rFonts w:ascii="仿宋_GB2312" w:hAnsi="仿宋_GB2312" w:cs="仿宋_GB2312" w:eastAsia="仿宋_GB2312"/>
                <w:sz w:val="24"/>
              </w:rPr>
              <w:t>第三级光纤租用：基于原有光纤资源，租用运营商光纤构建第三级高可靠光纤网络。</w:t>
            </w:r>
          </w:p>
          <w:p>
            <w:pPr>
              <w:pStyle w:val="null3"/>
              <w:ind w:firstLine="480"/>
              <w:jc w:val="both"/>
            </w:pPr>
            <w:r>
              <w:rPr>
                <w:rFonts w:ascii="仿宋_GB2312" w:hAnsi="仿宋_GB2312" w:cs="仿宋_GB2312" w:eastAsia="仿宋_GB2312"/>
                <w:sz w:val="24"/>
              </w:rPr>
              <w:t>机柜及场地要求：投标人需提供至少</w:t>
            </w:r>
            <w:r>
              <w:rPr>
                <w:rFonts w:ascii="仿宋_GB2312" w:hAnsi="仿宋_GB2312" w:cs="仿宋_GB2312" w:eastAsia="仿宋_GB2312"/>
                <w:sz w:val="24"/>
              </w:rPr>
              <w:t>34个机柜位的机房场地，用于组网设备部署，并承担服务期间场地相关费用，</w:t>
            </w:r>
            <w:r>
              <w:rPr>
                <w:rFonts w:ascii="仿宋_GB2312" w:hAnsi="仿宋_GB2312" w:cs="仿宋_GB2312" w:eastAsia="仿宋_GB2312"/>
                <w:sz w:val="24"/>
              </w:rPr>
              <w:t>机房需满足国标</w:t>
            </w:r>
            <w:r>
              <w:rPr>
                <w:rFonts w:ascii="仿宋_GB2312" w:hAnsi="仿宋_GB2312" w:cs="仿宋_GB2312" w:eastAsia="仿宋_GB2312"/>
                <w:sz w:val="24"/>
              </w:rPr>
              <w:t>50174-2017 要求的B级机房标准以上，每个机房满足机房所需的电能和制冷，至少为本期项目提供 1 台标准机柜（规格：42U 机柜，宽 600mm× 深 600mm，含 2 个 PDU），或预留满足该标准机柜安装条件的摆放空间，用于本期项目设备的安装部署。提供服务方应保证节点机房2年服务期限内位置不变动，若变动，相关迁移费用由服务方承担。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2）光纤网运维服务</w:t>
            </w:r>
          </w:p>
          <w:p>
            <w:pPr>
              <w:pStyle w:val="null3"/>
              <w:ind w:firstLine="480"/>
              <w:jc w:val="both"/>
            </w:pPr>
            <w:r>
              <w:rPr>
                <w:rFonts w:ascii="仿宋_GB2312" w:hAnsi="仿宋_GB2312" w:cs="仿宋_GB2312" w:eastAsia="仿宋_GB2312"/>
                <w:sz w:val="24"/>
              </w:rPr>
              <w:t>为原有党政网</w:t>
            </w:r>
            <w:r>
              <w:rPr>
                <w:rFonts w:ascii="仿宋_GB2312" w:hAnsi="仿宋_GB2312" w:cs="仿宋_GB2312" w:eastAsia="仿宋_GB2312"/>
                <w:sz w:val="24"/>
              </w:rPr>
              <w:t>16000芯公里光纤提供日常运维（</w:t>
            </w:r>
            <w:r>
              <w:rPr>
                <w:rFonts w:ascii="仿宋_GB2312" w:hAnsi="仿宋_GB2312" w:cs="仿宋_GB2312" w:eastAsia="仿宋_GB2312"/>
                <w:sz w:val="24"/>
              </w:rPr>
              <w:t>包括日常运作、服务咨询、巡检保养、故障修复、特殊保障、更新升级、运维服务报告。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每半年完成对系统设备和器材的至少一次维护保养，发现需维修的，要及时提出进行维修。主要包括：</w:t>
            </w:r>
          </w:p>
          <w:p>
            <w:pPr>
              <w:pStyle w:val="null3"/>
              <w:ind w:firstLine="480"/>
              <w:jc w:val="both"/>
            </w:pPr>
            <w:r>
              <w:rPr>
                <w:rFonts w:ascii="仿宋_GB2312" w:hAnsi="仿宋_GB2312" w:cs="仿宋_GB2312" w:eastAsia="仿宋_GB2312"/>
                <w:sz w:val="24"/>
              </w:rPr>
              <w:t>1）检查网络设备及网络安全设备运行情况：检查设备的运行状态，检测和调校主要技术性能参数。</w:t>
            </w:r>
          </w:p>
          <w:p>
            <w:pPr>
              <w:pStyle w:val="null3"/>
              <w:ind w:firstLine="480"/>
              <w:jc w:val="both"/>
            </w:pPr>
            <w:r>
              <w:rPr>
                <w:rFonts w:ascii="仿宋_GB2312" w:hAnsi="仿宋_GB2312" w:cs="仿宋_GB2312" w:eastAsia="仿宋_GB2312"/>
                <w:sz w:val="24"/>
              </w:rPr>
              <w:t>2）检查接线情况:检查设备电源线、网线、光纤跳线的接线情况，是否存在隐患，是否需要更换、整改，保证网络正常。</w:t>
            </w:r>
          </w:p>
          <w:p>
            <w:pPr>
              <w:pStyle w:val="null3"/>
              <w:ind w:firstLine="480"/>
              <w:jc w:val="both"/>
            </w:pPr>
            <w:r>
              <w:rPr>
                <w:rFonts w:ascii="仿宋_GB2312" w:hAnsi="仿宋_GB2312" w:cs="仿宋_GB2312" w:eastAsia="仿宋_GB2312"/>
                <w:sz w:val="24"/>
              </w:rPr>
              <w:t>3）检查各类标签（包括交、直流、光纤跳线/网线等）是否齐全、正确、遗漏或脱落，存在问题及时进行整改。</w:t>
            </w:r>
          </w:p>
          <w:p>
            <w:pPr>
              <w:pStyle w:val="null3"/>
              <w:ind w:firstLine="480"/>
              <w:jc w:val="both"/>
            </w:pPr>
            <w:r>
              <w:rPr>
                <w:rFonts w:ascii="仿宋_GB2312" w:hAnsi="仿宋_GB2312" w:cs="仿宋_GB2312" w:eastAsia="仿宋_GB2312"/>
                <w:sz w:val="24"/>
              </w:rPr>
              <w:t>4）对存在问题及时报告并进行整改。</w:t>
            </w:r>
          </w:p>
          <w:p>
            <w:pPr>
              <w:pStyle w:val="null3"/>
              <w:ind w:firstLine="480"/>
              <w:jc w:val="both"/>
            </w:pPr>
            <w:r>
              <w:rPr>
                <w:rFonts w:ascii="仿宋_GB2312" w:hAnsi="仿宋_GB2312" w:cs="仿宋_GB2312" w:eastAsia="仿宋_GB2312"/>
                <w:sz w:val="24"/>
              </w:rPr>
              <w:t>定期对系统各组成部分进行定期巡检和定期抽检服务，以确认所有设备、系统及连接的线缆工作正常。</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每半年对工程范围内的设备进行一次保养性维护，包括设备除尘、排除故障隐患等，并填写设备养护记录，以确认所有设备及系统工作正常；</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建立设备管理监控体系，有效地对系统的监控设备运作情况和传输线路的性能、通断情况进行实时监控，及早发现问题，排除故障。</w:t>
            </w:r>
          </w:p>
          <w:p>
            <w:pPr>
              <w:pStyle w:val="null3"/>
              <w:ind w:firstLine="480"/>
              <w:jc w:val="both"/>
            </w:pPr>
            <w:r>
              <w:rPr>
                <w:rFonts w:ascii="仿宋_GB2312" w:hAnsi="仿宋_GB2312" w:cs="仿宋_GB2312" w:eastAsia="仿宋_GB2312"/>
                <w:sz w:val="24"/>
              </w:rPr>
              <w:t>3.2末梢节点线路要求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1）末梢节点接入：通过不少于10M数字电路为主城区外349个行政村/社区提供政务外网接入。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2）10M数字电路技术要求：</w:t>
            </w:r>
          </w:p>
          <w:p>
            <w:pPr>
              <w:pStyle w:val="null3"/>
              <w:numPr>
                <w:ilvl w:val="0"/>
                <w:numId w:val="1"/>
              </w:numPr>
              <w:jc w:val="both"/>
            </w:pPr>
            <w:r>
              <w:rPr>
                <w:rFonts w:ascii="仿宋_GB2312" w:hAnsi="仿宋_GB2312" w:cs="仿宋_GB2312" w:eastAsia="仿宋_GB2312"/>
                <w:sz w:val="24"/>
              </w:rPr>
              <w:t>标称速率：</w:t>
            </w:r>
            <w:r>
              <w:rPr>
                <w:rFonts w:ascii="仿宋_GB2312" w:hAnsi="仿宋_GB2312" w:cs="仿宋_GB2312" w:eastAsia="仿宋_GB2312"/>
                <w:sz w:val="24"/>
              </w:rPr>
              <w:t>10Mbit/s对称速率；</w:t>
            </w:r>
          </w:p>
          <w:p>
            <w:pPr>
              <w:pStyle w:val="null3"/>
              <w:numPr>
                <w:ilvl w:val="0"/>
                <w:numId w:val="1"/>
              </w:numPr>
              <w:jc w:val="both"/>
            </w:pPr>
            <w:r>
              <w:rPr>
                <w:rFonts w:ascii="仿宋_GB2312" w:hAnsi="仿宋_GB2312" w:cs="仿宋_GB2312" w:eastAsia="仿宋_GB2312"/>
                <w:sz w:val="24"/>
              </w:rPr>
              <w:t>带宽稳定性：所提供的</w:t>
            </w:r>
            <w:r>
              <w:rPr>
                <w:rFonts w:ascii="仿宋_GB2312" w:hAnsi="仿宋_GB2312" w:cs="仿宋_GB2312" w:eastAsia="仿宋_GB2312"/>
                <w:sz w:val="24"/>
              </w:rPr>
              <w:t>10M数字电路在开通后，全程（含接入段、传输段及核心网段）持续满足10Mbit/s（10兆比特/秒）的标称传输速率，且在合同服务期内，承诺带宽（CIR）不低于 10Mbit/s，确保用户端到端链路的带宽稳定性；（投标人须提供承诺函并加盖单位公章）</w:t>
            </w:r>
          </w:p>
          <w:p>
            <w:pPr>
              <w:pStyle w:val="null3"/>
              <w:numPr>
                <w:ilvl w:val="0"/>
                <w:numId w:val="1"/>
              </w:numPr>
              <w:jc w:val="both"/>
            </w:pPr>
            <w:r>
              <w:rPr>
                <w:rFonts w:ascii="仿宋_GB2312" w:hAnsi="仿宋_GB2312" w:cs="仿宋_GB2312" w:eastAsia="仿宋_GB2312"/>
                <w:sz w:val="24"/>
              </w:rPr>
              <w:t>端到端时延：城域网内通常</w:t>
            </w:r>
            <w:r>
              <w:rPr>
                <w:rFonts w:ascii="仿宋_GB2312" w:hAnsi="仿宋_GB2312" w:cs="仿宋_GB2312" w:eastAsia="仿宋_GB2312"/>
                <w:sz w:val="24"/>
              </w:rPr>
              <w:t>≤20ms，跨城市≤50ms（可视距离而定）；</w:t>
            </w:r>
          </w:p>
          <w:p>
            <w:pPr>
              <w:pStyle w:val="null3"/>
              <w:numPr>
                <w:ilvl w:val="0"/>
                <w:numId w:val="1"/>
              </w:numPr>
              <w:jc w:val="both"/>
            </w:pPr>
            <w:r>
              <w:rPr>
                <w:rFonts w:ascii="仿宋_GB2312" w:hAnsi="仿宋_GB2312" w:cs="仿宋_GB2312" w:eastAsia="仿宋_GB2312"/>
                <w:sz w:val="24"/>
              </w:rPr>
              <w:t>抖动：</w:t>
            </w:r>
            <w:r>
              <w:rPr>
                <w:rFonts w:ascii="仿宋_GB2312" w:hAnsi="仿宋_GB2312" w:cs="仿宋_GB2312" w:eastAsia="仿宋_GB2312"/>
                <w:sz w:val="24"/>
              </w:rPr>
              <w:t>≤5ms（用于语音/视频业务时要求，≤1ms）；</w:t>
            </w:r>
          </w:p>
          <w:p>
            <w:pPr>
              <w:pStyle w:val="null3"/>
              <w:numPr>
                <w:ilvl w:val="0"/>
                <w:numId w:val="1"/>
              </w:numPr>
              <w:jc w:val="both"/>
            </w:pPr>
            <w:r>
              <w:rPr>
                <w:rFonts w:ascii="仿宋_GB2312" w:hAnsi="仿宋_GB2312" w:cs="仿宋_GB2312" w:eastAsia="仿宋_GB2312"/>
                <w:sz w:val="24"/>
              </w:rPr>
              <w:t>丢包率：正常业务场景下</w:t>
            </w:r>
            <w:r>
              <w:rPr>
                <w:rFonts w:ascii="仿宋_GB2312" w:hAnsi="仿宋_GB2312" w:cs="仿宋_GB2312" w:eastAsia="仿宋_GB2312"/>
                <w:sz w:val="24"/>
              </w:rPr>
              <w:t>≤0.1%，高峰期≤0.5%；</w:t>
            </w:r>
          </w:p>
          <w:p>
            <w:pPr>
              <w:pStyle w:val="null3"/>
              <w:numPr>
                <w:ilvl w:val="0"/>
                <w:numId w:val="1"/>
              </w:numPr>
              <w:jc w:val="both"/>
            </w:pPr>
            <w:r>
              <w:rPr>
                <w:rFonts w:ascii="仿宋_GB2312" w:hAnsi="仿宋_GB2312" w:cs="仿宋_GB2312" w:eastAsia="仿宋_GB2312"/>
                <w:sz w:val="24"/>
              </w:rPr>
              <w:t>带宽升级要求：支持带宽平滑升级（如</w:t>
            </w:r>
            <w:r>
              <w:rPr>
                <w:rFonts w:ascii="仿宋_GB2312" w:hAnsi="仿宋_GB2312" w:cs="仿宋_GB2312" w:eastAsia="仿宋_GB2312"/>
                <w:sz w:val="24"/>
              </w:rPr>
              <w:t>20M/50M/100M），无需更换物理线路或设备；</w:t>
            </w:r>
          </w:p>
          <w:p>
            <w:pPr>
              <w:pStyle w:val="null3"/>
              <w:numPr>
                <w:ilvl w:val="0"/>
                <w:numId w:val="1"/>
              </w:numPr>
              <w:jc w:val="both"/>
            </w:pPr>
            <w:r>
              <w:rPr>
                <w:rFonts w:ascii="仿宋_GB2312" w:hAnsi="仿宋_GB2312" w:cs="仿宋_GB2312" w:eastAsia="仿宋_GB2312"/>
                <w:sz w:val="24"/>
              </w:rPr>
              <w:t>针对有高带宽网络需求的行政村</w:t>
            </w:r>
            <w:r>
              <w:rPr>
                <w:rFonts w:ascii="仿宋_GB2312" w:hAnsi="仿宋_GB2312" w:cs="仿宋_GB2312" w:eastAsia="仿宋_GB2312"/>
                <w:sz w:val="24"/>
              </w:rPr>
              <w:t>/社区，可根据实际需求免费申请提速，提速带宽可选择50M或100M；若仅存在短期、临时性网络需求，也可申请临时提速至50M 或100M，满足阶段性使用需求。</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光纤线路整合服务要求：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1）环网及末端节点调测要求：</w:t>
            </w:r>
          </w:p>
          <w:p>
            <w:pPr>
              <w:pStyle w:val="null3"/>
              <w:ind w:firstLine="480"/>
              <w:jc w:val="both"/>
            </w:pPr>
            <w:r>
              <w:rPr>
                <w:rFonts w:ascii="仿宋_GB2312" w:hAnsi="仿宋_GB2312" w:cs="仿宋_GB2312" w:eastAsia="仿宋_GB2312"/>
                <w:sz w:val="24"/>
              </w:rPr>
              <w:t>一级、二级、三级环网调测：环网需实现无间断通信，各节点之间的切换时间不超过</w:t>
            </w:r>
            <w:r>
              <w:rPr>
                <w:rFonts w:ascii="仿宋_GB2312" w:hAnsi="仿宋_GB2312" w:cs="仿宋_GB2312" w:eastAsia="仿宋_GB2312"/>
                <w:sz w:val="24"/>
              </w:rPr>
              <w:t>50毫秒，确保在某段线路出现故障时，数据能快速切换至备用路径，保障业务不中断。环网的传输带宽需满足设计要求，且各节点的带宽分配合理，无明显拥塞现象。</w:t>
            </w:r>
          </w:p>
          <w:p>
            <w:pPr>
              <w:pStyle w:val="null3"/>
              <w:ind w:firstLine="480"/>
              <w:jc w:val="both"/>
            </w:pPr>
            <w:r>
              <w:rPr>
                <w:rFonts w:ascii="仿宋_GB2312" w:hAnsi="仿宋_GB2312" w:cs="仿宋_GB2312" w:eastAsia="仿宋_GB2312"/>
                <w:sz w:val="24"/>
              </w:rPr>
              <w:t>末端节点调测：末端节点与上级环网的连接需稳定可靠，传输速率符合设备需求，无频繁断连情况。末端节点的信号强度需达到规定标准，确保数据传输的准确性。同时，末端节点应能灵活接入环网，支持即插即用，便于后期节点扩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2）自建光缆和租赁光缆调测对接要求</w:t>
            </w:r>
          </w:p>
          <w:p>
            <w:pPr>
              <w:pStyle w:val="null3"/>
              <w:ind w:firstLine="480"/>
              <w:jc w:val="both"/>
            </w:pPr>
            <w:r>
              <w:rPr>
                <w:rFonts w:ascii="仿宋_GB2312" w:hAnsi="仿宋_GB2312" w:cs="仿宋_GB2312" w:eastAsia="仿宋_GB2312"/>
                <w:sz w:val="24"/>
              </w:rPr>
              <w:t>自建光缆调测：自建光缆的衰耗值需控制在行业标准范围内，单模光纤在</w:t>
            </w:r>
            <w:r>
              <w:rPr>
                <w:rFonts w:ascii="仿宋_GB2312" w:hAnsi="仿宋_GB2312" w:cs="仿宋_GB2312" w:eastAsia="仿宋_GB2312"/>
                <w:sz w:val="24"/>
              </w:rPr>
              <w:t>1310nm波长下衰耗不超过0.36dB/km，在1550nm波长下衰耗不超过0.22dB/km。光缆接头处的衰耗不大于0.5dB，且接头牢固、密封良好，具备防腐蚀、防水性能。调测后，自建光缆需通过光时域反射仪（OTDR）测试，确保无明显缺陷和断点。</w:t>
            </w:r>
          </w:p>
          <w:p>
            <w:pPr>
              <w:pStyle w:val="null3"/>
              <w:ind w:firstLine="480"/>
              <w:jc w:val="both"/>
            </w:pPr>
            <w:r>
              <w:rPr>
                <w:rFonts w:ascii="仿宋_GB2312" w:hAnsi="仿宋_GB2312" w:cs="仿宋_GB2312" w:eastAsia="仿宋_GB2312"/>
                <w:sz w:val="24"/>
              </w:rPr>
              <w:t>租赁光缆调测对接：租赁光缆与自建光缆的对接需平滑过渡，接口类型匹配，连接损耗不超过</w:t>
            </w:r>
            <w:r>
              <w:rPr>
                <w:rFonts w:ascii="仿宋_GB2312" w:hAnsi="仿宋_GB2312" w:cs="仿宋_GB2312" w:eastAsia="仿宋_GB2312"/>
                <w:sz w:val="24"/>
              </w:rPr>
              <w:t>0.3dB。对接后，需进行传输性能测试，包括带宽、时延、丢包率等指标，确保与自建光缆形成统一、稳定的传输链路。同时，需与租赁方明确光缆的维护责任和故障处理机制，保障对接部分的长期可靠运行。</w:t>
            </w:r>
          </w:p>
          <w:p>
            <w:pPr>
              <w:pStyle w:val="null3"/>
              <w:ind w:firstLine="480"/>
              <w:jc w:val="both"/>
            </w:pPr>
            <w:r>
              <w:rPr>
                <w:rFonts w:ascii="仿宋_GB2312" w:hAnsi="仿宋_GB2312" w:cs="仿宋_GB2312" w:eastAsia="仿宋_GB2312"/>
                <w:sz w:val="24"/>
              </w:rPr>
              <w:t>整体光缆链路一致性：自建光缆和租赁光缆组成的整体链路需具备统一的传输参数和管理协议，支持集中监控和管理。链路的传输性能需保持稳定，在不同时段、不同负载情况下，各项指标波动幅度不超过</w:t>
            </w:r>
            <w:r>
              <w:rPr>
                <w:rFonts w:ascii="仿宋_GB2312" w:hAnsi="仿宋_GB2312" w:cs="仿宋_GB2312" w:eastAsia="仿宋_GB2312"/>
                <w:sz w:val="24"/>
              </w:rPr>
              <w:t>10%。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3）中标方在完成网络割接和调试期间，应设法保障原租用光纤部分的单位网络通畅，满足基本办公需求。</w:t>
            </w:r>
          </w:p>
          <w:p>
            <w:pPr>
              <w:pStyle w:val="null3"/>
              <w:ind w:firstLine="480"/>
              <w:jc w:val="both"/>
            </w:pPr>
            <w:r>
              <w:rPr>
                <w:rFonts w:ascii="仿宋_GB2312" w:hAnsi="仿宋_GB2312" w:cs="仿宋_GB2312" w:eastAsia="仿宋_GB2312"/>
                <w:sz w:val="24"/>
              </w:rPr>
              <w:t>3.4网络设备运维服务要求</w:t>
            </w:r>
          </w:p>
          <w:p>
            <w:pPr>
              <w:pStyle w:val="null3"/>
              <w:ind w:firstLine="480"/>
              <w:jc w:val="both"/>
            </w:pPr>
            <w:r>
              <w:rPr>
                <w:rFonts w:ascii="仿宋_GB2312" w:hAnsi="仿宋_GB2312" w:cs="仿宋_GB2312" w:eastAsia="仿宋_GB2312"/>
                <w:sz w:val="24"/>
              </w:rPr>
              <w:t>根据设备的使用实际情况及保障设备能正常运行，对设备进行日常的维护。根据现场使用情况需维护的内容如下：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1）线路保养、检查、检修；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2）设备保养、检查、检修；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3）供电线路保养、检查、检修；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4）相关设备联络单发出等事项。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5）对指定的设备做</w:t>
            </w:r>
            <w:r>
              <w:rPr>
                <w:rFonts w:ascii="仿宋_GB2312" w:hAnsi="仿宋_GB2312" w:cs="仿宋_GB2312" w:eastAsia="仿宋_GB2312"/>
                <w:sz w:val="24"/>
              </w:rPr>
              <w:t>定期</w:t>
            </w:r>
            <w:r>
              <w:rPr>
                <w:rFonts w:ascii="仿宋_GB2312" w:hAnsi="仿宋_GB2312" w:cs="仿宋_GB2312" w:eastAsia="仿宋_GB2312"/>
                <w:sz w:val="24"/>
              </w:rPr>
              <w:t>保养，包括系统诊断、必要的机械设备、电子部件的调整和清洗（此项可以每季度进行一次）。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6）检测硬件的性能。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7）对有潜在问题或易损备件的更换，提出系统优化解决方案，并进行详细的工作记录，以做到系统信息及检修记录文件化。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8）依照用户的需求对网络进行配置、调试等，定期存档交换机、路由配置备份。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9）每次巡检完毕，将检测报告交付用户，并与用户分析设备当前状况，提供相应的解决方案，寻求避免问题的再次出现最佳方案。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10）建设单位每季度对维护单位的本季度工作内容、维护文档、维护记录、维护成果等进行评定维护结果。</w:t>
            </w:r>
          </w:p>
          <w:p>
            <w:pPr>
              <w:pStyle w:val="null3"/>
              <w:ind w:firstLine="480"/>
              <w:jc w:val="both"/>
            </w:pPr>
            <w:r>
              <w:rPr>
                <w:rFonts w:ascii="仿宋_GB2312" w:hAnsi="仿宋_GB2312" w:cs="仿宋_GB2312" w:eastAsia="仿宋_GB2312"/>
                <w:sz w:val="24"/>
              </w:rPr>
              <w:t>3.5业务应用系统运维</w:t>
            </w:r>
          </w:p>
          <w:p>
            <w:pPr>
              <w:pStyle w:val="null3"/>
              <w:ind w:firstLine="480"/>
              <w:jc w:val="left"/>
            </w:pPr>
            <w:r>
              <w:rPr>
                <w:rFonts w:ascii="仿宋_GB2312" w:hAnsi="仿宋_GB2312" w:cs="仿宋_GB2312" w:eastAsia="仿宋_GB2312"/>
                <w:sz w:val="24"/>
              </w:rPr>
              <w:t>业务应用系统运维主要为综合网管系统。</w:t>
            </w:r>
          </w:p>
          <w:p>
            <w:pPr>
              <w:pStyle w:val="null3"/>
              <w:ind w:firstLine="480"/>
              <w:jc w:val="left"/>
            </w:pPr>
            <w:r>
              <w:rPr>
                <w:rFonts w:ascii="仿宋_GB2312" w:hAnsi="仿宋_GB2312" w:cs="仿宋_GB2312" w:eastAsia="仿宋_GB2312"/>
                <w:sz w:val="24"/>
              </w:rPr>
              <w:t>运维服务包括但不限于系统运行监控、业务支撑、数据处理、定期巡检、故障处理、数据备份协助、日常技术支持等。</w:t>
            </w:r>
          </w:p>
          <w:p>
            <w:pPr>
              <w:pStyle w:val="null3"/>
              <w:ind w:left="420"/>
              <w:jc w:val="both"/>
            </w:pPr>
            <w:r>
              <w:rPr>
                <w:rFonts w:ascii="仿宋_GB2312" w:hAnsi="仿宋_GB2312" w:cs="仿宋_GB2312" w:eastAsia="仿宋_GB2312"/>
                <w:sz w:val="24"/>
                <w:b/>
              </w:rPr>
              <w:t>1、</w:t>
            </w:r>
            <w:r>
              <w:rPr>
                <w:rFonts w:ascii="仿宋_GB2312" w:hAnsi="仿宋_GB2312" w:cs="仿宋_GB2312" w:eastAsia="仿宋_GB2312"/>
                <w:sz w:val="24"/>
                <w:b/>
              </w:rPr>
              <w:t>维护服务项目内容</w:t>
            </w:r>
          </w:p>
          <w:p>
            <w:pPr>
              <w:pStyle w:val="null3"/>
              <w:numPr>
                <w:ilvl w:val="0"/>
                <w:numId w:val="2"/>
              </w:numPr>
              <w:jc w:val="both"/>
            </w:pPr>
            <w:r>
              <w:rPr>
                <w:rFonts w:ascii="仿宋_GB2312" w:hAnsi="仿宋_GB2312" w:cs="仿宋_GB2312" w:eastAsia="仿宋_GB2312"/>
                <w:sz w:val="24"/>
              </w:rPr>
              <w:t>业务数据</w:t>
            </w:r>
            <w:r>
              <w:rPr>
                <w:rFonts w:ascii="仿宋_GB2312" w:hAnsi="仿宋_GB2312" w:cs="仿宋_GB2312" w:eastAsia="仿宋_GB2312"/>
                <w:sz w:val="24"/>
              </w:rPr>
              <w:t>维护；</w:t>
            </w:r>
          </w:p>
          <w:p>
            <w:pPr>
              <w:pStyle w:val="null3"/>
              <w:numPr>
                <w:ilvl w:val="0"/>
                <w:numId w:val="2"/>
              </w:numPr>
              <w:jc w:val="both"/>
            </w:pPr>
            <w:r>
              <w:rPr>
                <w:rFonts w:ascii="仿宋_GB2312" w:hAnsi="仿宋_GB2312" w:cs="仿宋_GB2312" w:eastAsia="仿宋_GB2312"/>
                <w:sz w:val="24"/>
              </w:rPr>
              <w:t>业务数据备份；</w:t>
            </w:r>
          </w:p>
          <w:p>
            <w:pPr>
              <w:pStyle w:val="null3"/>
              <w:numPr>
                <w:ilvl w:val="0"/>
                <w:numId w:val="2"/>
              </w:numPr>
              <w:jc w:val="both"/>
            </w:pPr>
            <w:r>
              <w:rPr>
                <w:rFonts w:ascii="仿宋_GB2312" w:hAnsi="仿宋_GB2312" w:cs="仿宋_GB2312" w:eastAsia="仿宋_GB2312"/>
                <w:sz w:val="24"/>
              </w:rPr>
              <w:t>业务系统日常维护；</w:t>
            </w:r>
          </w:p>
          <w:p>
            <w:pPr>
              <w:pStyle w:val="null3"/>
              <w:numPr>
                <w:ilvl w:val="0"/>
                <w:numId w:val="2"/>
              </w:numPr>
              <w:jc w:val="both"/>
            </w:pPr>
            <w:r>
              <w:rPr>
                <w:rFonts w:ascii="仿宋_GB2312" w:hAnsi="仿宋_GB2312" w:cs="仿宋_GB2312" w:eastAsia="仿宋_GB2312"/>
                <w:sz w:val="24"/>
              </w:rPr>
              <w:t>软件更新服务；</w:t>
            </w:r>
          </w:p>
          <w:p>
            <w:pPr>
              <w:pStyle w:val="null3"/>
              <w:numPr>
                <w:ilvl w:val="0"/>
                <w:numId w:val="2"/>
              </w:numPr>
              <w:jc w:val="both"/>
            </w:pPr>
            <w:r>
              <w:rPr>
                <w:rFonts w:ascii="仿宋_GB2312" w:hAnsi="仿宋_GB2312" w:cs="仿宋_GB2312" w:eastAsia="仿宋_GB2312"/>
                <w:sz w:val="24"/>
              </w:rPr>
              <w:t>对业务管理系统健康状态检查与分析报告；</w:t>
            </w:r>
          </w:p>
          <w:p>
            <w:pPr>
              <w:pStyle w:val="null3"/>
              <w:numPr>
                <w:ilvl w:val="0"/>
                <w:numId w:val="2"/>
              </w:numPr>
              <w:jc w:val="both"/>
            </w:pPr>
            <w:r>
              <w:rPr>
                <w:rFonts w:ascii="仿宋_GB2312" w:hAnsi="仿宋_GB2312" w:cs="仿宋_GB2312" w:eastAsia="仿宋_GB2312"/>
                <w:sz w:val="24"/>
              </w:rPr>
              <w:t>对系统用户信息进行维护和修改，添加系统用户、更改系统用户信息、权限，负责系统中管理人员、操作人员、监督人员名单的调整，以及数据同步。</w:t>
            </w:r>
          </w:p>
          <w:p>
            <w:pPr>
              <w:pStyle w:val="null3"/>
              <w:ind w:left="420"/>
              <w:jc w:val="both"/>
            </w:pPr>
            <w:r>
              <w:rPr>
                <w:rFonts w:ascii="仿宋_GB2312" w:hAnsi="仿宋_GB2312" w:cs="仿宋_GB2312" w:eastAsia="仿宋_GB2312"/>
                <w:sz w:val="24"/>
                <w:b/>
              </w:rPr>
              <w:t>2、</w:t>
            </w:r>
            <w:r>
              <w:rPr>
                <w:rFonts w:ascii="仿宋_GB2312" w:hAnsi="仿宋_GB2312" w:cs="仿宋_GB2312" w:eastAsia="仿宋_GB2312"/>
                <w:sz w:val="24"/>
                <w:b/>
              </w:rPr>
              <w:t>维护服务</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日常使用帮助</w:t>
            </w:r>
          </w:p>
          <w:p>
            <w:pPr>
              <w:pStyle w:val="null3"/>
              <w:ind w:firstLine="480"/>
              <w:jc w:val="both"/>
            </w:pPr>
            <w:r>
              <w:rPr>
                <w:rFonts w:ascii="仿宋_GB2312" w:hAnsi="仿宋_GB2312" w:cs="仿宋_GB2312" w:eastAsia="仿宋_GB2312"/>
                <w:sz w:val="24"/>
              </w:rPr>
              <w:t>在用户日常使用系统过程中的操作方面的困难，提供必要的讲解、指导或现场帮助，保证用户在最短的时间内解决操作问题。</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故障响应服务</w:t>
            </w:r>
          </w:p>
          <w:p>
            <w:pPr>
              <w:pStyle w:val="null3"/>
              <w:ind w:firstLine="480"/>
              <w:jc w:val="both"/>
            </w:pPr>
            <w:r>
              <w:rPr>
                <w:rFonts w:ascii="仿宋_GB2312" w:hAnsi="仿宋_GB2312" w:cs="仿宋_GB2312" w:eastAsia="仿宋_GB2312"/>
                <w:sz w:val="24"/>
              </w:rPr>
              <w:t>除了现场值守服务方式外，同时，提供</w:t>
            </w:r>
            <w:r>
              <w:rPr>
                <w:rFonts w:ascii="仿宋_GB2312" w:hAnsi="仿宋_GB2312" w:cs="仿宋_GB2312" w:eastAsia="仿宋_GB2312"/>
                <w:sz w:val="24"/>
              </w:rPr>
              <w:t>7×24小时故障响应服务具体包括：</w:t>
            </w:r>
          </w:p>
          <w:p>
            <w:pPr>
              <w:pStyle w:val="null3"/>
              <w:ind w:firstLine="480"/>
              <w:jc w:val="both"/>
            </w:pPr>
            <w:r>
              <w:rPr>
                <w:rFonts w:ascii="仿宋_GB2312" w:hAnsi="仿宋_GB2312" w:cs="仿宋_GB2312" w:eastAsia="仿宋_GB2312"/>
                <w:sz w:val="24"/>
              </w:rPr>
              <w:t>①维护期内提供电话、传真、电子邮件等方式的咨询和支持服务。</w:t>
            </w:r>
          </w:p>
          <w:p>
            <w:pPr>
              <w:pStyle w:val="null3"/>
              <w:ind w:firstLine="480"/>
              <w:jc w:val="both"/>
            </w:pPr>
            <w:r>
              <w:rPr>
                <w:rFonts w:ascii="仿宋_GB2312" w:hAnsi="仿宋_GB2312" w:cs="仿宋_GB2312" w:eastAsia="仿宋_GB2312"/>
                <w:sz w:val="24"/>
              </w:rPr>
              <w:t>②主要系统设备出现故障时，15分钟内响应，当现场维护工程师或节假日值班维护工程师无法排除故障时，1小时内中心派专业工程师赶赴现场进行故障诊断及处理，在1小时内排除普通故障，2小时内排除较大故障，4小时内排除重大故障，24小时内排除特大故障。</w:t>
            </w:r>
          </w:p>
          <w:p>
            <w:pPr>
              <w:pStyle w:val="null3"/>
              <w:ind w:firstLine="480"/>
              <w:jc w:val="both"/>
            </w:pPr>
            <w:r>
              <w:rPr>
                <w:rFonts w:ascii="仿宋_GB2312" w:hAnsi="仿宋_GB2312" w:cs="仿宋_GB2312" w:eastAsia="仿宋_GB2312"/>
                <w:sz w:val="24"/>
              </w:rPr>
              <w:t>③一般故障，正常工作日内响应。</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定期服务</w:t>
            </w:r>
          </w:p>
          <w:p>
            <w:pPr>
              <w:pStyle w:val="null3"/>
              <w:ind w:firstLine="480"/>
              <w:jc w:val="both"/>
            </w:pPr>
            <w:r>
              <w:rPr>
                <w:rFonts w:ascii="仿宋_GB2312" w:hAnsi="仿宋_GB2312" w:cs="仿宋_GB2312" w:eastAsia="仿宋_GB2312"/>
                <w:sz w:val="24"/>
              </w:rPr>
              <w:t>要求提供每月一次的操作系统软件例行检查服务，将对各个操作系统软件进行全面的检查，尽早的发现并解决可能出现的问题，做到</w:t>
            </w:r>
            <w:r>
              <w:rPr>
                <w:rFonts w:ascii="仿宋_GB2312" w:hAnsi="仿宋_GB2312" w:cs="仿宋_GB2312" w:eastAsia="仿宋_GB2312"/>
                <w:sz w:val="24"/>
              </w:rPr>
              <w:t>“防患于未然”。</w:t>
            </w:r>
          </w:p>
          <w:p>
            <w:pPr>
              <w:pStyle w:val="null3"/>
              <w:ind w:firstLine="480"/>
              <w:jc w:val="both"/>
            </w:pPr>
            <w:r>
              <w:rPr>
                <w:rFonts w:ascii="仿宋_GB2312" w:hAnsi="仿宋_GB2312" w:cs="仿宋_GB2312" w:eastAsia="仿宋_GB2312"/>
                <w:sz w:val="24"/>
                <w:b/>
              </w:rPr>
              <w:t>·时间间隔</w:t>
            </w:r>
          </w:p>
          <w:p>
            <w:pPr>
              <w:pStyle w:val="null3"/>
              <w:ind w:firstLine="480"/>
              <w:jc w:val="both"/>
            </w:pPr>
            <w:r>
              <w:rPr>
                <w:rFonts w:ascii="仿宋_GB2312" w:hAnsi="仿宋_GB2312" w:cs="仿宋_GB2312" w:eastAsia="仿宋_GB2312"/>
                <w:sz w:val="24"/>
              </w:rPr>
              <w:t>每月进行一次例行检查服务。</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检查内容</w:t>
            </w:r>
          </w:p>
          <w:p>
            <w:pPr>
              <w:pStyle w:val="null3"/>
              <w:ind w:firstLine="480"/>
              <w:jc w:val="both"/>
            </w:pPr>
            <w:r>
              <w:rPr>
                <w:rFonts w:ascii="仿宋_GB2312" w:hAnsi="仿宋_GB2312" w:cs="仿宋_GB2312" w:eastAsia="仿宋_GB2312"/>
                <w:sz w:val="24"/>
              </w:rPr>
              <w:t>有无病毒感染、有无设备异常报警、数据存储空间的余额检查、备份数据的有效性、有无安全隐患、有无遭受非法攻击及其是否有非合法用户登录系统；对系统进行性能检查，使系统持续的维持较高的性能。</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检查计划</w:t>
            </w:r>
          </w:p>
          <w:p>
            <w:pPr>
              <w:pStyle w:val="null3"/>
              <w:ind w:firstLine="480"/>
              <w:jc w:val="both"/>
            </w:pPr>
            <w:r>
              <w:rPr>
                <w:rFonts w:ascii="仿宋_GB2312" w:hAnsi="仿宋_GB2312" w:cs="仿宋_GB2312" w:eastAsia="仿宋_GB2312"/>
                <w:sz w:val="24"/>
              </w:rPr>
              <w:t>制定可行的检查计划将是成功进行例行检查的重要前提，对每次例行检查都将制定详细的检查计划，主要内容包括：例行检查具体时间、例行检查小组成员、例行检查内容、需客户配合内容等。将提前一天将检查计划向建设单位公开。</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检查结果处理</w:t>
            </w:r>
          </w:p>
          <w:p>
            <w:pPr>
              <w:pStyle w:val="null3"/>
              <w:ind w:firstLine="480"/>
              <w:jc w:val="both"/>
            </w:pPr>
            <w:r>
              <w:rPr>
                <w:rFonts w:ascii="仿宋_GB2312" w:hAnsi="仿宋_GB2312" w:cs="仿宋_GB2312" w:eastAsia="仿宋_GB2312"/>
                <w:sz w:val="24"/>
              </w:rPr>
              <w:t>每次检查完成后提交例行检查报告。包括检查发现的问题、解决办法、系统现状评价、改进建议等。</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例检问题处理：对于例检发现的问题，若属于负责维护的软件系统，则保证在</w:t>
            </w:r>
            <w:r>
              <w:rPr>
                <w:rFonts w:ascii="仿宋_GB2312" w:hAnsi="仿宋_GB2312" w:cs="仿宋_GB2312" w:eastAsia="仿宋_GB2312"/>
                <w:sz w:val="24"/>
              </w:rPr>
              <w:t>24小时内解决问题；特殊情况将和客户协商解决。</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系统日常维护</w:t>
            </w:r>
          </w:p>
          <w:p>
            <w:pPr>
              <w:pStyle w:val="null3"/>
              <w:ind w:firstLine="480"/>
              <w:jc w:val="both"/>
            </w:pPr>
            <w:r>
              <w:rPr>
                <w:rFonts w:ascii="仿宋_GB2312" w:hAnsi="仿宋_GB2312" w:cs="仿宋_GB2312" w:eastAsia="仿宋_GB2312"/>
                <w:sz w:val="24"/>
              </w:rPr>
              <w:t>每日监控系统运行情况，若发现异常情况及时处理。</w:t>
            </w:r>
          </w:p>
          <w:p>
            <w:pPr>
              <w:pStyle w:val="null3"/>
              <w:ind w:firstLine="480"/>
              <w:jc w:val="both"/>
            </w:pPr>
            <w:r>
              <w:rPr>
                <w:rFonts w:ascii="仿宋_GB2312" w:hAnsi="仿宋_GB2312" w:cs="仿宋_GB2312" w:eastAsia="仿宋_GB2312"/>
                <w:sz w:val="24"/>
              </w:rPr>
              <w:t>每日随时收集记录用户在使用系统过程中发现的</w:t>
            </w:r>
            <w:r>
              <w:rPr>
                <w:rFonts w:ascii="仿宋_GB2312" w:hAnsi="仿宋_GB2312" w:cs="仿宋_GB2312" w:eastAsia="仿宋_GB2312"/>
                <w:sz w:val="24"/>
              </w:rPr>
              <w:t>BUG，并根据问题的严重程度及用户要求的紧急程度，给予及时的解决。如果常驻人员解决不了，由项目承担公司后台解决。每周查看整理系统运行日志，发现并解决问题。</w:t>
            </w:r>
          </w:p>
          <w:p>
            <w:pPr>
              <w:pStyle w:val="null3"/>
              <w:ind w:firstLine="480"/>
              <w:jc w:val="both"/>
            </w:pPr>
            <w:r>
              <w:rPr>
                <w:rFonts w:ascii="仿宋_GB2312" w:hAnsi="仿宋_GB2312" w:cs="仿宋_GB2312" w:eastAsia="仿宋_GB2312"/>
                <w:sz w:val="24"/>
              </w:rPr>
              <w:t>每月定期协助、监控系统管理员对系统产生的业务数据做一次增量导出，以便用户做备份。</w:t>
            </w:r>
          </w:p>
          <w:p>
            <w:pPr>
              <w:pStyle w:val="null3"/>
              <w:ind w:firstLine="480"/>
              <w:jc w:val="both"/>
            </w:pPr>
            <w:r>
              <w:rPr>
                <w:rFonts w:ascii="仿宋_GB2312" w:hAnsi="仿宋_GB2312" w:cs="仿宋_GB2312" w:eastAsia="仿宋_GB2312"/>
                <w:sz w:val="24"/>
              </w:rPr>
              <w:t>每月定期、协助监控对系统产生的业务数据进行一次全量导出，以便用户做备份。每周编写系统使用情况报告、问题解决情况报告给用户的技术管理部门。</w:t>
            </w:r>
          </w:p>
          <w:p>
            <w:pPr>
              <w:pStyle w:val="null3"/>
              <w:ind w:firstLine="480"/>
              <w:jc w:val="both"/>
            </w:pPr>
            <w:r>
              <w:rPr>
                <w:rFonts w:ascii="仿宋_GB2312" w:hAnsi="仿宋_GB2312" w:cs="仿宋_GB2312" w:eastAsia="仿宋_GB2312"/>
                <w:sz w:val="24"/>
              </w:rPr>
              <w:t>每月组织对系统运行情况的检查与审核，通过现场核查、调取相关的运维工作记录、审查运维报告等方式，对各系统的日常工作情况进行全面的检查与审核，以发现、分析系统整体的运行问题。对于发现的问题，经双方协商调用必要的服务支持资源及时予以解决，并将问题及解决办法形成文档。</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系统调优升级</w:t>
            </w:r>
          </w:p>
          <w:p>
            <w:pPr>
              <w:pStyle w:val="null3"/>
              <w:ind w:firstLine="480"/>
              <w:jc w:val="both"/>
            </w:pPr>
            <w:r>
              <w:rPr>
                <w:rFonts w:ascii="仿宋_GB2312" w:hAnsi="仿宋_GB2312" w:cs="仿宋_GB2312" w:eastAsia="仿宋_GB2312"/>
                <w:sz w:val="24"/>
              </w:rPr>
              <w:t>定期测试系统的性能指标，并采取措施对系统的性能进行优化。</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系统完善修改</w:t>
            </w:r>
          </w:p>
          <w:p>
            <w:pPr>
              <w:pStyle w:val="null3"/>
              <w:ind w:firstLine="480"/>
              <w:jc w:val="both"/>
            </w:pPr>
            <w:r>
              <w:rPr>
                <w:rFonts w:ascii="仿宋_GB2312" w:hAnsi="仿宋_GB2312" w:cs="仿宋_GB2312" w:eastAsia="仿宋_GB2312"/>
                <w:sz w:val="24"/>
              </w:rPr>
              <w:t>如果用户因为业务需求变化而提出应用系统的修改需求，维护公司应给予及时的响应。费用根据工作量的大小另行协商处理。</w:t>
            </w:r>
          </w:p>
          <w:p>
            <w:pPr>
              <w:pStyle w:val="null3"/>
              <w:ind w:firstLine="480"/>
              <w:jc w:val="both"/>
            </w:pPr>
            <w:r>
              <w:rPr>
                <w:rFonts w:ascii="仿宋_GB2312" w:hAnsi="仿宋_GB2312" w:cs="仿宋_GB2312" w:eastAsia="仿宋_GB2312"/>
                <w:sz w:val="24"/>
              </w:rPr>
              <w:t>服务过程中时，对所有维护、修改记录登记，定期向建设单位做汇报。</w:t>
            </w:r>
          </w:p>
          <w:p>
            <w:pPr>
              <w:pStyle w:val="null3"/>
              <w:ind w:firstLine="480"/>
              <w:jc w:val="both"/>
            </w:pPr>
            <w:r>
              <w:rPr>
                <w:rFonts w:ascii="仿宋_GB2312" w:hAnsi="仿宋_GB2312" w:cs="仿宋_GB2312" w:eastAsia="仿宋_GB2312"/>
                <w:sz w:val="24"/>
              </w:rPr>
              <w:t>维护要求为：通过对应用系统的维护，分析用户的不断更新的需求，分析应用系统对服务平台性能的要求，提出系统优化扩容解决方案，保障应用系统的处理服务性能。</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运维服务交付成果</w:t>
            </w:r>
          </w:p>
          <w:p>
            <w:pPr>
              <w:pStyle w:val="null3"/>
              <w:ind w:firstLine="480"/>
              <w:jc w:val="both"/>
            </w:pPr>
            <w:r>
              <w:rPr>
                <w:rFonts w:ascii="仿宋_GB2312" w:hAnsi="仿宋_GB2312" w:cs="仿宋_GB2312" w:eastAsia="仿宋_GB2312"/>
                <w:sz w:val="24"/>
              </w:rPr>
              <w:t>维护团队定期提供服务报告，服务期结束前应提供服务年报，并对每一次重大故障和问题的原因、解决方法、完成情况等形成专门报告，及时报送用户部门和服务管理部门。在运维服务过程中将产生不限于以下的记录和报告：</w:t>
            </w:r>
          </w:p>
          <w:p>
            <w:pPr>
              <w:pStyle w:val="null3"/>
              <w:numPr>
                <w:ilvl w:val="0"/>
                <w:numId w:val="1"/>
              </w:numPr>
              <w:ind w:left="300"/>
              <w:jc w:val="both"/>
            </w:pPr>
            <w:r>
              <w:rPr>
                <w:rFonts w:ascii="仿宋_GB2312" w:hAnsi="仿宋_GB2312" w:cs="仿宋_GB2312" w:eastAsia="仿宋_GB2312"/>
                <w:sz w:val="24"/>
              </w:rPr>
              <w:t>日常维护报告</w:t>
            </w:r>
          </w:p>
          <w:p>
            <w:pPr>
              <w:pStyle w:val="null3"/>
              <w:numPr>
                <w:ilvl w:val="0"/>
                <w:numId w:val="1"/>
              </w:numPr>
              <w:ind w:left="300"/>
              <w:jc w:val="both"/>
            </w:pPr>
            <w:r>
              <w:rPr>
                <w:rFonts w:ascii="仿宋_GB2312" w:hAnsi="仿宋_GB2312" w:cs="仿宋_GB2312" w:eastAsia="仿宋_GB2312"/>
                <w:sz w:val="24"/>
              </w:rPr>
              <w:t>系统巡检日志</w:t>
            </w:r>
          </w:p>
          <w:p>
            <w:pPr>
              <w:pStyle w:val="null3"/>
              <w:numPr>
                <w:ilvl w:val="0"/>
                <w:numId w:val="1"/>
              </w:numPr>
              <w:ind w:left="300"/>
              <w:jc w:val="both"/>
            </w:pPr>
            <w:r>
              <w:rPr>
                <w:rFonts w:ascii="仿宋_GB2312" w:hAnsi="仿宋_GB2312" w:cs="仿宋_GB2312" w:eastAsia="仿宋_GB2312"/>
                <w:sz w:val="24"/>
              </w:rPr>
              <w:t>系统维护记录</w:t>
            </w:r>
          </w:p>
          <w:p>
            <w:pPr>
              <w:pStyle w:val="null3"/>
              <w:numPr>
                <w:ilvl w:val="0"/>
                <w:numId w:val="1"/>
              </w:numPr>
              <w:ind w:left="300"/>
              <w:jc w:val="both"/>
            </w:pPr>
            <w:r>
              <w:rPr>
                <w:rFonts w:ascii="仿宋_GB2312" w:hAnsi="仿宋_GB2312" w:cs="仿宋_GB2312" w:eastAsia="仿宋_GB2312"/>
                <w:sz w:val="24"/>
              </w:rPr>
              <w:t>系统优化记录</w:t>
            </w:r>
          </w:p>
          <w:p>
            <w:pPr>
              <w:pStyle w:val="null3"/>
              <w:numPr>
                <w:ilvl w:val="0"/>
                <w:numId w:val="1"/>
              </w:numPr>
              <w:ind w:left="300"/>
              <w:jc w:val="both"/>
            </w:pPr>
            <w:r>
              <w:rPr>
                <w:rFonts w:ascii="仿宋_GB2312" w:hAnsi="仿宋_GB2312" w:cs="仿宋_GB2312" w:eastAsia="仿宋_GB2312"/>
                <w:sz w:val="24"/>
              </w:rPr>
              <w:t>各类优化的管理制度</w:t>
            </w:r>
          </w:p>
          <w:p>
            <w:pPr>
              <w:pStyle w:val="null3"/>
              <w:numPr>
                <w:ilvl w:val="0"/>
                <w:numId w:val="1"/>
              </w:numPr>
              <w:ind w:left="300"/>
              <w:jc w:val="both"/>
            </w:pPr>
            <w:r>
              <w:rPr>
                <w:rFonts w:ascii="仿宋_GB2312" w:hAnsi="仿宋_GB2312" w:cs="仿宋_GB2312" w:eastAsia="仿宋_GB2312"/>
                <w:sz w:val="24"/>
              </w:rPr>
              <w:t>故障分析处理记录</w:t>
            </w:r>
          </w:p>
          <w:p>
            <w:pPr>
              <w:pStyle w:val="null3"/>
              <w:numPr>
                <w:ilvl w:val="0"/>
                <w:numId w:val="1"/>
              </w:numPr>
              <w:ind w:left="300"/>
              <w:jc w:val="both"/>
            </w:pPr>
            <w:r>
              <w:rPr>
                <w:rFonts w:ascii="仿宋_GB2312" w:hAnsi="仿宋_GB2312" w:cs="仿宋_GB2312" w:eastAsia="仿宋_GB2312"/>
                <w:sz w:val="24"/>
              </w:rPr>
              <w:t>故障整改方案和建议</w:t>
            </w:r>
          </w:p>
          <w:p>
            <w:pPr>
              <w:pStyle w:val="null3"/>
              <w:numPr>
                <w:ilvl w:val="0"/>
                <w:numId w:val="1"/>
              </w:numPr>
              <w:ind w:left="300"/>
              <w:jc w:val="both"/>
            </w:pPr>
            <w:r>
              <w:rPr>
                <w:rFonts w:ascii="仿宋_GB2312" w:hAnsi="仿宋_GB2312" w:cs="仿宋_GB2312" w:eastAsia="仿宋_GB2312"/>
                <w:sz w:val="24"/>
              </w:rPr>
              <w:t>交接班登记表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1.项目地点：采购人指定地点</w:t>
            </w:r>
          </w:p>
          <w:p>
            <w:pPr>
              <w:pStyle w:val="null3"/>
              <w:ind w:firstLine="480"/>
              <w:jc w:val="both"/>
            </w:pPr>
            <w:r>
              <w:rPr>
                <w:rFonts w:ascii="仿宋_GB2312" w:hAnsi="仿宋_GB2312" w:cs="仿宋_GB2312" w:eastAsia="仿宋_GB2312"/>
                <w:sz w:val="24"/>
              </w:rPr>
              <w:t>2.付款方式：乙方应于每季度服务周期满之日起15个工作日内，向甲方开具合法有效的等额增值税发票。甲方自收到发票后的10个工作日内,按照合同约定完成对应季度的款项支付。若乙方未按时提交发票或发票不符合要求，甲方付款义务相应顺延。</w:t>
            </w:r>
          </w:p>
          <w:p>
            <w:pPr>
              <w:pStyle w:val="null3"/>
              <w:ind w:firstLine="480"/>
              <w:jc w:val="both"/>
            </w:pPr>
            <w:r>
              <w:rPr>
                <w:rFonts w:ascii="仿宋_GB2312" w:hAnsi="仿宋_GB2312" w:cs="仿宋_GB2312" w:eastAsia="仿宋_GB2312"/>
                <w:sz w:val="24"/>
              </w:rPr>
              <w:t>3.服务响应时间：对于导致系统瘫痪、业务全面中断的一级故障，投标人需在接收到故障通知后30分钟内响应，并于2小时内完成故障修复；二级故障（部分业务中断或性能严重下降）响应时间不超过1小时，修复时间不超过4小时；三级故障（影响较小的局部问题）响应时间不超过2小时，修复时间不超过8小时。所有故障响应及修复时间均以工作日计算，且投标人须提供7×24小时全天候服务支持，确保故障能够得到及时处理。</w:t>
            </w:r>
          </w:p>
          <w:p>
            <w:pPr>
              <w:pStyle w:val="null3"/>
              <w:ind w:firstLine="480"/>
              <w:jc w:val="both"/>
            </w:pPr>
            <w:r>
              <w:rPr>
                <w:rFonts w:ascii="仿宋_GB2312" w:hAnsi="仿宋_GB2312" w:cs="仿宋_GB2312" w:eastAsia="仿宋_GB2312"/>
                <w:sz w:val="24"/>
              </w:rPr>
              <w:t>若出现因技术复杂性、或外部因素等导致无法在规定时间内解决的故障，投标人应在确认无法按时修复后</w:t>
            </w:r>
            <w:r>
              <w:rPr>
                <w:rFonts w:ascii="仿宋_GB2312" w:hAnsi="仿宋_GB2312" w:cs="仿宋_GB2312" w:eastAsia="仿宋_GB2312"/>
                <w:sz w:val="24"/>
              </w:rPr>
              <w:t>1小时内，主动与招标人进行书面沟通，详细说明故障现状、当前处理进度、预估修复时间等内容。同时，提供可供招标人选择的临时解决方案或替代措施，最大限度降低故障对业务的影响。后续需定期向招标人汇报故障处理进展，直至故障完全解决。</w:t>
            </w:r>
          </w:p>
          <w:p>
            <w:pPr>
              <w:pStyle w:val="null3"/>
              <w:ind w:firstLine="480"/>
              <w:jc w:val="both"/>
            </w:pPr>
            <w:r>
              <w:rPr>
                <w:rFonts w:ascii="仿宋_GB2312" w:hAnsi="仿宋_GB2312" w:cs="仿宋_GB2312" w:eastAsia="仿宋_GB2312"/>
                <w:sz w:val="24"/>
              </w:rPr>
              <w:t>4.投标人需为本项目配备专属客户经理1名，负责受理故障申告，确保问题反馈渠道畅通；客户工程师提供技术业务咨询，快速调度资源修复故障，以高效服务响应，全力保障网络稳定运行。</w:t>
            </w:r>
          </w:p>
          <w:p>
            <w:pPr>
              <w:pStyle w:val="null3"/>
              <w:jc w:val="both"/>
            </w:pPr>
            <w:r>
              <w:rPr>
                <w:rFonts w:ascii="仿宋_GB2312" w:hAnsi="仿宋_GB2312" w:cs="仿宋_GB2312" w:eastAsia="仿宋_GB2312"/>
                <w:sz w:val="24"/>
              </w:rPr>
              <w:t xml:space="preserve">      5.投标人在运维服务期间，对运维资料进行规范化整理与归档，确保资料完整、逻辑清晰，便于追溯与审查。在服务过程中的相关资料，严禁以任何形式泄露、复制或用于与本项目无关的其他非运维工作。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 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供应商应提交的相关证明材料 封面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根据投标人提供的总体服务方案进行综合评审（方案内容包括但不限于团队建设、人员配备、运维服务流程、机房管理措施、资料管理等）： 1.方案科学合理，内容细致全面，完全满足或优于项目需求，对本项目针对性强的得10分； 2.方案合理，内容完整，能够满足项目需求，对本项目具有针对性的得7分； 3.方案简单，内容基本完整，基本满足项目需求，对本项目针对性一般的得4分； 4.方案欠合理，内容粗糙、缺漏项，未能满足项目需求，对本项目针对性较差的得1分；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线路管理服务方案</w:t>
            </w:r>
          </w:p>
        </w:tc>
        <w:tc>
          <w:tcPr>
            <w:tcW w:type="dxa" w:w="2492"/>
          </w:tcPr>
          <w:p>
            <w:pPr>
              <w:pStyle w:val="null3"/>
              <w:jc w:val="both"/>
            </w:pPr>
            <w:r>
              <w:rPr>
                <w:rFonts w:ascii="仿宋_GB2312" w:hAnsi="仿宋_GB2312" w:cs="仿宋_GB2312" w:eastAsia="仿宋_GB2312"/>
              </w:rPr>
              <w:t>根据投标人提供的线路管理服务方案进行综合评审（方案内容包括但不限于现状分析、施工流程、割接计划、线路测试等）： 1.方案科学合理，内容细致全面，完全满足或优于项目需求，对本项目针对性强的得10分； 2.方案合理，内容完整，能够满足项目需求，对本项目具有针对性的得7分； 3.方案简单，内容基本完整，基本满足项目需求，对本项目针对性一般的得4分； 4.方案欠合理，内容粗糙、缺漏项，未能满足项目需求，对本项目针对性较差的得1分；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机房搬迁服务方案</w:t>
            </w:r>
          </w:p>
        </w:tc>
        <w:tc>
          <w:tcPr>
            <w:tcW w:type="dxa" w:w="2492"/>
          </w:tcPr>
          <w:p>
            <w:pPr>
              <w:pStyle w:val="null3"/>
              <w:jc w:val="both"/>
            </w:pPr>
            <w:r>
              <w:rPr>
                <w:rFonts w:ascii="仿宋_GB2312" w:hAnsi="仿宋_GB2312" w:cs="仿宋_GB2312" w:eastAsia="仿宋_GB2312"/>
              </w:rPr>
              <w:t>根据投标人提供的机房搬迁服务方案进行综合评审（方案内容包括但不限于团队职责、搬迁计划、应急方案、网络测试等）： 1.方案科学合理，内容细致全面，完全满足或优于项目需求，对本项目针对性强的得10分； 2.方案合理，内容完整，能够满足项目需求，对本项目具有针对性的得7分； 3.方案简单，内容基本完整，基本满足项目需求，对本项目针对性一般的得4分； 4.方案欠合理，内容粗糙、缺漏项，未能满足项目需求，对本项目针对性较差的得1分；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服务质量管理方案</w:t>
            </w:r>
          </w:p>
        </w:tc>
        <w:tc>
          <w:tcPr>
            <w:tcW w:type="dxa" w:w="2492"/>
          </w:tcPr>
          <w:p>
            <w:pPr>
              <w:pStyle w:val="null3"/>
              <w:jc w:val="both"/>
            </w:pPr>
            <w:r>
              <w:rPr>
                <w:rFonts w:ascii="仿宋_GB2312" w:hAnsi="仿宋_GB2312" w:cs="仿宋_GB2312" w:eastAsia="仿宋_GB2312"/>
              </w:rPr>
              <w:t>根据投标人提供的服务质量管理方案进行综合评审（方案内容包括但不限于质量管理体系、质量保证措施等）： 1.方案科学合理，内容细致全面，完全满足或优于项目需求，对本项目针对性强的得10分； 2.方案合理，内容完整，能够满足项目需求，对本项目具有针对性的得7分； 3.方案简单，内容基本完整，基本满足项目需求，对本项目针对性一般的得4分； 4.方案欠合理，内容粗糙、缺漏项，未能满足项目需求，对本项目针对性较差的得1分；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应急响应服务方案</w:t>
            </w:r>
          </w:p>
        </w:tc>
        <w:tc>
          <w:tcPr>
            <w:tcW w:type="dxa" w:w="2492"/>
          </w:tcPr>
          <w:p>
            <w:pPr>
              <w:pStyle w:val="null3"/>
              <w:jc w:val="both"/>
            </w:pPr>
            <w:r>
              <w:rPr>
                <w:rFonts w:ascii="仿宋_GB2312" w:hAnsi="仿宋_GB2312" w:cs="仿宋_GB2312" w:eastAsia="仿宋_GB2312"/>
              </w:rPr>
              <w:t>根据投标人提供的应急响应服务方案进行综合评审（方案内容包括但不限于应急人员配备、故障响应、应急保障等）： 项目应急方案应契合运维要求，内容详细、合理且具备有效的预防和补救措施。 1.方案科学合理，内容细致全面，完全满足或优于项目需求，对本项目针对性强的得10分； 2.方案合理，内容完整，能够满足项目需求，对本项目具有针对性的得7分； 3.方案简单，内容基本完整，基本满足项目需求，对本项目针对性一般的得4分； 4.方案欠合理，内容粗糙、缺漏项，未能满足项目需求，对本项目针对性较差的得1分；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1.具有信息系统建设和服务能力CS4级及以上证书得4分，CS3级得3分，CS2级得2分，CS1级得1分； 2.具有中国网络安全审查认证和市场监管大数据中心颁发的信息安全服务资质-应急处理服务资质证书或安全运维服务资质证书，一级得3分，二级得2分，三级得1分； 3.具有国家互联网应急中心CNCERT应急服务支撑单位证书，甲级得3分，乙级得2分； 4.具有ITSS信息技术服务运行维护标准符合性证书，一级得3分，二级得2分，三级得1分； 5.具有ISO27001信息安全管理体系认证证书得1分； 6.具有ISO20000信息技术服务管理体系认证证书得1分； 注：提供上述证书的复印件并加盖投标人公章，且所提供证书必须处于有效期内。</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投标人实力</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投标人2022年至今类似项目业绩，每提供一个有效业绩得2分，满分8分。（提供合同或中标通知书复印件加盖投标人公章。）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投标人业绩</w:t>
            </w:r>
          </w:p>
        </w:tc>
      </w:tr>
      <w:tr>
        <w:tc>
          <w:tcPr>
            <w:tcW w:type="dxa" w:w="831"/>
            <w:vMerge/>
          </w:tcPr>
          <w:p/>
        </w:tc>
        <w:tc>
          <w:tcPr>
            <w:tcW w:type="dxa" w:w="1661"/>
          </w:tcPr>
          <w:p>
            <w:pPr>
              <w:pStyle w:val="null3"/>
              <w:jc w:val="both"/>
            </w:pPr>
            <w:r>
              <w:rPr>
                <w:rFonts w:ascii="仿宋_GB2312" w:hAnsi="仿宋_GB2312" w:cs="仿宋_GB2312" w:eastAsia="仿宋_GB2312"/>
              </w:rPr>
              <w:t>投标人团队实力</w:t>
            </w:r>
          </w:p>
        </w:tc>
        <w:tc>
          <w:tcPr>
            <w:tcW w:type="dxa" w:w="2492"/>
          </w:tcPr>
          <w:p>
            <w:pPr>
              <w:pStyle w:val="null3"/>
              <w:jc w:val="both"/>
            </w:pPr>
            <w:r>
              <w:rPr>
                <w:rFonts w:ascii="仿宋_GB2312" w:hAnsi="仿宋_GB2312" w:cs="仿宋_GB2312" w:eastAsia="仿宋_GB2312"/>
              </w:rPr>
              <w:t>1.项目经理要求： 拟派本项目的项目经理具备高级信息系统项目管理师证书、高级工程师（通信专业）证书，上述证书每具备1个得2分，本项满分4分。 2.技术负责人要求： 拟派本项目的技术负责人具备网络工程师得1.5分、高级信息系统项目管理师证书得2分，本项满分3.5分。 3.团队成员要求： 拟派本项目技术管理团队成员（除项目经理和技术负责人外）具备任意以下证书：网络工程师证书、信息系统管理工程师、ITSS服务项目经理证书，满足要求每提供1名得0.5分，满分5.5分（注：1人多证的不重复计分）。 注：以上人员须提供有效证书及2025年1月至今任意3个月的社保记录证明复印件并加盖投标人公章，未提供不得分。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投标人团队实力</w:t>
            </w:r>
          </w:p>
        </w:tc>
      </w:tr>
      <w:tr>
        <w:tc>
          <w:tcPr>
            <w:tcW w:type="dxa" w:w="831"/>
            <w:vMerge/>
          </w:tcPr>
          <w:p/>
        </w:tc>
        <w:tc>
          <w:tcPr>
            <w:tcW w:type="dxa" w:w="1661"/>
          </w:tcPr>
          <w:p>
            <w:pPr>
              <w:pStyle w:val="null3"/>
              <w:jc w:val="both"/>
            </w:pPr>
            <w:r>
              <w:rPr>
                <w:rFonts w:ascii="仿宋_GB2312" w:hAnsi="仿宋_GB2312" w:cs="仿宋_GB2312" w:eastAsia="仿宋_GB2312"/>
              </w:rPr>
              <w:t>节点机房场地要求</w:t>
            </w:r>
          </w:p>
        </w:tc>
        <w:tc>
          <w:tcPr>
            <w:tcW w:type="dxa" w:w="2492"/>
          </w:tcPr>
          <w:p>
            <w:pPr>
              <w:pStyle w:val="null3"/>
              <w:jc w:val="both"/>
            </w:pPr>
            <w:r>
              <w:rPr>
                <w:rFonts w:ascii="仿宋_GB2312" w:hAnsi="仿宋_GB2312" w:cs="仿宋_GB2312" w:eastAsia="仿宋_GB2312"/>
              </w:rPr>
              <w:t>在二、三级环网区域内具有不少于10个自有产权/租赁的机房或承诺中标后在二、三级环网区域内设立机房数量不少于10个得4分。 注：提供机房的产权证明文件或租赁合同或承诺函，未提供不得分。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节点机房场地要求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海口市电子政务外网运维项目（2025年-2026年）</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海口市电子政务外网运维项目（2025年-2026年）</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2.00项</w:t>
            </w:r>
          </w:p>
        </w:tc>
        <w:tc>
          <w:tcPr>
            <w:tcW w:type="dxa" w:w="1038"/>
          </w:tcPr>
          <w:p>
            <w:pPr>
              <w:pStyle w:val="null3"/>
              <w:jc w:val="left"/>
            </w:pPr>
            <w:r>
              <w:rPr>
                <w:rFonts w:ascii="仿宋_GB2312" w:hAnsi="仿宋_GB2312" w:cs="仿宋_GB2312" w:eastAsia="仿宋_GB2312"/>
              </w:rPr>
              <w:t xml:space="preserve"> 7420000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详见附件：投标人业绩</w:t>
      </w:r>
    </w:p>
    <w:p>
      <w:pPr>
        <w:pStyle w:val="null3"/>
        <w:ind w:firstLine="960"/>
        <w:jc w:val="left"/>
      </w:pPr>
      <w:r>
        <w:rPr>
          <w:rFonts w:ascii="仿宋_GB2312" w:hAnsi="仿宋_GB2312" w:cs="仿宋_GB2312" w:eastAsia="仿宋_GB2312"/>
        </w:rPr>
        <w:t>详见附件：投标人实力</w:t>
      </w:r>
    </w:p>
    <w:p>
      <w:pPr>
        <w:pStyle w:val="null3"/>
        <w:ind w:firstLine="960"/>
        <w:jc w:val="left"/>
      </w:pPr>
      <w:r>
        <w:rPr>
          <w:rFonts w:ascii="仿宋_GB2312" w:hAnsi="仿宋_GB2312" w:cs="仿宋_GB2312" w:eastAsia="仿宋_GB2312"/>
        </w:rPr>
        <w:t>详见附件：投标人团队实力</w:t>
      </w:r>
    </w:p>
    <w:p>
      <w:pPr>
        <w:pStyle w:val="null3"/>
        <w:ind w:firstLine="960"/>
        <w:jc w:val="left"/>
      </w:pPr>
      <w:r>
        <w:rPr>
          <w:rFonts w:ascii="仿宋_GB2312" w:hAnsi="仿宋_GB2312" w:cs="仿宋_GB2312" w:eastAsia="仿宋_GB2312"/>
        </w:rPr>
        <w:t>详见附件：节点机房场地要求</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