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2025年海口市中医医院医疗设备采购项目（卫生健康发展专项）(二次)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SZHRHN2025【15】-1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海口市中医医院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深圳市华睿项目管理有限公司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海口市中医医院</w:t>
      </w:r>
      <w:r>
        <w:rPr>
          <w:rFonts w:ascii="仿宋_GB2312" w:hAnsi="仿宋_GB2312" w:cs="仿宋_GB2312" w:eastAsia="仿宋_GB2312"/>
        </w:rPr>
        <w:t xml:space="preserve"> 委托， </w:t>
      </w:r>
      <w:r>
        <w:rPr>
          <w:rFonts w:ascii="仿宋_GB2312" w:hAnsi="仿宋_GB2312" w:cs="仿宋_GB2312" w:eastAsia="仿宋_GB2312"/>
        </w:rPr>
        <w:t>深圳市华睿项目管理有限公司</w:t>
      </w:r>
      <w:r>
        <w:rPr>
          <w:rFonts w:ascii="仿宋_GB2312" w:hAnsi="仿宋_GB2312" w:cs="仿宋_GB2312" w:eastAsia="仿宋_GB2312"/>
        </w:rPr>
        <w:t xml:space="preserve"> 对 </w:t>
      </w:r>
      <w:r>
        <w:rPr>
          <w:rFonts w:ascii="仿宋_GB2312" w:hAnsi="仿宋_GB2312" w:cs="仿宋_GB2312" w:eastAsia="仿宋_GB2312"/>
        </w:rPr>
        <w:t>2025年海口市中医医院医疗设备采购项目（卫生健康发展专项）(二次)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SZHRHN2025【15】-1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2025年海口市中医医院医疗设备采购项目（卫生健康发展专项）(二次)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880,700.00元</w:t>
      </w:r>
      <w:r>
        <w:rPr>
          <w:rFonts w:ascii="仿宋_GB2312" w:hAnsi="仿宋_GB2312" w:cs="仿宋_GB2312" w:eastAsia="仿宋_GB2312"/>
        </w:rPr>
        <w:t>捌拾捌万零柒佰元整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自合同签订生效之日起45日历天内交付合同标的设备到货并完成安装调试。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海口市中医医院官网（http://www.hkhtcm.com.cn/）。关于本项目采购文件的补遗、澄清及变更信息以上述网站公告为准，代理机构不再另行通知，采购文件与更正公告的内容相互矛盾时，以最后发出的更正公告内容为准。 2. 投标人须在海南政府采购网(https://ccgp-hainan.gov.cn/maincms-web/)中的海南省政府采购智慧云平台进行注册并完善信息，然后下载参与投标项目电子招标文件（数据包）及其他文件；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海口市中医医院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海口市龙华区金盘路45号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0898-36662562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深圳市华睿项目管理有限公司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深圳市龙华区大浪街道高峰社区华荣路33号亿康商务大厦A栋1402/海南省海口市美兰区海府街道大英山东一路8号国瑞城名仕苑4号楼1单元22层2203房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15338962393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采购包1：880,700.00元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招标代理服务费收费管理暂行办法》(计价格[2002]1980号)规定的差额定律累进法并按折扣率90%计算招标代理服务费进行收取（因考虑项目成本，如计取的招标代理服务费不足6000.00元则按6000.00元收取。）。本项目的招标代理服务费由各标包的中标（成交）人支付。 （采购包1根据《招标代理服务费收费管理暂行办法》(计价格[2002]1980号)规定的差额定律累进法招标代理服务费为13210.50元，按折扣率90%计算后收取的招标代理服务费为11889.45元。）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3.最高限价说明：投标人投标报价不得超过单项设备的最高限价，否则视为无效投标。 4.投标费用 （1）投标人应承担所有与准备和参加投标有关的费用。不论投标的结果如何，采购代理机构和采购人均无义务和责任承担这些费用。 （2）招标代理服务费：中标人须在中标公告之日起3个工作日内向采购代理机构支付代理服务费。若逾期未付，则中标人须向采购代理机构支付违约金，违约金以招标代理服务费为基数，自逾期之日起至付清代理服务费之日止，按每日3‰计算，且采购代理机构有权就中标人未付的款项采取提起诉讼、财产保全等一切为主张权益的法律措施，所导致的产生包括但不限于诉讼费、保全费、律师费、差旅费、误工费等费用，均由败诉方支付。</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联系电话：15338962393</w:t>
      </w:r>
    </w:p>
    <w:p>
      <w:pPr>
        <w:pStyle w:val="null3"/>
        <w:jc w:val="left"/>
      </w:pPr>
      <w:r>
        <w:rPr>
          <w:rFonts w:ascii="仿宋_GB2312" w:hAnsi="仿宋_GB2312" w:cs="仿宋_GB2312" w:eastAsia="仿宋_GB2312"/>
        </w:rPr>
        <w:t>地址：深圳市龙华区大浪街道高峰社区华荣路33号亿康商务大厦A栋14028/海南省海口市美兰区海府街道大英山东一路8号国瑞城名仕苑4号楼1单元22层2203房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项目名称</w:t>
      </w:r>
      <w:r>
        <w:rPr>
          <w:rFonts w:ascii="仿宋_GB2312" w:hAnsi="仿宋_GB2312" w:cs="仿宋_GB2312" w:eastAsia="仿宋_GB2312"/>
          <w:sz w:val="28"/>
        </w:rPr>
        <w:t>：2025年海口市中医医院医疗设备采购项目(卫生健康发展专项)(二次)</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预算金额</w:t>
      </w:r>
      <w:r>
        <w:rPr>
          <w:rFonts w:ascii="仿宋_GB2312" w:hAnsi="仿宋_GB2312" w:cs="仿宋_GB2312" w:eastAsia="仿宋_GB2312"/>
          <w:sz w:val="28"/>
        </w:rPr>
        <w:t>：</w:t>
      </w:r>
      <w:r>
        <w:rPr>
          <w:rFonts w:ascii="仿宋_GB2312" w:hAnsi="仿宋_GB2312" w:cs="仿宋_GB2312" w:eastAsia="仿宋_GB2312"/>
          <w:sz w:val="28"/>
        </w:rPr>
        <w:t>880700.00元</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资金来源</w:t>
      </w:r>
      <w:r>
        <w:rPr>
          <w:rFonts w:ascii="仿宋_GB2312" w:hAnsi="仿宋_GB2312" w:cs="仿宋_GB2312" w:eastAsia="仿宋_GB2312"/>
          <w:sz w:val="28"/>
        </w:rPr>
        <w:t>：</w:t>
      </w:r>
      <w:r>
        <w:rPr>
          <w:rFonts w:ascii="仿宋_GB2312" w:hAnsi="仿宋_GB2312" w:cs="仿宋_GB2312" w:eastAsia="仿宋_GB2312"/>
          <w:sz w:val="28"/>
        </w:rPr>
        <w:t>财政</w:t>
      </w:r>
      <w:r>
        <w:rPr>
          <w:rFonts w:ascii="仿宋_GB2312" w:hAnsi="仿宋_GB2312" w:cs="仿宋_GB2312" w:eastAsia="仿宋_GB2312"/>
          <w:sz w:val="28"/>
        </w:rPr>
        <w:t>资金</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.合同履行期限</w:t>
      </w:r>
      <w:r>
        <w:rPr>
          <w:rFonts w:ascii="仿宋_GB2312" w:hAnsi="仿宋_GB2312" w:cs="仿宋_GB2312" w:eastAsia="仿宋_GB2312"/>
          <w:sz w:val="28"/>
        </w:rPr>
        <w:t>（</w:t>
      </w:r>
      <w:r>
        <w:rPr>
          <w:rFonts w:ascii="仿宋_GB2312" w:hAnsi="仿宋_GB2312" w:cs="仿宋_GB2312" w:eastAsia="仿宋_GB2312"/>
          <w:sz w:val="28"/>
        </w:rPr>
        <w:t>交货期</w:t>
      </w:r>
      <w:r>
        <w:rPr>
          <w:rFonts w:ascii="仿宋_GB2312" w:hAnsi="仿宋_GB2312" w:cs="仿宋_GB2312" w:eastAsia="仿宋_GB2312"/>
          <w:sz w:val="28"/>
        </w:rPr>
        <w:t>）：自合同签订生效之日起</w:t>
      </w:r>
      <w:r>
        <w:rPr>
          <w:rFonts w:ascii="仿宋_GB2312" w:hAnsi="仿宋_GB2312" w:cs="仿宋_GB2312" w:eastAsia="仿宋_GB2312"/>
          <w:sz w:val="28"/>
        </w:rPr>
        <w:t>45</w:t>
      </w:r>
      <w:r>
        <w:rPr>
          <w:rFonts w:ascii="仿宋_GB2312" w:hAnsi="仿宋_GB2312" w:cs="仿宋_GB2312" w:eastAsia="仿宋_GB2312"/>
          <w:sz w:val="28"/>
        </w:rPr>
        <w:t>日历天内交付合同标的设备到货</w:t>
      </w:r>
      <w:r>
        <w:rPr>
          <w:rFonts w:ascii="仿宋_GB2312" w:hAnsi="仿宋_GB2312" w:cs="仿宋_GB2312" w:eastAsia="仿宋_GB2312"/>
          <w:sz w:val="28"/>
        </w:rPr>
        <w:t>并完成</w:t>
      </w:r>
      <w:r>
        <w:rPr>
          <w:rFonts w:ascii="仿宋_GB2312" w:hAnsi="仿宋_GB2312" w:cs="仿宋_GB2312" w:eastAsia="仿宋_GB2312"/>
          <w:sz w:val="28"/>
        </w:rPr>
        <w:t>安装调试</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交货</w:t>
      </w:r>
      <w:r>
        <w:rPr>
          <w:rFonts w:ascii="仿宋_GB2312" w:hAnsi="仿宋_GB2312" w:cs="仿宋_GB2312" w:eastAsia="仿宋_GB2312"/>
          <w:sz w:val="28"/>
        </w:rPr>
        <w:t>地点</w:t>
      </w:r>
      <w:r>
        <w:rPr>
          <w:rFonts w:ascii="仿宋_GB2312" w:hAnsi="仿宋_GB2312" w:cs="仿宋_GB2312" w:eastAsia="仿宋_GB2312"/>
          <w:sz w:val="28"/>
        </w:rPr>
        <w:t>：</w:t>
      </w:r>
      <w:r>
        <w:rPr>
          <w:rFonts w:ascii="仿宋_GB2312" w:hAnsi="仿宋_GB2312" w:cs="仿宋_GB2312" w:eastAsia="仿宋_GB2312"/>
          <w:sz w:val="28"/>
        </w:rPr>
        <w:t>用户指定地点</w:t>
      </w:r>
    </w:p>
    <w:p>
      <w:pPr>
        <w:pStyle w:val="null3"/>
        <w:ind w:firstLine="560"/>
        <w:jc w:val="left"/>
      </w:pPr>
      <w:r>
        <w:rPr>
          <w:rFonts w:ascii="仿宋_GB2312" w:hAnsi="仿宋_GB2312" w:cs="仿宋_GB2312" w:eastAsia="仿宋_GB2312"/>
          <w:sz w:val="28"/>
        </w:rPr>
        <w:t>6.付款方式和期限</w:t>
      </w:r>
      <w:r>
        <w:rPr>
          <w:rFonts w:ascii="仿宋_GB2312" w:hAnsi="仿宋_GB2312" w:cs="仿宋_GB2312" w:eastAsia="仿宋_GB2312"/>
          <w:sz w:val="28"/>
        </w:rPr>
        <w:t>：</w:t>
      </w:r>
    </w:p>
    <w:p>
      <w:pPr>
        <w:pStyle w:val="null3"/>
        <w:ind w:firstLine="840"/>
        <w:jc w:val="left"/>
      </w:pPr>
      <w:r>
        <w:rPr>
          <w:rFonts w:ascii="仿宋_GB2312" w:hAnsi="仿宋_GB2312" w:cs="仿宋_GB2312" w:eastAsia="仿宋_GB2312"/>
          <w:sz w:val="28"/>
        </w:rPr>
        <w:t>6.1采购人、中标人双方签订合同后15个工作日内，采购人向中标人支付合同总价的35%货款；</w:t>
      </w:r>
    </w:p>
    <w:p>
      <w:pPr>
        <w:pStyle w:val="null3"/>
        <w:ind w:firstLine="840"/>
        <w:jc w:val="left"/>
      </w:pPr>
      <w:r>
        <w:rPr>
          <w:rFonts w:ascii="仿宋_GB2312" w:hAnsi="仿宋_GB2312" w:cs="仿宋_GB2312" w:eastAsia="仿宋_GB2312"/>
          <w:sz w:val="28"/>
        </w:rPr>
        <w:t>6.2设备到货安装调试并验收合格后15个工作日内，中标人开具合同总价的等额增值税发票，采购人向中标人支付合同总价的60%货款；</w:t>
      </w:r>
    </w:p>
    <w:p>
      <w:pPr>
        <w:pStyle w:val="null3"/>
        <w:ind w:firstLine="840"/>
        <w:jc w:val="left"/>
      </w:pPr>
      <w:r>
        <w:rPr>
          <w:rFonts w:ascii="仿宋_GB2312" w:hAnsi="仿宋_GB2312" w:cs="仿宋_GB2312" w:eastAsia="仿宋_GB2312"/>
          <w:sz w:val="28"/>
        </w:rPr>
        <w:t>6.3剩余合同总价的5%货款中标人提供3年时效（自验收之日起）的履约保函后15个工作日内，采购人向中标人支付合同金额的5%。</w:t>
      </w:r>
    </w:p>
    <w:p>
      <w:pPr>
        <w:pStyle w:val="null3"/>
        <w:ind w:firstLine="840"/>
        <w:jc w:val="left"/>
      </w:pPr>
      <w:r>
        <w:rPr>
          <w:rFonts w:ascii="仿宋_GB2312" w:hAnsi="仿宋_GB2312" w:cs="仿宋_GB2312" w:eastAsia="仿宋_GB2312"/>
          <w:sz w:val="28"/>
        </w:rPr>
        <w:t>6.4合同中若有多个设备，可按验收时间分批付款，先达到付款时间的设备可先付款。</w:t>
      </w:r>
    </w:p>
    <w:p>
      <w:pPr>
        <w:pStyle w:val="null3"/>
        <w:ind w:firstLine="840"/>
        <w:jc w:val="left"/>
      </w:pPr>
      <w:r>
        <w:rPr>
          <w:rFonts w:ascii="仿宋_GB2312" w:hAnsi="仿宋_GB2312" w:cs="仿宋_GB2312" w:eastAsia="仿宋_GB2312"/>
          <w:sz w:val="28"/>
        </w:rPr>
        <w:t>6.5中标人提供的银行履约保函应为无条件的、载明“见索即付”的独立保函，即不得额外附加采购人在向银行发《索赔通知》时的证据义务。</w:t>
      </w:r>
    </w:p>
    <w:p>
      <w:pPr>
        <w:pStyle w:val="null3"/>
        <w:ind w:firstLine="840"/>
        <w:jc w:val="left"/>
      </w:pPr>
      <w:r>
        <w:rPr>
          <w:rFonts w:ascii="仿宋_GB2312" w:hAnsi="仿宋_GB2312" w:cs="仿宋_GB2312" w:eastAsia="仿宋_GB2312"/>
          <w:sz w:val="28"/>
        </w:rPr>
        <w:t>6.6实际支付时间以财政专项资金拨款到位时间为准</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880,700.00</w:t>
      </w:r>
    </w:p>
    <w:p>
      <w:pPr>
        <w:pStyle w:val="null3"/>
        <w:jc w:val="left"/>
      </w:pPr>
      <w:r>
        <w:rPr>
          <w:rFonts w:ascii="仿宋_GB2312" w:hAnsi="仿宋_GB2312" w:cs="仿宋_GB2312" w:eastAsia="仿宋_GB2312"/>
        </w:rPr>
        <w:t>采购包最高限价（元）: 880,700.00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紫外线循环风空气消毒器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疝气修补器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负压吸引器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电凝切割内窥镜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磁刺激仪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岩盐气溶胶治疗仪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病人监护仪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医用消毒柜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红外线治疗仪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紫外线循环风空气消毒器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疝气修补器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负压吸引器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电凝切割内窥镜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磁刺激仪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岩盐气溶胶治疗仪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病人监护仪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医用消毒柜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红外线治疗仪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标的名称：紫外线循环风空气消毒器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标的名称：疝气修补器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标的名称：负压吸引器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标的名称：电凝切割内窥镜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标的名称：磁刺激仪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标的名称：岩盐气溶胶治疗仪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标的名称：病人监护仪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标的名称：医用消毒柜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标的名称：红外线治疗仪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center"/>
            </w:pPr>
            <w:r>
              <w:rPr>
                <w:rFonts w:ascii="仿宋_GB2312" w:hAnsi="仿宋_GB2312" w:cs="仿宋_GB2312" w:eastAsia="仿宋_GB2312"/>
                <w:sz w:val="2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投标人资格资料 投标人承诺函 投标函 其他材料 残疾人福利性单位声明函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技术部分44.44分</w:t>
            </w:r>
          </w:p>
          <w:p>
            <w:pPr>
              <w:pStyle w:val="null3"/>
              <w:jc w:val="both"/>
            </w:pPr>
            <w:r>
              <w:rPr>
                <w:rFonts w:ascii="仿宋_GB2312" w:hAnsi="仿宋_GB2312" w:cs="仿宋_GB2312" w:eastAsia="仿宋_GB2312"/>
              </w:rPr>
              <w:t>商务部分25.56分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1、重要技术参数（标▲号）共16条，完全满足得16分，每负偏离一项扣1分。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号的其他参数）的响应共158条，完全满足得28.44分； 每负偏离一条扣0.18分。一般参数（非▲号、★号的其他指标）应在投标文件中提供货物制造商盖章的技术参数确认函，否则视为负偏离。</w:t>
            </w:r>
          </w:p>
        </w:tc>
        <w:tc>
          <w:tcPr>
            <w:tcW w:type="dxa" w:w="831"/>
          </w:tcPr>
          <w:p>
            <w:pPr>
              <w:pStyle w:val="null3"/>
              <w:jc w:val="right"/>
            </w:pPr>
            <w:r>
              <w:rPr>
                <w:rFonts w:ascii="仿宋_GB2312" w:hAnsi="仿宋_GB2312" w:cs="仿宋_GB2312" w:eastAsia="仿宋_GB2312"/>
              </w:rPr>
              <w:t>28.4400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投标人自2022年08月01日至今，以合同签订时间为准）完成类似项目业绩，每提供一个得0.28分，本项满分0.56分。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0.5600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每项内容详细完整，技术可行、先进合理、步骤有序，且方案整体可维护性、操作性高，有针对性提出合理化建议，考虑问题周全，建立有效的进度、质量监控体系的，得9分。 2、方案内容完整，内容分析详细、专业、合理、可行性程度较全面，细化的各个内容满足采购人的需求，整体方案具有完善的后期维护，能针对项目提出合理化建议，且建立较有效的进度、质量监控体系的，得7.5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4、方案基本完整，思路比较清晰、方案较合理、可行性一般、能较大程度地满足采购人需求，具有合理化建议，建立的进度、质量监控体系与项目相符的，得4.5分。 5、方案基本完整，思路基本清晰、方案基本合理、可行性一般、基本能够满足采购人的需求，具有一定合理化建议的，得3分。 6、方案缺项，提供的方案内容思路模糊、可行性差的，得1.5分。 7、技术方案以及项目实施服务计划内容不合理，表述混乱、缺乏可行性的，得0分。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根据投标人提供的质量保证方案（包括但不限于：保修期内的承诺、保修期满后的相关服务、生产厂家的技术支持等内容）；本项满分共8分。 1、质量保证方案完整丰富且不缺项漏项，每项内容详细完整，质量保障承诺及相关服务与项目切合、方案内容先进合理、步骤有序，且方案整体可维护性、操作性高，有针对性提出合理化建议，考虑问题周全的，得8分。 2、方案内容完整，内容分析详细、专业、合理、可行性程度较全面，细化的各个内容满足采购人的需求，整体方案具有完善的后期维护，能针对项目提出合理化建议，具备较为完善的质量保证体系的，得6.5分。 3、方案内容较完整，思路较清晰、方案较合理、具有一定可行性、能够满足采购人的需求，能对项目提出合理化建议，具备一定的质量保证体系的，得5分。 4、方案基本完整，思路比较清晰、方案较合理、可行性一般、能较大程度地满足采购人需求，具有合理化建议，建立的进度、质量监控体系与项目相符的，得3.5分。 5、方案基本完整，思路基本清晰、方案基本合理、可行性一般、基本能够满足采购人的需求，具有一定合理化建议的，得2分。 6、方案缺项，提供的方案内容思路模糊、可行性差的得0.5分。 7、质量保证方案内容不合理，表述混乱、缺乏可行性的，得0分。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SZHRHN2025【15】-1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2025年海口市中医医院医疗设备采购项目（卫生健康发展专项）(二次)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紫外线循环风空气消毒器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疝气修补器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负压吸引器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电凝切割内窥镜</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磁刺激仪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岩盐气溶胶治疗仪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病人监护仪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医用消毒柜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红外线治疗仪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