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36"/>
          <w:lang w:val="en-US" w:eastAsia="zh-CN"/>
        </w:rPr>
      </w:pPr>
      <w:r>
        <w:rPr>
          <w:rFonts w:hint="eastAsia"/>
          <w:b/>
          <w:bCs/>
          <w:sz w:val="28"/>
          <w:szCs w:val="36"/>
          <w:lang w:val="en-US" w:eastAsia="zh-CN"/>
        </w:rPr>
        <w:t>其他说明</w:t>
      </w:r>
    </w:p>
    <w:p>
      <w:pPr>
        <w:pStyle w:val="6"/>
        <w:keepNext w:val="0"/>
        <w:keepLines w:val="0"/>
        <w:pageBreakBefore w:val="0"/>
        <w:widowControl w:val="0"/>
        <w:numPr>
          <w:ilvl w:val="0"/>
          <w:numId w:val="0"/>
        </w:numPr>
        <w:tabs>
          <w:tab w:val="left" w:pos="425"/>
        </w:tabs>
        <w:kinsoku w:val="0"/>
        <w:wordWrap w:val="0"/>
        <w:overflowPunct w:val="0"/>
        <w:topLinePunct w:val="0"/>
        <w:autoSpaceDE w:val="0"/>
        <w:autoSpaceDN w:val="0"/>
        <w:bidi w:val="0"/>
        <w:adjustRightInd/>
        <w:snapToGrid w:val="0"/>
        <w:spacing w:before="0" w:after="0" w:line="360" w:lineRule="auto"/>
        <w:jc w:val="left"/>
        <w:textAlignment w:val="auto"/>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项目评审过程中如有价格修正、澄清/说明/补正、谈判/磋商、最终报价等环节，供应商需要按照海南省政府采购智慧云平台操作要求进行线上响应，不再人为通知供应商上述所需响应的环节。根据《电子交易操作手册(供应商)》第4章 评审“特别提示：供应商应当在项目评审过程中，在“评审等候大厅”关注评审委员会工作动态，及时做好响应评审有关准备。”的规定，如供应商未在评审委员会规定的响应时间内进行线上响应，产生的一切后果由供应商自行承担。 7、开标、评标过程中，投标人的法人代表或授权委托人应参与远程音视频交互并始终为同一人，中途不得更换。投标人的操作人员均被视为法人代表或授权委托人，投标人自行承担更换人员所导致的一切后果。 8、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9、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10、投标人家数的计算：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w:t>
      </w:r>
    </w:p>
    <w:p>
      <w:pPr>
        <w:pStyle w:val="6"/>
        <w:keepNext w:val="0"/>
        <w:keepLines w:val="0"/>
        <w:pageBreakBefore w:val="0"/>
        <w:widowControl w:val="0"/>
        <w:numPr>
          <w:ilvl w:val="0"/>
          <w:numId w:val="0"/>
        </w:numPr>
        <w:tabs>
          <w:tab w:val="left" w:pos="425"/>
        </w:tabs>
        <w:kinsoku w:val="0"/>
        <w:wordWrap w:val="0"/>
        <w:overflowPunct w:val="0"/>
        <w:topLinePunct w:val="0"/>
        <w:autoSpaceDE w:val="0"/>
        <w:autoSpaceDN w:val="0"/>
        <w:bidi w:val="0"/>
        <w:adjustRightInd/>
        <w:snapToGrid w:val="0"/>
        <w:spacing w:before="0" w:after="0" w:line="360" w:lineRule="auto"/>
        <w:jc w:val="left"/>
        <w:textAlignment w:val="auto"/>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 xml:space="preserve"> 11、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p>
      <w:pPr>
        <w:numPr>
          <w:ilvl w:val="0"/>
          <w:numId w:val="0"/>
        </w:numPr>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12、评标方法及评标结果排列顺序规定如下：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得分相同的，按投标报价由低到高顺序排列。得分且投标报价相同的并列由评标委员会根据投标情况予以授标建议。</w:t>
      </w:r>
    </w:p>
    <w:p>
      <w:pPr>
        <w:jc w:val="both"/>
        <w:rPr>
          <w:rFonts w:hint="eastAsia" w:ascii="宋体" w:hAnsi="宋体" w:eastAsia="宋体" w:cs="宋体"/>
          <w:b w:val="0"/>
          <w:bCs w:val="0"/>
          <w:kern w:val="0"/>
          <w:sz w:val="24"/>
          <w:szCs w:val="24"/>
          <w:lang w:val="en-US" w:eastAsia="zh-CN" w:bidi="ar-SA"/>
        </w:rPr>
      </w:pPr>
    </w:p>
    <w:p>
      <w:pPr>
        <w:numPr>
          <w:ilvl w:val="0"/>
          <w:numId w:val="1"/>
        </w:numPr>
        <w:jc w:val="both"/>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本项目不专门面向中小企业采购，原因是：</w:t>
      </w:r>
      <w:r>
        <w:rPr>
          <w:rFonts w:hint="eastAsia" w:ascii="宋体" w:hAnsi="宋体" w:eastAsia="宋体" w:cs="宋体"/>
          <w:kern w:val="0"/>
          <w:sz w:val="24"/>
          <w:szCs w:val="24"/>
        </w:rPr>
        <w:t>物业管理直接关系我校校园安全、师生生活保障等核心需求，需供应商具备充足的资金实力、完善的应急预案及强大的抗风险能力。考虑到中小企业在资金储备、技术团队稳定性等方面存在潜在风险，可能影响服务持续性和质量，为规避因供应商能力不足导致的管理漏洞、服务中断等问题，经综合评估，本项目不适宜专门面向中小企业采购，以保障校园管理的专业性和安全性。</w:t>
      </w:r>
      <w:r>
        <w:rPr>
          <w:rFonts w:hint="eastAsia" w:ascii="宋体" w:hAnsi="宋体" w:eastAsia="宋体" w:cs="宋体"/>
          <w:b w:val="0"/>
          <w:bCs w:val="0"/>
          <w:kern w:val="0"/>
          <w:sz w:val="24"/>
          <w:szCs w:val="24"/>
          <w:lang w:val="en-US" w:eastAsia="zh-CN" w:bidi="ar-SA"/>
        </w:rPr>
        <w:t>故给予小微企业的价格扣除比例为10%，用扣除后的价格参与评审。</w:t>
      </w:r>
    </w:p>
    <w:p>
      <w:pPr>
        <w:pStyle w:val="2"/>
        <w:numPr>
          <w:ilvl w:val="0"/>
          <w:numId w:val="0"/>
        </w:numPr>
        <w:rPr>
          <w:rFonts w:hint="eastAsia" w:ascii="宋体" w:hAnsi="宋体" w:eastAsia="宋体" w:cs="宋体"/>
          <w:b w:val="0"/>
          <w:bCs w:val="0"/>
          <w:kern w:val="0"/>
          <w:sz w:val="24"/>
          <w:szCs w:val="24"/>
          <w:lang w:val="en-US" w:eastAsia="zh-CN" w:bidi="ar-SA"/>
        </w:rPr>
      </w:pPr>
      <w:bookmarkStart w:id="0" w:name="_GoBack"/>
      <w:bookmarkEnd w:id="0"/>
    </w:p>
    <w:p>
      <w:pPr>
        <w:pStyle w:val="2"/>
        <w:numPr>
          <w:ilvl w:val="0"/>
          <w:numId w:val="0"/>
        </w:numPr>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14、 关于符合规定的中小微企业（供应商）参与投标 1)在政府采购活动中，监狱企业、残疾人福利性单位视同小型、微型企业。 2)符合中小企业划分标准的个体工商户，在政府采购活动中视同中小企业。 3)以联合体形式参加政府采购活动，联合体各方均为中小企业的，联合体视同中小企业。其中，联合体各方均为小微企业的，联合体视同小微企业。 4)供应商为符合规定的小型或微型企业时，报价给予价格扣除，用扣除后的价格参与评审。 5)专门面向中小企业采购的项目或者采购包，不再执行价格评审优惠的扶持政策。 6)大中型企业与小微企业组成联合体或者大中型企业向一家或者多家小微企业分包的，对于联合协议或者分包意向协议约定小微企业的合同份额占到合同总金额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7)《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8)本条款中两种价格扣除优惠原则不同时使用。 9)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10)在货物采购项目中，货物由中小企业制造，即货物由中小企业生产且使用该中小企业商号或者注册商标的，可享受相应的中小企业扶持政策。 11)在货物采购项目中，供应商提供的货物既有中小企业制造货物，也有大型企业制造货物的，不享受相应的中小企业扶持政策。 12)享受扶持政策获得政府采购合同的，小微企业不得将合同分包给大中型企业，中型企业不得将合同分包给大型企业。 13)供应商认为其为中型或小型或微型企业的应提供合法有效的《中小企业声明函》，并明确企业类型（中小企业划型标准按《关于印发中小企业划型标准规定的通知》(工信部联企业[2011]300号）执行）；供应商认为其为监狱企业的须提供由省级以上监狱管理局、戒毒管理局（含新疆生产建设兵团）出具的属于监狱企业的证明文件；供应商认为其为符合条件的残疾人福利性单位的应当提供《残疾人福利性单位声明函》。</w:t>
      </w:r>
    </w:p>
    <w:p>
      <w:pPr>
        <w:pStyle w:val="4"/>
        <w:rPr>
          <w:rFonts w:hint="default" w:ascii="宋体" w:hAnsi="宋体" w:eastAsia="宋体" w:cs="宋体"/>
          <w:b w:val="0"/>
          <w:bCs w:val="0"/>
          <w:kern w:val="0"/>
          <w:sz w:val="24"/>
          <w:szCs w:val="24"/>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48E8F6"/>
    <w:multiLevelType w:val="singleLevel"/>
    <w:tmpl w:val="0C48E8F6"/>
    <w:lvl w:ilvl="0" w:tentative="0">
      <w:start w:val="1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90D6A"/>
    <w:rsid w:val="05A14F99"/>
    <w:rsid w:val="20944A25"/>
    <w:rsid w:val="2CB90D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1"/>
    <w:basedOn w:val="1"/>
    <w:next w:val="1"/>
    <w:qFormat/>
    <w:uiPriority w:val="9"/>
    <w:pPr>
      <w:spacing w:before="100" w:beforeAutospacing="1" w:after="100" w:afterAutospacing="1"/>
      <w:outlineLvl w:val="0"/>
    </w:pPr>
    <w:rPr>
      <w:b/>
      <w:bCs/>
      <w:kern w:val="36"/>
      <w:sz w:val="48"/>
      <w:szCs w:val="4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0"/>
    <w:pPr>
      <w:spacing w:after="120" w:line="240" w:lineRule="auto"/>
      <w:ind w:left="420" w:leftChars="200" w:firstLine="420" w:firstLineChars="200"/>
    </w:pPr>
    <w:rPr>
      <w:sz w:val="21"/>
      <w:szCs w:val="21"/>
    </w:rPr>
  </w:style>
  <w:style w:type="paragraph" w:styleId="3">
    <w:name w:val="Body Text Indent"/>
    <w:basedOn w:val="1"/>
    <w:next w:val="1"/>
    <w:qFormat/>
    <w:uiPriority w:val="0"/>
    <w:pPr>
      <w:snapToGrid w:val="0"/>
      <w:spacing w:line="360" w:lineRule="auto"/>
      <w:ind w:firstLine="538" w:firstLineChars="192"/>
    </w:pPr>
    <w:rPr>
      <w:rFonts w:ascii="仿宋_GB2312" w:eastAsia="仿宋_GB2312"/>
      <w:bCs/>
      <w:sz w:val="28"/>
      <w:szCs w:val="28"/>
    </w:rPr>
  </w:style>
  <w:style w:type="paragraph" w:styleId="4">
    <w:name w:val="Body Text"/>
    <w:basedOn w:val="1"/>
    <w:next w:val="5"/>
    <w:qFormat/>
    <w:uiPriority w:val="99"/>
    <w:pPr>
      <w:spacing w:after="120"/>
    </w:pPr>
  </w:style>
  <w:style w:type="paragraph" w:customStyle="1" w:styleId="5">
    <w:name w:val="引用1"/>
    <w:basedOn w:val="1"/>
    <w:next w:val="1"/>
    <w:qFormat/>
    <w:uiPriority w:val="99"/>
    <w:rPr>
      <w:rFonts w:ascii="Calibri" w:hAnsi="Calibri" w:cs="Calibri"/>
      <w:i/>
      <w:iCs/>
      <w:color w:val="000000"/>
      <w:sz w:val="22"/>
    </w:rPr>
  </w:style>
  <w:style w:type="paragraph" w:styleId="7">
    <w:name w:val="annotation text"/>
    <w:basedOn w:val="1"/>
    <w:semiHidden/>
    <w:unhideWhenUsed/>
    <w:qFormat/>
    <w:uiPriority w:val="99"/>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0</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2025-07-07T11:37:00Z</dcterms:created>
  <dc:creator>1</dc:creator>
  <cp:lastModifiedBy>1</cp:lastModifiedBy>
  <dcterms:modified xsi:type="dcterms:W3CDTF">2025-09-12T03:36:02Z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E1EBEC81151C4D4EAEDFB6207E723D75</vt:lpwstr>
  </property>
</Properties>
</file>