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D8A63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报价明细表</w:t>
      </w:r>
    </w:p>
    <w:p w14:paraId="0061DA66">
      <w:pPr>
        <w:adjustRightInd w:val="0"/>
        <w:snapToGrid w:val="0"/>
        <w:spacing w:line="360" w:lineRule="auto"/>
        <w:ind w:firstLine="561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</w:p>
    <w:p w14:paraId="1B0C9CD6">
      <w:pPr>
        <w:adjustRightInd w:val="0"/>
        <w:snapToGrid w:val="0"/>
        <w:spacing w:line="360" w:lineRule="auto"/>
        <w:ind w:firstLine="561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 xml:space="preserve">项目名称：                         项目编号（包号，如有）∶         </w:t>
      </w:r>
    </w:p>
    <w:tbl>
      <w:tblPr>
        <w:tblStyle w:val="4"/>
        <w:tblW w:w="8317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85"/>
        <w:gridCol w:w="2895"/>
        <w:gridCol w:w="1920"/>
      </w:tblGrid>
      <w:tr w14:paraId="3A180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4AC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BB4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服务费用明细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D2F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单项总价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9A7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05B88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8C8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6D5B6">
            <w:pP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人员工资福利（含员工工资、服装等）；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A07DF">
            <w:pPr>
              <w:adjustRightInd w:val="0"/>
              <w:snapToGrid w:val="0"/>
              <w:spacing w:line="360" w:lineRule="auto"/>
              <w:ind w:firstLine="561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BDB56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985E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389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05E13">
            <w:pP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绿化养护费（含割草机、花木修剪机、油料、修剪整形、除杂草、绿化垃圾清运费用等）；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4A841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3AEA9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4E63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3B9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D91C6">
            <w:pP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清洁卫生费（含保洁用品用具及相关耗材等）；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E5D5A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ADFD0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EB63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ECB0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1B125">
            <w:pP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办公费 ；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CA82C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69816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2387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B2C8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C0750">
            <w:pP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法定税费；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DB095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702BB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211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2D6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B677">
            <w:pP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投标人的合理利润；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2FECA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BCEA4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31F3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2597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42799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其他。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39E07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9B92B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C13C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83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76A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总价</w:t>
            </w:r>
            <w:bookmarkStart w:id="0" w:name="OLE_LINK5"/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1年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）</w:t>
            </w:r>
            <w:bookmarkEnd w:id="0"/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（大小写）：</w:t>
            </w:r>
          </w:p>
        </w:tc>
      </w:tr>
    </w:tbl>
    <w:p w14:paraId="7D312B97">
      <w:pPr>
        <w:adjustRightInd w:val="0"/>
        <w:snapToGrid w:val="0"/>
        <w:spacing w:line="360" w:lineRule="auto"/>
        <w:ind w:firstLine="561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</w:p>
    <w:p w14:paraId="3A12526C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</w:t>
      </w:r>
    </w:p>
    <w:p w14:paraId="5283390B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盖单位章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</w:t>
      </w:r>
    </w:p>
    <w:p w14:paraId="7B3A51C8">
      <w:pPr>
        <w:pStyle w:val="3"/>
        <w:spacing w:line="360" w:lineRule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</w:p>
    <w:p w14:paraId="286CC1C9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</w:p>
    <w:p w14:paraId="0EC0B6AC">
      <w:pPr>
        <w:pStyle w:val="2"/>
        <w:spacing w:line="360" w:lineRule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要求：</w:t>
      </w:r>
      <w:bookmarkStart w:id="1" w:name="_GoBack"/>
      <w:bookmarkEnd w:id="1"/>
    </w:p>
    <w:p w14:paraId="1A98F4A5">
      <w:pPr>
        <w:spacing w:beforeLines="20" w:afterLines="20"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1、服务费用明细参照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第</w:t>
      </w:r>
      <w:r>
        <w:rPr>
          <w:rFonts w:hint="eastAsia" w:ascii="宋体" w:hAnsi="宋体" w:cs="宋体"/>
          <w:b/>
          <w:bCs w:val="0"/>
          <w:color w:val="auto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章 采购需求</w:t>
      </w:r>
      <w:r>
        <w:rPr>
          <w:rFonts w:hint="eastAsia" w:ascii="宋体" w:hAnsi="宋体" w:cs="宋体"/>
          <w:b/>
          <w:bCs w:val="0"/>
          <w:color w:val="auto"/>
          <w:szCs w:val="21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 w:val="0"/>
          <w:color w:val="auto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bCs w:val="0"/>
          <w:color w:val="auto"/>
          <w:szCs w:val="21"/>
          <w:highlight w:val="none"/>
          <w:lang w:eastAsia="zh-CN"/>
        </w:rPr>
        <w:t>、后勤保障服务费”</w:t>
      </w:r>
    </w:p>
    <w:p w14:paraId="3872C2DC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2、报价明细表当中的“总价”须与开标一览表中的“投标总价”保持一致。</w:t>
      </w:r>
    </w:p>
    <w:p w14:paraId="03359452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3、以上费用为完成本项目服务所需的全部费用。</w:t>
      </w:r>
    </w:p>
    <w:p w14:paraId="4E5D8F35">
      <w:pPr>
        <w:rPr>
          <w:highlight w:val="none"/>
        </w:rPr>
      </w:pPr>
    </w:p>
    <w:p w14:paraId="43734B88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2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2025-09-29T06:49:58Z</dcterms:created>
  <dc:creator>Lenovo</dc:creator>
  <cp:lastModifiedBy>Nothing can't be figured out</cp:lastModifiedBy>
  <dcterms:modified xsi:type="dcterms:W3CDTF">2025-09-29T06:50:51Z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9D53AA15B2C246D18A92654B7F240F7E_12</vt:lpwstr>
  </property>
</Properties>
</file>