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Toc13995"/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  <w:t>信用查询</w:t>
      </w:r>
      <w:bookmarkEnd w:id="0"/>
    </w:p>
    <w:p>
      <w:pPr>
        <w:jc w:val="center"/>
        <w:outlineLvl w:val="9"/>
        <w:rPr>
          <w:rFonts w:hint="eastAsia" w:ascii="宋体" w:hAnsi="宋体"/>
          <w:b/>
          <w:bCs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3"/>
        <w:ind w:left="0" w:leftChars="0" w:firstLine="0" w:firstLineChars="0"/>
        <w:jc w:val="left"/>
        <w:outlineLvl w:val="9"/>
        <w:rPr>
          <w:rFonts w:hint="eastAsia" w:ascii="宋体" w:hAnsi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必须为未被列入信用中国网站(www.creditchina.gov.cn)的“失信被执行人”、“重大税收违法失信主体”和中国政府采购网(www.ccgp.gov.cn) 的“政府采购严重违法失信行为记录名单”的投标人。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E17B3"/>
    <w:rsid w:val="13DA7422"/>
    <w:rsid w:val="662E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 w:line="360" w:lineRule="auto"/>
      <w:ind w:left="420" w:leftChars="200" w:firstLine="560" w:firstLineChars="200"/>
    </w:pPr>
    <w:rPr>
      <w:rFonts w:hAnsi="Calibri"/>
      <w:sz w:val="28"/>
      <w:szCs w:val="28"/>
    </w:rPr>
  </w:style>
  <w:style w:type="paragraph" w:styleId="3">
    <w:name w:val="Body Text First Indent 2"/>
    <w:basedOn w:val="2"/>
    <w:qFormat/>
    <w:uiPriority w:val="0"/>
    <w:pPr>
      <w:outlineLvl w:val="0"/>
    </w:pPr>
    <w:rPr>
      <w:rFonts w:hAnsi="华文仿宋"/>
      <w:snapToGrid w:val="0"/>
      <w:color w:val="0000FF"/>
      <w:u w:val="single"/>
    </w:rPr>
  </w:style>
  <w:style w:type="paragraph" w:customStyle="1" w:styleId="6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2025-06-18T08:09:00Z</dcterms:created>
  <dc:creator>Administrator</dc:creator>
  <cp:lastModifiedBy>Administrator</cp:lastModifiedBy>
  <dcterms:modified xsi:type="dcterms:W3CDTF">2025-06-18T08:09:29Z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