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远端通路导管(二次招标)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HNZC2025-040-002（二）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远端通路导管(二次招标)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HNZC2025-040-002（二）</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远端通路导管(二次招标)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4,606,000.00元</w:t>
      </w:r>
      <w:r>
        <w:rPr>
          <w:rFonts w:ascii="仿宋_GB2312" w:hAnsi="仿宋_GB2312" w:cs="仿宋_GB2312" w:eastAsia="仿宋_GB2312"/>
        </w:rPr>
        <w:t>肆佰陆拾万零陆仟元整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服务期限为1年，服务期限内接到采购订单之日起，供应商应在20个工作日内完成供货。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pPr>
      <w:r>
        <w:rPr>
          <w:rFonts w:ascii="仿宋_GB2312" w:hAnsi="仿宋_GB2312" w:cs="仿宋_GB2312" w:eastAsia="仿宋_GB2312"/>
        </w:rPr>
        <w:t>2、投标声明：供应商负责人为同一人或者存在直接控股、管理关系的不同供应商，不得参加同一合同项下的政府采购活动【提供声明函及企业机读档案登记资料扫描件加盖公章】</w:t>
      </w:r>
    </w:p>
    <w:p>
      <w:pPr>
        <w:pStyle w:val="null3"/>
        <w:jc w:val="left"/>
      </w:pPr>
      <w:r>
        <w:rPr>
          <w:rFonts w:ascii="仿宋_GB2312" w:hAnsi="仿宋_GB2312" w:cs="仿宋_GB2312" w:eastAsia="仿宋_GB2312"/>
        </w:rPr>
        <w:t>3、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1.本项目费用预计460.6万元，本项目采用折扣报价，460.6万元为预估的总费用，最终以品目货物实际采购数量与按单价限价折扣的价格进行结算。 2.本项目所有采购包不收取投标保证金。 3.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0898-66189960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采购包1：4,606,000.00元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代理服务费收费标准：招标代理费用参照《招标代理服务收费管理暂行办法》的收费标准，以项目预算计取代理服务费。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1.为确保充分供应、充分竞争，本项目不专门面向中小企业采购。 2.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3.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海口市人民医院采购远端通路导管</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4,606,000.00</w:t>
      </w:r>
    </w:p>
    <w:p>
      <w:pPr>
        <w:pStyle w:val="null3"/>
        <w:jc w:val="left"/>
      </w:pPr>
      <w:r>
        <w:rPr>
          <w:rFonts w:ascii="仿宋_GB2312" w:hAnsi="仿宋_GB2312" w:cs="仿宋_GB2312" w:eastAsia="仿宋_GB2312"/>
        </w:rPr>
        <w:t>采购包最高限价（元）: 4,606,000.00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C10029900-其他制造业服务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C10029900-其他制造业服务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C10029900-其他制造业服务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C10029900-其他制造业服务</w:t>
            </w:r>
          </w:p>
        </w:tc>
        <w:tc>
          <w:tcPr>
            <w:tcW w:type="dxa" w:w="2076"/>
          </w:tcPr>
          <w:p>
            <w:pPr>
              <w:pStyle w:val="null3"/>
              <w:jc w:val="left"/>
            </w:pPr>
            <w:r>
              <w:rPr>
                <w:rFonts w:ascii="仿宋_GB2312" w:hAnsi="仿宋_GB2312" w:cs="仿宋_GB2312" w:eastAsia="仿宋_GB2312"/>
              </w:rPr>
              <w:t>C10029900-其他制造业服务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标的名称：C10029900-其他制造业服务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1、神经介入适应症的远端通路导管，适配所有临床场景神经介入手术的中间导管，包括取栓，狭窄，动脉瘤，经桡入路，造影等。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2、适用于DSA机上，远端通路导管是血管介入治疗类的材料。</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3、远端通路导管作为通路，在神经血管系统、外周血管治疗中建立通路，将介入器械或诊断器械引入血管内。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4、规格要求5F和6F，长度要求115CM和125CM。</w:t>
                  </w:r>
                </w:p>
                <w:tbl>
                  <w:tblPr>
                    <w:tblInd w:type="dxa" w:w="120"/>
                    <w:tblBorders>
                      <w:top w:val="none" w:color="000000" w:sz="4"/>
                      <w:left w:val="none" w:color="000000" w:sz="4"/>
                      <w:bottom w:val="none" w:color="000000" w:sz="4"/>
                      <w:right w:val="none" w:color="000000" w:sz="4"/>
                      <w:insideH w:val="none"/>
                      <w:insideV w:val="none"/>
                    </w:tblBorders>
                  </w:tblPr>
                  <w:tblGrid>
                    <w:gridCol w:w="501"/>
                    <w:gridCol w:w="565"/>
                    <w:gridCol w:w="629"/>
                    <w:gridCol w:w="128"/>
                    <w:gridCol w:w="501"/>
                  </w:tblGrid>
                  <w:tr>
                    <w:tc>
                      <w:tcPr>
                        <w:tcW w:type="dxa" w:w="5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有效长度L(cm)</w:t>
                        </w:r>
                      </w:p>
                    </w:tc>
                    <w:tc>
                      <w:tcPr>
                        <w:tcW w:type="dxa" w:w="5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外径OD(Fr/mm)</w:t>
                        </w:r>
                      </w:p>
                    </w:tc>
                    <w:tc>
                      <w:tcPr>
                        <w:tcW w:type="dxa" w:w="6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0"/>
                          </w:rPr>
                          <w:t>内径ID(mm)</w:t>
                        </w:r>
                      </w:p>
                    </w:tc>
                    <w:tc>
                      <w:tcPr>
                        <w:tcW w:type="dxa" w:w="1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头端形态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单价限价（元）</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115±3cm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预弯曲</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14000.00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预弯曲</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15000.00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5/1.81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1.47±0.05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5/1.81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1.47±0.05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15000.00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15000.00</w:t>
                        </w:r>
                      </w:p>
                    </w:tc>
                  </w:tr>
                  <w:tr>
                    <w:tc>
                      <w:tcPr>
                        <w:tcW w:type="dxa" w:w="1823"/>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备注：常用S型</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r>
                </w:tbl>
                <w:p>
                  <w:pPr>
                    <w:pStyle w:val="null3"/>
                    <w:jc w:val="both"/>
                  </w:pPr>
                  <w:r>
                    <w:rPr>
                      <w:rFonts w:ascii="仿宋_GB2312" w:hAnsi="仿宋_GB2312" w:cs="仿宋_GB2312" w:eastAsia="仿宋_GB2312"/>
                      <w:sz w:val="20"/>
                      <w:b/>
                    </w:rPr>
                    <w:t>报价要求：以上表的 “单价限价”为基准，投标人对项目进行统一的折扣报价，不支持对上表分项或子项进行不同折扣报价，对于不同折扣的报价做废标处理。最终以品目货物实际采购数量与按单价限价</w:t>
                  </w:r>
                  <w:r>
                    <w:rPr>
                      <w:rFonts w:ascii="仿宋_GB2312" w:hAnsi="仿宋_GB2312" w:cs="仿宋_GB2312" w:eastAsia="仿宋_GB2312"/>
                      <w:sz w:val="20"/>
                      <w:b/>
                    </w:rPr>
                    <w:t>折扣</w:t>
                  </w:r>
                  <w:r>
                    <w:rPr>
                      <w:rFonts w:ascii="仿宋_GB2312" w:hAnsi="仿宋_GB2312" w:cs="仿宋_GB2312" w:eastAsia="仿宋_GB2312"/>
                      <w:sz w:val="20"/>
                      <w:b/>
                    </w:rPr>
                    <w:t>的价格进行结算。例如，折扣报价</w:t>
                  </w:r>
                  <w:r>
                    <w:rPr>
                      <w:rFonts w:ascii="仿宋_GB2312" w:hAnsi="仿宋_GB2312" w:cs="仿宋_GB2312" w:eastAsia="仿宋_GB2312"/>
                      <w:sz w:val="20"/>
                      <w:b/>
                    </w:rPr>
                    <w:t>8</w:t>
                  </w:r>
                  <w:r>
                    <w:rPr>
                      <w:rFonts w:ascii="仿宋_GB2312" w:hAnsi="仿宋_GB2312" w:cs="仿宋_GB2312" w:eastAsia="仿宋_GB2312"/>
                      <w:sz w:val="20"/>
                      <w:b/>
                    </w:rPr>
                    <w:t>0%，则各项规格导管的收费标准为该项规格的“单价限价”*折扣率</w:t>
                  </w:r>
                  <w:r>
                    <w:rPr>
                      <w:rFonts w:ascii="仿宋_GB2312" w:hAnsi="仿宋_GB2312" w:cs="仿宋_GB2312" w:eastAsia="仿宋_GB2312"/>
                      <w:sz w:val="20"/>
                      <w:b/>
                    </w:rPr>
                    <w:t>8</w:t>
                  </w:r>
                  <w:r>
                    <w:rPr>
                      <w:rFonts w:ascii="仿宋_GB2312" w:hAnsi="仿宋_GB2312" w:cs="仿宋_GB2312" w:eastAsia="仿宋_GB2312"/>
                      <w:sz w:val="20"/>
                      <w:b/>
                    </w:rPr>
                    <w:t>0%，以此类推。</w:t>
                  </w:r>
                </w:p>
              </w:tc>
            </w:tr>
          </w:tbl>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5、具有塑形保持能力，能够通过颅内迂曲血管的同时，保持头端形态。管体采用多节段设计，渐变硬度，不易打折、脱丝，具有整体抗疲劳性。</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6、在颅内狭窄球囊扩张血管成型术中，可以适配6Fguiding。也适合行经桡后循环急诊机械取栓术、颅内支架植入术等。</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7、属于神经介入治疗材料中的导引导管类，其管体柔软，过弯和到位性较好，方便到达更远端血管，在检查或者治疗中辅助将介入器械或者造影剂引入颅内目标血管。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服务期限为1年，服务期限内接到采购订单之日起，供应商应在20个工作日内完成供货。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交货地点：海南省海口市人民大道43号海口市人民医院综合保障楼 11 栋 B座智慧仓库。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付款方式：</w:t>
            </w:r>
            <w:r>
              <w:br/>
            </w:r>
            <w:r>
              <w:rPr>
                <w:rFonts w:ascii="仿宋_GB2312" w:hAnsi="仿宋_GB2312" w:cs="仿宋_GB2312" w:eastAsia="仿宋_GB2312"/>
              </w:rPr>
              <w:t xml:space="preserve"> 乙方（供应商）交货后应将合法有效的发票交至甲方（采购人）（乙方每月1日-5日将上月送货发票交至甲方），甲方每13个月通过银行转账的方式结算一次。中标方（乙方）每月出具发票、送货清单给予甲方收货人签字（送货清单一式两份，甲乙双方各存一份）。如因乙方提供的发票有误导致甲方损失的，乙方应予以赔偿。如因乙方逾期提供发票导致甲方逾期付款的，由乙方承担逾期责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所投货物属于二、三类医疗器械产品的须具有医疗器械注册证、医疗器械生产许可证，属于第一类医疗器械的须具有医疗器械备案凭证、医疗器械生产备案凭证。（提供证书复印件，加盖公章）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产品质量</w:t>
            </w:r>
            <w:r>
              <w:br/>
            </w:r>
            <w:r>
              <w:rPr>
                <w:rFonts w:ascii="仿宋_GB2312" w:hAnsi="仿宋_GB2312" w:cs="仿宋_GB2312" w:eastAsia="仿宋_GB2312"/>
              </w:rPr>
              <w:t xml:space="preserve"> 1.所提供的产品，其包装、标签、说明书、国产产品合格证（进口产品报关手续）等必须符合国家有关规定；</w:t>
            </w:r>
            <w:r>
              <w:br/>
            </w:r>
            <w:r>
              <w:rPr>
                <w:rFonts w:ascii="仿宋_GB2312" w:hAnsi="仿宋_GB2312" w:cs="仿宋_GB2312" w:eastAsia="仿宋_GB2312"/>
              </w:rPr>
              <w:t xml:space="preserve"> 2.对提供的医用耗材产品质量进行负责，保证所供产品无假冒伪劣和超过有效期限产品，必须符合相关产品质量标准的要求；</w:t>
            </w:r>
            <w:r>
              <w:br/>
            </w:r>
            <w:r>
              <w:rPr>
                <w:rFonts w:ascii="仿宋_GB2312" w:hAnsi="仿宋_GB2312" w:cs="仿宋_GB2312" w:eastAsia="仿宋_GB2312"/>
              </w:rPr>
              <w:t xml:space="preserve"> 3.提供的耗材价格不得高于海南省医药集中采购服务平台挂网价，有相关政府文件出台新价格的，实行就低不就高原则；</w:t>
            </w:r>
            <w:r>
              <w:br/>
            </w:r>
            <w:r>
              <w:rPr>
                <w:rFonts w:ascii="仿宋_GB2312" w:hAnsi="仿宋_GB2312" w:cs="仿宋_GB2312" w:eastAsia="仿宋_GB2312"/>
              </w:rPr>
              <w:t xml:space="preserve"> 4.所提供的产品不侵犯他人知识产权。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产品验收</w:t>
            </w:r>
            <w:r>
              <w:br/>
            </w:r>
            <w:r>
              <w:rPr>
                <w:rFonts w:ascii="仿宋_GB2312" w:hAnsi="仿宋_GB2312" w:cs="仿宋_GB2312" w:eastAsia="仿宋_GB2312"/>
              </w:rPr>
              <w:t xml:space="preserve"> 1.成交供应商负责发货到采购人指定地点后，在待验区，双方协助开箱清点货物，由医用耗材验收员进行外观和质量检查，逐批、逐项对实物进行验收，严格审核随货通行单的品名、规格、数量、生产企业、生产批号、灭菌批号、失效日期、唯一追溯号等信息是否与实物一致。严格履行货票交接手续，严禁货票分离。如果发现数量不足或有质量、包装问题，可要求供应商按照采购人的要求，采取补足、更换或退货等处理措施，并承担由此产生的一切损失费用。</w:t>
            </w:r>
            <w:r>
              <w:br/>
            </w:r>
            <w:r>
              <w:rPr>
                <w:rFonts w:ascii="仿宋_GB2312" w:hAnsi="仿宋_GB2312" w:cs="仿宋_GB2312" w:eastAsia="仿宋_GB2312"/>
              </w:rPr>
              <w:t xml:space="preserve"> 2.医用耗材验收时，成交供应商应向采购人提供资质证明：查验产品合格证、检验报告、进口产品报关单等质量证明文件等。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培训计划</w:t>
            </w:r>
            <w:r>
              <w:br/>
            </w:r>
            <w:r>
              <w:rPr>
                <w:rFonts w:ascii="仿宋_GB2312" w:hAnsi="仿宋_GB2312" w:cs="仿宋_GB2312" w:eastAsia="仿宋_GB2312"/>
              </w:rPr>
              <w:t xml:space="preserve"> 1.提供免费培训及跟台服务，生产厂家工程师或厂家授权供货商技术服务人员到现场培训用户使用、操作、注意事项等相关技术服务，并提供培训方案。</w:t>
            </w:r>
            <w:r>
              <w:br/>
            </w:r>
            <w:r>
              <w:rPr>
                <w:rFonts w:ascii="仿宋_GB2312" w:hAnsi="仿宋_GB2312" w:cs="仿宋_GB2312" w:eastAsia="仿宋_GB2312"/>
              </w:rPr>
              <w:t xml:space="preserve"> 2.对于开展新技术或重要技术，如用户需要外出学习培训的，中标方应免费支持用户至少2人外出学习。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投标声明</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供应商负责人为同一人或者存在直接控股、管理关系的不同供应商，不得参加同一合同项下的政府采购活动【提供声明函及企业机读档案登记资料扫描件加盖公章】</w:t>
            </w:r>
          </w:p>
        </w:tc>
        <w:tc>
          <w:tcPr>
            <w:tcW w:type="dxa" w:w="1661"/>
          </w:tcPr>
          <w:p>
            <w:pPr>
              <w:pStyle w:val="null3"/>
              <w:jc w:val="left"/>
            </w:pPr>
            <w:r>
              <w:rPr>
                <w:rFonts w:ascii="仿宋_GB2312" w:hAnsi="仿宋_GB2312" w:cs="仿宋_GB2312" w:eastAsia="仿宋_GB2312"/>
              </w:rPr>
              <w:t>投标声明</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报价一览表 投标函 报价明细表 商务应答表 自觉抵制政府采购领域商业贿赂行为承诺书 分项报价明细表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分项报价明细表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1、供应商对用户需求的技术要求内容逐一响应： 一般性参数条款18分，完全满足或优于用户需求得18分，每有一项负偏离扣6分；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2、供应商对用户需求的技术要求内容逐一响应： “▲”号重要技术参数条款21分，完全满足或优于用户需求得21分，每有一项负偏离扣7分。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投标人提供2022年1月至今以来承接过的类似业绩 ，提供1份业绩得1分，满分6分 。（证明材料：通知书或合同关键页复印件加盖公章，未提供证明材料不得分）。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服务方案必须包括但不限于：到货验收、供货响应时间、交货周期、换货情况、库存充足性 （1）服务方案详细、完整，服务体系完善，完全满足得15分； （2）有基本的方案内容且内容无缺漏，服务体系具有一定针对性，满足得10分； （3）方案内容存在缺漏或欠合理，不能满足得7分； （4）未提供方案得0分。 注： 内容缺陷指不满足本项目采购需求 ，存在不适用本项目实际情况的情形（与项目实际不匹配、不符合项目特点）、凭空捏造、逻辑漏洞、科学原理错误或不可实现的夸大情形等。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售后包括但不限于：产品到货至少180天有效期的承诺、出现质量问题的解决方案等内容。 （1）方案详细、完整，切实可行，完全满足项目质量保证需要的得10分； （2）有基本的方案内容且内容无缺漏， 具有可行性，满足项目质量保证需要的得6分； （3）方案内容存在缺漏或欠合理，不能满足项目质量保证需要的得3分； （4）未提供方案得0分。 注： 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分项报价明细表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HNZC2025-040-002（二）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远端通路导管(二次招标)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C10029900-其他制造业服务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C10029900-其他制造业服务</w:t>
            </w:r>
          </w:p>
        </w:tc>
        <w:tc>
          <w:tcPr>
            <w:tcW w:type="dxa" w:w="755"/>
          </w:tcPr>
          <w:p>
            <w:pPr>
              <w:pStyle w:val="null3"/>
              <w:jc w:val="left"/>
            </w:pPr>
            <w:r>
              <w:rPr>
                <w:rFonts w:ascii="仿宋_GB2312" w:hAnsi="仿宋_GB2312" w:cs="仿宋_GB2312" w:eastAsia="仿宋_GB2312"/>
              </w:rPr>
              <w:t xml:space="preserve"> C10029900-其他制造业服务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HNZC2025-040-002（二）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远端通路导管(二次招标)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C10029900-其他制造业服务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详见附件：分项报价明细表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详见附件：投标声明</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