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1B39D3">
      <w:pPr>
        <w:pStyle w:val="3"/>
        <w:bidi w:val="0"/>
        <w:rPr>
          <w:rFonts w:hint="eastAsia"/>
        </w:rPr>
      </w:pPr>
      <w:bookmarkStart w:id="0" w:name="_Toc226969354"/>
      <w:bookmarkStart w:id="1" w:name="_Toc474521377"/>
      <w:bookmarkStart w:id="2" w:name="_Toc227057960"/>
      <w:bookmarkStart w:id="3" w:name="_Toc447265600"/>
      <w:bookmarkStart w:id="4" w:name="_Toc447265314"/>
      <w:bookmarkStart w:id="5" w:name="_Toc107822571"/>
      <w:bookmarkStart w:id="6" w:name="_Toc460421740"/>
      <w:bookmarkStart w:id="7" w:name="_Toc491437789"/>
      <w:r>
        <w:rPr>
          <w:rFonts w:hint="eastAsia"/>
        </w:rPr>
        <w:t>货物需求一览表</w:t>
      </w:r>
      <w:bookmarkEnd w:id="0"/>
      <w:bookmarkEnd w:id="1"/>
      <w:bookmarkEnd w:id="2"/>
      <w:bookmarkEnd w:id="3"/>
      <w:bookmarkEnd w:id="4"/>
      <w:bookmarkEnd w:id="5"/>
    </w:p>
    <w:p w14:paraId="1F23CA32">
      <w:pPr>
        <w:pStyle w:val="4"/>
        <w:bidi w:val="0"/>
        <w:rPr>
          <w:rFonts w:hint="default"/>
          <w:lang w:val="en-US" w:eastAsia="zh-CN"/>
        </w:rPr>
      </w:pPr>
      <w:r>
        <w:rPr>
          <w:rFonts w:hint="eastAsia"/>
          <w:lang w:val="en-US" w:eastAsia="zh-CN"/>
        </w:rPr>
        <w:t>设备采购需求</w:t>
      </w:r>
    </w:p>
    <w:tbl>
      <w:tblPr>
        <w:tblStyle w:val="9"/>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29"/>
        <w:gridCol w:w="4463"/>
        <w:gridCol w:w="975"/>
        <w:gridCol w:w="975"/>
        <w:gridCol w:w="975"/>
      </w:tblGrid>
      <w:tr w14:paraId="28792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6F7C6">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26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BB84E">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8AE65">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6DE37">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E417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4C733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487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1</w:t>
            </w:r>
          </w:p>
        </w:tc>
        <w:tc>
          <w:tcPr>
            <w:tcW w:w="2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05B9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湿地环境实时监测终端</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00DC1">
            <w:pPr>
              <w:keepNext w:val="0"/>
              <w:keepLines w:val="0"/>
              <w:widowControl/>
              <w:suppressLineNumbers w:val="0"/>
              <w:jc w:val="center"/>
              <w:textAlignment w:val="center"/>
              <w:rPr>
                <w:rFonts w:hint="default" w:ascii="宋体" w:hAnsi="宋体" w:eastAsia="宋体" w:cs="宋体"/>
                <w:i w:val="0"/>
                <w:iCs w:val="0"/>
                <w:color w:val="000000"/>
                <w:sz w:val="20"/>
                <w:szCs w:val="20"/>
                <w:u w:val="none"/>
                <w:lang w:val="en-US"/>
              </w:rPr>
            </w:pPr>
            <w:r>
              <w:rPr>
                <w:rFonts w:hint="eastAsia" w:ascii="宋体" w:hAnsi="宋体" w:eastAsia="宋体" w:cs="宋体"/>
                <w:i w:val="0"/>
                <w:iCs w:val="0"/>
                <w:color w:val="000000"/>
                <w:kern w:val="0"/>
                <w:sz w:val="20"/>
                <w:szCs w:val="20"/>
                <w:u w:val="none"/>
                <w:lang w:val="en-US" w:eastAsia="zh-CN" w:bidi="ar"/>
              </w:rPr>
              <w:t>1</w:t>
            </w:r>
            <w:r>
              <w:rPr>
                <w:rFonts w:hint="eastAsia" w:ascii="宋体" w:hAnsi="宋体" w:cs="宋体"/>
                <w:i w:val="0"/>
                <w:iCs w:val="0"/>
                <w:color w:val="000000"/>
                <w:kern w:val="0"/>
                <w:sz w:val="20"/>
                <w:szCs w:val="20"/>
                <w:u w:val="none"/>
                <w:lang w:val="en-US" w:eastAsia="zh-CN" w:bidi="ar"/>
              </w:rPr>
              <w:t>3</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4DC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7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209D9E56">
            <w:pPr>
              <w:rPr>
                <w:rFonts w:hint="eastAsia" w:ascii="等线" w:hAnsi="等线" w:eastAsia="等线" w:cs="等线"/>
                <w:i w:val="0"/>
                <w:iCs w:val="0"/>
                <w:color w:val="000000"/>
                <w:sz w:val="22"/>
                <w:szCs w:val="22"/>
                <w:u w:val="none"/>
              </w:rPr>
            </w:pPr>
          </w:p>
        </w:tc>
      </w:tr>
      <w:tr w14:paraId="24ABE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ABB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2</w:t>
            </w:r>
          </w:p>
        </w:tc>
        <w:tc>
          <w:tcPr>
            <w:tcW w:w="2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8090E">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监控中心</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9FB89">
            <w:pPr>
              <w:rPr>
                <w:rFonts w:hint="eastAsia" w:ascii="宋体" w:hAnsi="宋体" w:eastAsia="宋体" w:cs="宋体"/>
                <w:b/>
                <w:bCs/>
                <w:i w:val="0"/>
                <w:iCs w:val="0"/>
                <w:color w:val="000000"/>
                <w:sz w:val="20"/>
                <w:szCs w:val="20"/>
                <w:u w:val="none"/>
              </w:rPr>
            </w:pP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0EF4D">
            <w:pPr>
              <w:rPr>
                <w:rFonts w:hint="eastAsia" w:ascii="宋体" w:hAnsi="宋体" w:eastAsia="宋体" w:cs="宋体"/>
                <w:b/>
                <w:bCs/>
                <w:i w:val="0"/>
                <w:iCs w:val="0"/>
                <w:color w:val="000000"/>
                <w:sz w:val="20"/>
                <w:szCs w:val="20"/>
                <w:u w:val="none"/>
              </w:rPr>
            </w:pPr>
          </w:p>
        </w:tc>
        <w:tc>
          <w:tcPr>
            <w:tcW w:w="57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0E2949FC">
            <w:pPr>
              <w:rPr>
                <w:rFonts w:hint="eastAsia" w:ascii="等线" w:hAnsi="等线" w:eastAsia="等线" w:cs="等线"/>
                <w:i w:val="0"/>
                <w:iCs w:val="0"/>
                <w:color w:val="000000"/>
                <w:sz w:val="22"/>
                <w:szCs w:val="22"/>
                <w:u w:val="none"/>
              </w:rPr>
            </w:pPr>
          </w:p>
        </w:tc>
      </w:tr>
      <w:tr w14:paraId="47086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0D7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.1</w:t>
            </w:r>
          </w:p>
        </w:tc>
        <w:tc>
          <w:tcPr>
            <w:tcW w:w="2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FBFC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46英寸LED液晶拼接单元</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EE5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623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57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B5A3ABA">
            <w:pPr>
              <w:rPr>
                <w:rFonts w:hint="eastAsia" w:ascii="等线" w:hAnsi="等线" w:eastAsia="等线" w:cs="等线"/>
                <w:i w:val="0"/>
                <w:iCs w:val="0"/>
                <w:color w:val="000000"/>
                <w:sz w:val="22"/>
                <w:szCs w:val="22"/>
                <w:u w:val="none"/>
              </w:rPr>
            </w:pPr>
          </w:p>
        </w:tc>
      </w:tr>
      <w:tr w14:paraId="3C155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C40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.2</w:t>
            </w:r>
          </w:p>
        </w:tc>
        <w:tc>
          <w:tcPr>
            <w:tcW w:w="2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ECD8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视频综合平台</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46D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7E7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57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4A8777">
            <w:pPr>
              <w:rPr>
                <w:rFonts w:hint="eastAsia" w:ascii="等线" w:hAnsi="等线" w:eastAsia="等线" w:cs="等线"/>
                <w:i w:val="0"/>
                <w:iCs w:val="0"/>
                <w:color w:val="000000"/>
                <w:sz w:val="22"/>
                <w:szCs w:val="22"/>
                <w:u w:val="none"/>
              </w:rPr>
            </w:pPr>
          </w:p>
        </w:tc>
      </w:tr>
      <w:tr w14:paraId="55319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2C5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3</w:t>
            </w:r>
          </w:p>
        </w:tc>
        <w:tc>
          <w:tcPr>
            <w:tcW w:w="2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7225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微型水质自动监测站</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5A5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6</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E4C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7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4DEFF48">
            <w:pPr>
              <w:rPr>
                <w:rFonts w:hint="eastAsia" w:ascii="等线" w:hAnsi="等线" w:eastAsia="等线" w:cs="等线"/>
                <w:i w:val="0"/>
                <w:iCs w:val="0"/>
                <w:color w:val="000000"/>
                <w:sz w:val="22"/>
                <w:szCs w:val="22"/>
                <w:u w:val="none"/>
              </w:rPr>
            </w:pPr>
          </w:p>
        </w:tc>
      </w:tr>
      <w:tr w14:paraId="36065A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A98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4</w:t>
            </w:r>
          </w:p>
        </w:tc>
        <w:tc>
          <w:tcPr>
            <w:tcW w:w="2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9413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气象、空气环境在线监测终端</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30B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6</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FF2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7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AEF882">
            <w:pPr>
              <w:rPr>
                <w:rFonts w:hint="eastAsia" w:ascii="等线" w:hAnsi="等线" w:eastAsia="等线" w:cs="等线"/>
                <w:i w:val="0"/>
                <w:iCs w:val="0"/>
                <w:color w:val="000000"/>
                <w:sz w:val="22"/>
                <w:szCs w:val="22"/>
                <w:u w:val="none"/>
              </w:rPr>
            </w:pPr>
          </w:p>
        </w:tc>
      </w:tr>
      <w:tr w14:paraId="69475E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04F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5</w:t>
            </w:r>
          </w:p>
        </w:tc>
        <w:tc>
          <w:tcPr>
            <w:tcW w:w="2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3C3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生态视频监控</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8910D">
            <w:pPr>
              <w:jc w:val="center"/>
              <w:rPr>
                <w:rFonts w:hint="eastAsia" w:ascii="宋体" w:hAnsi="宋体" w:eastAsia="宋体" w:cs="宋体"/>
                <w:i w:val="0"/>
                <w:iCs w:val="0"/>
                <w:color w:val="000000"/>
                <w:sz w:val="20"/>
                <w:szCs w:val="20"/>
                <w:u w:val="none"/>
              </w:rPr>
            </w:pP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D6A3E">
            <w:pPr>
              <w:jc w:val="center"/>
              <w:rPr>
                <w:rFonts w:hint="eastAsia" w:ascii="宋体" w:hAnsi="宋体" w:eastAsia="宋体" w:cs="宋体"/>
                <w:i w:val="0"/>
                <w:iCs w:val="0"/>
                <w:color w:val="000000"/>
                <w:sz w:val="20"/>
                <w:szCs w:val="20"/>
                <w:u w:val="none"/>
              </w:rPr>
            </w:pPr>
          </w:p>
        </w:tc>
        <w:tc>
          <w:tcPr>
            <w:tcW w:w="57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57F0DAE2">
            <w:pPr>
              <w:rPr>
                <w:rFonts w:hint="eastAsia" w:ascii="等线" w:hAnsi="等线" w:eastAsia="等线" w:cs="等线"/>
                <w:i w:val="0"/>
                <w:iCs w:val="0"/>
                <w:color w:val="000000"/>
                <w:sz w:val="22"/>
                <w:szCs w:val="22"/>
                <w:u w:val="none"/>
              </w:rPr>
            </w:pPr>
          </w:p>
        </w:tc>
      </w:tr>
      <w:tr w14:paraId="0E605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53A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.1</w:t>
            </w:r>
          </w:p>
        </w:tc>
        <w:tc>
          <w:tcPr>
            <w:tcW w:w="26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9603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视频监控设备</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A99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6</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4E8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7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5715C1CD">
            <w:pPr>
              <w:rPr>
                <w:rFonts w:hint="eastAsia" w:ascii="等线" w:hAnsi="等线" w:eastAsia="等线" w:cs="等线"/>
                <w:i w:val="0"/>
                <w:iCs w:val="0"/>
                <w:color w:val="000000"/>
                <w:sz w:val="22"/>
                <w:szCs w:val="22"/>
                <w:u w:val="none"/>
              </w:rPr>
            </w:pPr>
          </w:p>
        </w:tc>
      </w:tr>
      <w:tr w14:paraId="664AD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6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E51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.2</w:t>
            </w:r>
          </w:p>
        </w:tc>
        <w:tc>
          <w:tcPr>
            <w:tcW w:w="26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8D60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监控NVR设备及监控级硬盘</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6EB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6</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D3D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7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EA97F9">
            <w:pPr>
              <w:rPr>
                <w:rFonts w:hint="eastAsia" w:ascii="等线" w:hAnsi="等线" w:eastAsia="等线" w:cs="等线"/>
                <w:i w:val="0"/>
                <w:iCs w:val="0"/>
                <w:color w:val="000000"/>
                <w:sz w:val="22"/>
                <w:szCs w:val="22"/>
                <w:u w:val="none"/>
              </w:rPr>
            </w:pPr>
          </w:p>
        </w:tc>
      </w:tr>
    </w:tbl>
    <w:p w14:paraId="1A96717F">
      <w:pPr>
        <w:pStyle w:val="3"/>
        <w:bidi w:val="0"/>
        <w:rPr>
          <w:rFonts w:hint="default"/>
          <w:lang w:val="en-US" w:eastAsia="zh-CN"/>
        </w:rPr>
      </w:pPr>
      <w:r>
        <w:rPr>
          <w:rFonts w:hint="eastAsia"/>
          <w:lang w:val="en-US" w:eastAsia="zh-CN"/>
        </w:rPr>
        <w:t>技术要求</w:t>
      </w:r>
    </w:p>
    <w:p w14:paraId="693239AC">
      <w:pPr>
        <w:pStyle w:val="4"/>
        <w:bidi w:val="0"/>
        <w:ind w:left="575" w:leftChars="0" w:hanging="575" w:firstLineChars="0"/>
      </w:pPr>
      <w:bookmarkStart w:id="8" w:name="_Toc1604279"/>
      <w:bookmarkStart w:id="9" w:name="_Toc8047"/>
      <w:r>
        <w:t>建设目标</w:t>
      </w:r>
      <w:bookmarkEnd w:id="8"/>
      <w:bookmarkEnd w:id="9"/>
    </w:p>
    <w:p w14:paraId="7D4F8A2C">
      <w:pPr>
        <w:widowControl w:val="0"/>
        <w:spacing w:line="360" w:lineRule="auto"/>
        <w:ind w:firstLine="480" w:firstLineChars="20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rPr>
        <w:t>由于台风“摩羯”对</w:t>
      </w:r>
      <w:r>
        <w:rPr>
          <w:rFonts w:hint="default" w:ascii="宋体" w:hAnsi="宋体" w:eastAsia="宋体" w:cs="宋体"/>
          <w:kern w:val="2"/>
          <w:sz w:val="24"/>
          <w:szCs w:val="24"/>
          <w:lang w:val="en-US" w:eastAsia="zh-CN"/>
        </w:rPr>
        <w:t>江东新区湿地智能化监测信息系统项目</w:t>
      </w:r>
      <w:r>
        <w:rPr>
          <w:rFonts w:hint="eastAsia" w:ascii="宋体" w:hAnsi="宋体" w:eastAsia="宋体" w:cs="宋体"/>
          <w:kern w:val="2"/>
          <w:sz w:val="24"/>
          <w:szCs w:val="24"/>
          <w:lang w:val="en-US" w:eastAsia="zh-CN"/>
        </w:rPr>
        <w:t>、海南海口五源河和美舍河国家湿地公园验收工作项目（A包）两个项目建设在户外的生态环境监测设备造成破坏，目前已基本无法正常运行，而部署在政务云上的湿地</w:t>
      </w:r>
      <w:r>
        <w:rPr>
          <w:rFonts w:hint="default" w:ascii="宋体" w:hAnsi="宋体" w:eastAsia="宋体" w:cs="宋体"/>
          <w:kern w:val="2"/>
          <w:sz w:val="24"/>
          <w:szCs w:val="24"/>
          <w:lang w:val="en-US" w:eastAsia="zh-CN"/>
        </w:rPr>
        <w:t>信息系统</w:t>
      </w:r>
      <w:r>
        <w:rPr>
          <w:rFonts w:hint="eastAsia" w:ascii="宋体" w:hAnsi="宋体" w:eastAsia="宋体" w:cs="宋体"/>
          <w:kern w:val="2"/>
          <w:sz w:val="24"/>
          <w:szCs w:val="24"/>
          <w:lang w:val="en-US" w:eastAsia="zh-CN"/>
        </w:rPr>
        <w:t>未受到影响，仍在正常运行。为确保海口湿地生态监测系统的正常使用，实时监控与监测湿地生态环境情况，保障湿地公园生态环境安全，充分发挥其生态效益，需对已损坏的设备重新采购与安装调试。</w:t>
      </w:r>
    </w:p>
    <w:p w14:paraId="26033E27">
      <w:pPr>
        <w:pStyle w:val="4"/>
        <w:bidi w:val="0"/>
        <w:ind w:left="575" w:leftChars="0" w:hanging="575" w:firstLineChars="0"/>
      </w:pPr>
      <w:bookmarkStart w:id="10" w:name="_Toc1604282"/>
      <w:bookmarkStart w:id="11" w:name="_Toc332971271"/>
      <w:bookmarkStart w:id="12" w:name="_Toc29334"/>
      <w:r>
        <w:t>建设内容</w:t>
      </w:r>
      <w:bookmarkEnd w:id="10"/>
      <w:bookmarkEnd w:id="11"/>
      <w:bookmarkEnd w:id="12"/>
    </w:p>
    <w:p w14:paraId="238E6A4E">
      <w:pPr>
        <w:widowControl w:val="0"/>
        <w:spacing w:line="360" w:lineRule="auto"/>
        <w:ind w:firstLine="480" w:firstLineChars="200"/>
        <w:jc w:val="both"/>
      </w:pPr>
      <w:r>
        <w:rPr>
          <w:rFonts w:hint="eastAsia" w:ascii="宋体" w:hAnsi="宋体" w:eastAsia="宋体" w:cs="宋体"/>
          <w:kern w:val="2"/>
          <w:sz w:val="24"/>
          <w:szCs w:val="24"/>
          <w:lang w:val="en-US" w:eastAsia="zh-CN"/>
        </w:rPr>
        <w:t>海口湿地生态监测设备修复内容：包括完成监控中心大屏修复与重建工作；完成江东新区13套湿地实时监测终端（气象与空气质量在线监测终端）修复与重建工作；完成五源河与美舍河国家湿地公园6套微型水质自动监测站、6套气象、空气环境在线监测终端、6套生态视频监控修复与重建工作等。</w:t>
      </w:r>
    </w:p>
    <w:p w14:paraId="42FD1A75">
      <w:pPr>
        <w:pStyle w:val="4"/>
        <w:bidi w:val="0"/>
        <w:rPr>
          <w:rFonts w:hint="default"/>
          <w:lang w:val="en-US" w:eastAsia="zh-CN"/>
        </w:rPr>
      </w:pPr>
      <w:bookmarkStart w:id="13" w:name="_Toc1197"/>
      <w:r>
        <w:t>现状</w:t>
      </w:r>
      <w:r>
        <w:rPr>
          <w:rFonts w:hint="eastAsia"/>
          <w:lang w:val="en-US" w:eastAsia="zh-CN"/>
        </w:rPr>
        <w:t>与问题</w:t>
      </w:r>
      <w:r>
        <w:t>分析</w:t>
      </w:r>
      <w:bookmarkEnd w:id="13"/>
    </w:p>
    <w:p w14:paraId="041ECB61">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为了解台风“摩羯”对</w:t>
      </w:r>
      <w:r>
        <w:rPr>
          <w:rFonts w:hint="default" w:ascii="宋体" w:hAnsi="宋体" w:eastAsia="宋体" w:cs="宋体"/>
          <w:kern w:val="2"/>
          <w:sz w:val="24"/>
          <w:szCs w:val="24"/>
          <w:lang w:val="en-US" w:eastAsia="zh-CN"/>
        </w:rPr>
        <w:t>江东新区湿地智能化监测信息系统项目</w:t>
      </w:r>
      <w:r>
        <w:rPr>
          <w:rFonts w:hint="eastAsia" w:ascii="宋体" w:hAnsi="宋体" w:eastAsia="宋体" w:cs="宋体"/>
          <w:kern w:val="2"/>
          <w:sz w:val="24"/>
          <w:szCs w:val="24"/>
          <w:lang w:val="en-US" w:eastAsia="zh-CN"/>
        </w:rPr>
        <w:t>、海南海口五源河和美舍河国家湿地公园验收工作项目（A包）两个项目建设在户外的生态环境监测设备造成的影响，通过现场进行观察与测试，目前这两个项目建于户外的所有生态监测设备都遭到了不同程度的破坏，已影响设备的正常使用。而部署在政务云上的</w:t>
      </w:r>
      <w:r>
        <w:rPr>
          <w:rFonts w:hint="default" w:ascii="宋体" w:hAnsi="宋体" w:eastAsia="宋体" w:cs="宋体"/>
          <w:kern w:val="2"/>
          <w:sz w:val="24"/>
          <w:szCs w:val="24"/>
          <w:lang w:val="en-US" w:eastAsia="zh-CN"/>
        </w:rPr>
        <w:t>江东新区湿地智能化监测信息系统</w:t>
      </w:r>
      <w:r>
        <w:rPr>
          <w:rFonts w:hint="eastAsia" w:ascii="宋体" w:hAnsi="宋体" w:eastAsia="宋体" w:cs="宋体"/>
          <w:kern w:val="2"/>
          <w:sz w:val="24"/>
          <w:szCs w:val="24"/>
          <w:lang w:val="en-US" w:eastAsia="zh-CN"/>
        </w:rPr>
        <w:t>还在正常运行，但由于前端设备与传输网络被台风损坏，暂时无法采集与分析现场监测数据，已无法发挥系统的实际作用。</w:t>
      </w:r>
    </w:p>
    <w:p w14:paraId="676E7BC1">
      <w:pPr>
        <w:pStyle w:val="5"/>
        <w:numPr>
          <w:ilvl w:val="2"/>
          <w:numId w:val="3"/>
        </w:numPr>
        <w:bidi w:val="0"/>
        <w:ind w:left="575" w:leftChars="0" w:hanging="575" w:firstLineChars="0"/>
        <w:rPr>
          <w:rFonts w:hint="default"/>
          <w:lang w:val="en-US" w:eastAsia="zh-CN"/>
        </w:rPr>
      </w:pPr>
      <w:bookmarkStart w:id="14" w:name="_Toc29986"/>
      <w:r>
        <w:rPr>
          <w:rFonts w:hint="default"/>
          <w:lang w:val="en-US" w:eastAsia="zh-CN"/>
        </w:rPr>
        <w:t>江东新区湿地智能化监测信息系统项目</w:t>
      </w:r>
      <w:bookmarkEnd w:id="14"/>
    </w:p>
    <w:p w14:paraId="3FCF8304">
      <w:pPr>
        <w:pStyle w:val="6"/>
        <w:numPr>
          <w:ilvl w:val="3"/>
          <w:numId w:val="3"/>
        </w:numPr>
        <w:bidi w:val="0"/>
        <w:ind w:left="720" w:leftChars="0" w:hanging="720" w:firstLineChars="0"/>
        <w:rPr>
          <w:rFonts w:hint="default"/>
          <w:lang w:val="en-US" w:eastAsia="zh-CN"/>
        </w:rPr>
      </w:pPr>
      <w:bookmarkStart w:id="15" w:name="_Toc22673"/>
      <w:bookmarkStart w:id="16" w:name="_Toc12823"/>
      <w:r>
        <w:rPr>
          <w:rFonts w:hint="default"/>
          <w:lang w:val="en-US" w:eastAsia="zh-CN"/>
        </w:rPr>
        <w:t>东寨港管理局监测点</w:t>
      </w:r>
      <w:bookmarkEnd w:id="15"/>
      <w:bookmarkEnd w:id="16"/>
    </w:p>
    <w:p w14:paraId="732B20FB">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default" w:ascii="宋体" w:hAnsi="宋体" w:eastAsia="宋体" w:cs="宋体"/>
          <w:kern w:val="2"/>
          <w:sz w:val="24"/>
          <w:szCs w:val="24"/>
          <w:lang w:val="en-US" w:eastAsia="zh-CN"/>
        </w:rPr>
        <w:t>由于</w:t>
      </w:r>
      <w:r>
        <w:rPr>
          <w:rFonts w:hint="eastAsia" w:ascii="宋体" w:hAnsi="宋体" w:eastAsia="宋体" w:cs="宋体"/>
          <w:kern w:val="2"/>
          <w:sz w:val="24"/>
          <w:szCs w:val="24"/>
          <w:lang w:val="en-US" w:eastAsia="zh-CN"/>
        </w:rPr>
        <w:t>旅游公司在</w:t>
      </w:r>
      <w:r>
        <w:rPr>
          <w:rFonts w:hint="default" w:ascii="宋体" w:hAnsi="宋体" w:eastAsia="宋体" w:cs="宋体"/>
          <w:kern w:val="2"/>
          <w:sz w:val="24"/>
          <w:szCs w:val="24"/>
          <w:lang w:val="en-US" w:eastAsia="zh-CN"/>
        </w:rPr>
        <w:t>东寨港其他项目在建设过程中，</w:t>
      </w:r>
      <w:r>
        <w:rPr>
          <w:rFonts w:hint="eastAsia" w:ascii="宋体" w:hAnsi="宋体" w:eastAsia="宋体" w:cs="宋体"/>
          <w:kern w:val="2"/>
          <w:sz w:val="24"/>
          <w:szCs w:val="24"/>
          <w:lang w:val="en-US" w:eastAsia="zh-CN"/>
        </w:rPr>
        <w:t>未知会东寨港管理局与实施单位的情况下，私自暴力</w:t>
      </w:r>
      <w:r>
        <w:rPr>
          <w:rFonts w:hint="default" w:ascii="宋体" w:hAnsi="宋体" w:eastAsia="宋体" w:cs="宋体"/>
          <w:kern w:val="2"/>
          <w:sz w:val="24"/>
          <w:szCs w:val="24"/>
          <w:lang w:val="en-US" w:eastAsia="zh-CN"/>
        </w:rPr>
        <w:t>拆除了相应的设备，</w:t>
      </w:r>
      <w:r>
        <w:rPr>
          <w:rFonts w:hint="eastAsia" w:ascii="宋体" w:hAnsi="宋体" w:eastAsia="宋体" w:cs="宋体"/>
          <w:kern w:val="2"/>
          <w:sz w:val="24"/>
          <w:szCs w:val="24"/>
          <w:lang w:val="en-US" w:eastAsia="zh-CN"/>
        </w:rPr>
        <w:t>杆体已经丢失，设备的线路已被破坏，部分</w:t>
      </w:r>
      <w:r>
        <w:rPr>
          <w:rFonts w:hint="default" w:ascii="宋体" w:hAnsi="宋体" w:eastAsia="宋体" w:cs="宋体"/>
          <w:kern w:val="2"/>
          <w:sz w:val="24"/>
          <w:szCs w:val="24"/>
          <w:lang w:val="en-US" w:eastAsia="zh-CN"/>
        </w:rPr>
        <w:t>设备</w:t>
      </w:r>
      <w:r>
        <w:rPr>
          <w:rFonts w:hint="eastAsia" w:ascii="宋体" w:hAnsi="宋体" w:eastAsia="宋体" w:cs="宋体"/>
          <w:kern w:val="2"/>
          <w:sz w:val="24"/>
          <w:szCs w:val="24"/>
          <w:lang w:val="en-US" w:eastAsia="zh-CN"/>
        </w:rPr>
        <w:t>暂由东寨港</w:t>
      </w:r>
      <w:r>
        <w:rPr>
          <w:rFonts w:hint="default" w:ascii="宋体" w:hAnsi="宋体" w:eastAsia="宋体" w:cs="宋体"/>
          <w:kern w:val="2"/>
          <w:sz w:val="24"/>
          <w:szCs w:val="24"/>
          <w:lang w:val="en-US" w:eastAsia="zh-CN"/>
        </w:rPr>
        <w:t>管理</w:t>
      </w:r>
      <w:r>
        <w:rPr>
          <w:rFonts w:hint="eastAsia" w:ascii="宋体" w:hAnsi="宋体" w:eastAsia="宋体" w:cs="宋体"/>
          <w:kern w:val="2"/>
          <w:sz w:val="24"/>
          <w:szCs w:val="24"/>
          <w:lang w:val="en-US" w:eastAsia="zh-CN"/>
        </w:rPr>
        <w:t>局</w:t>
      </w:r>
      <w:r>
        <w:rPr>
          <w:rFonts w:hint="default" w:ascii="宋体" w:hAnsi="宋体" w:eastAsia="宋体" w:cs="宋体"/>
          <w:kern w:val="2"/>
          <w:sz w:val="24"/>
          <w:szCs w:val="24"/>
          <w:lang w:val="en-US" w:eastAsia="zh-CN"/>
        </w:rPr>
        <w:t>保管</w:t>
      </w:r>
      <w:r>
        <w:rPr>
          <w:rFonts w:hint="eastAsia" w:ascii="宋体" w:hAnsi="宋体" w:eastAsia="宋体" w:cs="宋体"/>
          <w:kern w:val="2"/>
          <w:sz w:val="24"/>
          <w:szCs w:val="24"/>
          <w:lang w:val="en-US" w:eastAsia="zh-CN"/>
        </w:rPr>
        <w:t>。由于设备长时间未正常运行，目前设备已经无法正常使用。</w:t>
      </w:r>
    </w:p>
    <w:p w14:paraId="7F78CF2C">
      <w:pPr>
        <w:bidi w:val="0"/>
        <w:ind w:left="0" w:leftChars="0" w:firstLine="0" w:firstLineChars="0"/>
        <w:rPr>
          <w:rFonts w:hint="default"/>
          <w:lang w:val="en-US" w:eastAsia="zh-CN"/>
        </w:rPr>
      </w:pPr>
      <w:r>
        <w:drawing>
          <wp:inline distT="0" distB="0" distL="114300" distR="114300">
            <wp:extent cx="5271135" cy="3590290"/>
            <wp:effectExtent l="0" t="0" r="5715"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71135" cy="3590290"/>
                    </a:xfrm>
                    <a:prstGeom prst="rect">
                      <a:avLst/>
                    </a:prstGeom>
                    <a:noFill/>
                    <a:ln>
                      <a:noFill/>
                    </a:ln>
                  </pic:spPr>
                </pic:pic>
              </a:graphicData>
            </a:graphic>
          </wp:inline>
        </w:drawing>
      </w:r>
    </w:p>
    <w:p w14:paraId="06A74360">
      <w:pPr>
        <w:pStyle w:val="6"/>
        <w:numPr>
          <w:ilvl w:val="3"/>
          <w:numId w:val="3"/>
        </w:numPr>
        <w:bidi w:val="0"/>
        <w:ind w:left="720" w:leftChars="0" w:hanging="720" w:firstLineChars="0"/>
        <w:rPr>
          <w:rFonts w:hint="eastAsia"/>
          <w:lang w:val="en-US" w:eastAsia="zh-CN"/>
        </w:rPr>
      </w:pPr>
      <w:bookmarkStart w:id="17" w:name="_Toc12364"/>
      <w:bookmarkStart w:id="18" w:name="_Toc13376"/>
      <w:r>
        <w:rPr>
          <w:rFonts w:hint="eastAsia"/>
        </w:rPr>
        <w:t>潭览河监测点</w:t>
      </w:r>
      <w:bookmarkEnd w:id="17"/>
      <w:bookmarkEnd w:id="18"/>
    </w:p>
    <w:p w14:paraId="5C6465C4">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毁灭性破坏监测设备的主要部件，传感器、数据采集仪、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0390ED3E">
      <w:pPr>
        <w:ind w:left="0" w:leftChars="0" w:firstLine="0" w:firstLineChars="0"/>
        <w:rPr>
          <w:rFonts w:hint="eastAsia"/>
          <w:lang w:val="en-US" w:eastAsia="zh-CN"/>
        </w:rPr>
      </w:pPr>
      <w:r>
        <w:drawing>
          <wp:inline distT="0" distB="0" distL="114300" distR="114300">
            <wp:extent cx="5274310" cy="3780790"/>
            <wp:effectExtent l="0" t="0" r="2540" b="1016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5"/>
                    <a:stretch>
                      <a:fillRect/>
                    </a:stretch>
                  </pic:blipFill>
                  <pic:spPr>
                    <a:xfrm>
                      <a:off x="0" y="0"/>
                      <a:ext cx="5274310" cy="3780790"/>
                    </a:xfrm>
                    <a:prstGeom prst="rect">
                      <a:avLst/>
                    </a:prstGeom>
                    <a:noFill/>
                    <a:ln>
                      <a:noFill/>
                    </a:ln>
                  </pic:spPr>
                </pic:pic>
              </a:graphicData>
            </a:graphic>
          </wp:inline>
        </w:drawing>
      </w:r>
    </w:p>
    <w:p w14:paraId="2532237E">
      <w:pPr>
        <w:pStyle w:val="6"/>
        <w:numPr>
          <w:ilvl w:val="3"/>
          <w:numId w:val="3"/>
        </w:numPr>
        <w:bidi w:val="0"/>
        <w:ind w:left="720" w:leftChars="0" w:hanging="720" w:firstLineChars="0"/>
        <w:rPr>
          <w:rFonts w:hint="default"/>
          <w:lang w:val="en-US" w:eastAsia="zh-CN"/>
        </w:rPr>
      </w:pPr>
      <w:bookmarkStart w:id="19" w:name="_Toc25583"/>
      <w:bookmarkStart w:id="20" w:name="_Toc437"/>
      <w:r>
        <w:rPr>
          <w:rFonts w:hint="eastAsia"/>
        </w:rPr>
        <w:t>道孟河监测点</w:t>
      </w:r>
      <w:bookmarkEnd w:id="19"/>
      <w:bookmarkEnd w:id="20"/>
    </w:p>
    <w:p w14:paraId="6B383124">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破坏，监测设备的主要部件传感器、LED显示屏、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4A8AC8B4">
      <w:pPr>
        <w:rPr>
          <w:rFonts w:hint="default"/>
          <w:lang w:val="en-US" w:eastAsia="zh-CN"/>
        </w:rPr>
      </w:pPr>
    </w:p>
    <w:p w14:paraId="57C75D9D">
      <w:pPr>
        <w:ind w:left="0" w:leftChars="0" w:firstLine="0" w:firstLineChars="0"/>
        <w:rPr>
          <w:rFonts w:hint="default"/>
          <w:lang w:val="en-US" w:eastAsia="zh-CN"/>
        </w:rPr>
      </w:pPr>
      <w:r>
        <w:drawing>
          <wp:inline distT="0" distB="0" distL="114300" distR="114300">
            <wp:extent cx="5067300" cy="3189605"/>
            <wp:effectExtent l="0" t="0" r="0" b="1079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6"/>
                    <a:stretch>
                      <a:fillRect/>
                    </a:stretch>
                  </pic:blipFill>
                  <pic:spPr>
                    <a:xfrm>
                      <a:off x="0" y="0"/>
                      <a:ext cx="5067300" cy="3189605"/>
                    </a:xfrm>
                    <a:prstGeom prst="rect">
                      <a:avLst/>
                    </a:prstGeom>
                    <a:noFill/>
                    <a:ln>
                      <a:noFill/>
                    </a:ln>
                  </pic:spPr>
                </pic:pic>
              </a:graphicData>
            </a:graphic>
          </wp:inline>
        </w:drawing>
      </w:r>
    </w:p>
    <w:p w14:paraId="1EE921A2">
      <w:pPr>
        <w:pStyle w:val="6"/>
        <w:numPr>
          <w:ilvl w:val="3"/>
          <w:numId w:val="3"/>
        </w:numPr>
        <w:bidi w:val="0"/>
        <w:ind w:left="720" w:leftChars="0" w:hanging="720" w:firstLineChars="0"/>
        <w:rPr>
          <w:rFonts w:hint="default"/>
          <w:lang w:val="en-US" w:eastAsia="zh-CN"/>
        </w:rPr>
      </w:pPr>
      <w:bookmarkStart w:id="21" w:name="_Toc10145"/>
      <w:bookmarkStart w:id="22" w:name="_Toc22480"/>
      <w:r>
        <w:rPr>
          <w:rFonts w:hint="eastAsia"/>
        </w:rPr>
        <w:t>芙蓉河监测点</w:t>
      </w:r>
      <w:bookmarkEnd w:id="21"/>
      <w:bookmarkEnd w:id="22"/>
    </w:p>
    <w:p w14:paraId="7AC15BEA">
      <w:pPr>
        <w:widowControl w:val="0"/>
        <w:spacing w:line="360" w:lineRule="auto"/>
        <w:ind w:firstLine="480" w:firstLineChars="200"/>
        <w:jc w:val="both"/>
        <w:rPr>
          <w:rFonts w:hint="eastAsia"/>
          <w:lang w:val="en-US" w:eastAsia="zh-CN"/>
        </w:rPr>
      </w:pPr>
      <w:r>
        <w:rPr>
          <w:rFonts w:hint="eastAsia" w:ascii="宋体" w:hAnsi="宋体" w:eastAsia="宋体" w:cs="宋体"/>
          <w:kern w:val="2"/>
          <w:sz w:val="24"/>
          <w:szCs w:val="24"/>
          <w:lang w:val="en-US" w:eastAsia="zh-CN"/>
        </w:rPr>
        <w:t>该点位的监测设备已遭受台风“摩羯”破坏，监测设备的主要部件传感器、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2E1CA1C9">
      <w:pPr>
        <w:ind w:left="0" w:leftChars="0" w:firstLine="0" w:firstLineChars="0"/>
        <w:rPr>
          <w:rFonts w:hint="default"/>
          <w:lang w:val="en-US" w:eastAsia="zh-CN"/>
        </w:rPr>
      </w:pPr>
      <w:r>
        <w:drawing>
          <wp:inline distT="0" distB="0" distL="114300" distR="114300">
            <wp:extent cx="5201285" cy="3411855"/>
            <wp:effectExtent l="0" t="0" r="18415" b="17145"/>
            <wp:docPr id="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
                    <pic:cNvPicPr>
                      <a:picLocks noChangeAspect="1"/>
                    </pic:cNvPicPr>
                  </pic:nvPicPr>
                  <pic:blipFill>
                    <a:blip r:embed="rId7"/>
                    <a:stretch>
                      <a:fillRect/>
                    </a:stretch>
                  </pic:blipFill>
                  <pic:spPr>
                    <a:xfrm>
                      <a:off x="0" y="0"/>
                      <a:ext cx="5201285" cy="3411855"/>
                    </a:xfrm>
                    <a:prstGeom prst="rect">
                      <a:avLst/>
                    </a:prstGeom>
                    <a:noFill/>
                    <a:ln>
                      <a:noFill/>
                    </a:ln>
                  </pic:spPr>
                </pic:pic>
              </a:graphicData>
            </a:graphic>
          </wp:inline>
        </w:drawing>
      </w:r>
    </w:p>
    <w:p w14:paraId="4B191E23">
      <w:pPr>
        <w:pStyle w:val="6"/>
        <w:numPr>
          <w:ilvl w:val="3"/>
          <w:numId w:val="3"/>
        </w:numPr>
        <w:bidi w:val="0"/>
        <w:ind w:left="720" w:leftChars="0" w:hanging="720" w:firstLineChars="0"/>
        <w:rPr>
          <w:rFonts w:hint="default"/>
          <w:lang w:val="en-US" w:eastAsia="zh-CN"/>
        </w:rPr>
      </w:pPr>
      <w:bookmarkStart w:id="23" w:name="_Toc32168"/>
      <w:bookmarkStart w:id="24" w:name="_Toc15254"/>
      <w:r>
        <w:rPr>
          <w:rFonts w:hint="default"/>
          <w:lang w:val="en-US" w:eastAsia="zh-CN"/>
        </w:rPr>
        <w:t>塔市监测点</w:t>
      </w:r>
      <w:bookmarkEnd w:id="23"/>
      <w:bookmarkEnd w:id="24"/>
    </w:p>
    <w:p w14:paraId="378D1273">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破坏，监测设备的主要部件传感器、LED显示屏、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30A2B954">
      <w:pPr>
        <w:rPr>
          <w:rFonts w:hint="default"/>
          <w:lang w:val="en-US" w:eastAsia="zh-CN"/>
        </w:rPr>
      </w:pPr>
    </w:p>
    <w:p w14:paraId="47D4F53A">
      <w:pPr>
        <w:ind w:left="0" w:leftChars="0" w:firstLine="0" w:firstLineChars="0"/>
        <w:rPr>
          <w:rFonts w:hint="default"/>
          <w:lang w:val="en-US" w:eastAsia="zh-CN"/>
        </w:rPr>
      </w:pPr>
      <w:r>
        <w:drawing>
          <wp:inline distT="0" distB="0" distL="114300" distR="114300">
            <wp:extent cx="5274310" cy="3503930"/>
            <wp:effectExtent l="0" t="0" r="2540" b="1270"/>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8"/>
                    <a:stretch>
                      <a:fillRect/>
                    </a:stretch>
                  </pic:blipFill>
                  <pic:spPr>
                    <a:xfrm>
                      <a:off x="0" y="0"/>
                      <a:ext cx="5274310" cy="3503930"/>
                    </a:xfrm>
                    <a:prstGeom prst="rect">
                      <a:avLst/>
                    </a:prstGeom>
                    <a:noFill/>
                    <a:ln>
                      <a:noFill/>
                    </a:ln>
                  </pic:spPr>
                </pic:pic>
              </a:graphicData>
            </a:graphic>
          </wp:inline>
        </w:drawing>
      </w:r>
    </w:p>
    <w:p w14:paraId="139092DB">
      <w:pPr>
        <w:pStyle w:val="6"/>
        <w:numPr>
          <w:ilvl w:val="3"/>
          <w:numId w:val="3"/>
        </w:numPr>
        <w:bidi w:val="0"/>
        <w:ind w:left="720" w:leftChars="0" w:hanging="720" w:firstLineChars="0"/>
        <w:rPr>
          <w:rFonts w:hint="default"/>
          <w:lang w:val="en-US" w:eastAsia="zh-CN"/>
        </w:rPr>
      </w:pPr>
      <w:bookmarkStart w:id="25" w:name="_Toc12794"/>
      <w:bookmarkStart w:id="26" w:name="_Toc9747"/>
      <w:r>
        <w:rPr>
          <w:rFonts w:hint="eastAsia"/>
        </w:rPr>
        <w:t>林市村</w:t>
      </w:r>
      <w:r>
        <w:t>监测点</w:t>
      </w:r>
      <w:bookmarkEnd w:id="25"/>
      <w:bookmarkEnd w:id="26"/>
    </w:p>
    <w:p w14:paraId="6DE063C1">
      <w:pPr>
        <w:widowControl w:val="0"/>
        <w:spacing w:line="360" w:lineRule="auto"/>
        <w:ind w:firstLine="480" w:firstLineChars="200"/>
        <w:jc w:val="both"/>
        <w:rPr>
          <w:rFonts w:hint="default"/>
          <w:lang w:val="en-US" w:eastAsia="zh-CN"/>
        </w:rPr>
      </w:pPr>
      <w:r>
        <w:rPr>
          <w:rFonts w:hint="eastAsia" w:ascii="宋体" w:hAnsi="宋体" w:eastAsia="宋体" w:cs="宋体"/>
          <w:kern w:val="2"/>
          <w:sz w:val="24"/>
          <w:szCs w:val="24"/>
          <w:lang w:val="en-US" w:eastAsia="zh-CN"/>
        </w:rPr>
        <w:t>该点位的监测设备已遭受台风“摩羯”破坏，监测设备的主要部件，传感器、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2E268056">
      <w:pPr>
        <w:ind w:left="0" w:leftChars="0" w:firstLine="0" w:firstLineChars="0"/>
        <w:jc w:val="center"/>
        <w:rPr>
          <w:rFonts w:hint="default"/>
          <w:lang w:val="en-US" w:eastAsia="zh-CN"/>
        </w:rPr>
      </w:pPr>
      <w:r>
        <w:drawing>
          <wp:inline distT="0" distB="0" distL="114300" distR="114300">
            <wp:extent cx="5086350" cy="3180715"/>
            <wp:effectExtent l="0" t="0" r="0" b="635"/>
            <wp:docPr id="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5"/>
                    <pic:cNvPicPr>
                      <a:picLocks noChangeAspect="1"/>
                    </pic:cNvPicPr>
                  </pic:nvPicPr>
                  <pic:blipFill>
                    <a:blip r:embed="rId9"/>
                    <a:stretch>
                      <a:fillRect/>
                    </a:stretch>
                  </pic:blipFill>
                  <pic:spPr>
                    <a:xfrm>
                      <a:off x="0" y="0"/>
                      <a:ext cx="5086350" cy="3180715"/>
                    </a:xfrm>
                    <a:prstGeom prst="rect">
                      <a:avLst/>
                    </a:prstGeom>
                    <a:noFill/>
                    <a:ln>
                      <a:noFill/>
                    </a:ln>
                  </pic:spPr>
                </pic:pic>
              </a:graphicData>
            </a:graphic>
          </wp:inline>
        </w:drawing>
      </w:r>
    </w:p>
    <w:p w14:paraId="601592D5">
      <w:pPr>
        <w:pStyle w:val="6"/>
        <w:numPr>
          <w:ilvl w:val="3"/>
          <w:numId w:val="3"/>
        </w:numPr>
        <w:bidi w:val="0"/>
        <w:ind w:left="720" w:leftChars="0" w:hanging="720" w:firstLineChars="0"/>
      </w:pPr>
      <w:bookmarkStart w:id="27" w:name="_Toc11704"/>
      <w:bookmarkStart w:id="28" w:name="_Toc31887"/>
      <w:r>
        <w:rPr>
          <w:rFonts w:hint="default"/>
          <w:lang w:val="en-US" w:eastAsia="zh-CN"/>
        </w:rPr>
        <w:t>道学</w:t>
      </w:r>
      <w:r>
        <w:t>站监测点</w:t>
      </w:r>
      <w:bookmarkEnd w:id="27"/>
      <w:bookmarkEnd w:id="28"/>
    </w:p>
    <w:p w14:paraId="069F17FF">
      <w:pPr>
        <w:widowControl w:val="0"/>
        <w:spacing w:line="360" w:lineRule="auto"/>
        <w:ind w:firstLine="480" w:firstLineChars="200"/>
        <w:jc w:val="both"/>
        <w:rPr>
          <w:rFonts w:hint="default"/>
          <w:lang w:val="en-US" w:eastAsia="zh-CN"/>
        </w:rPr>
      </w:pPr>
      <w:r>
        <w:rPr>
          <w:rFonts w:hint="eastAsia" w:ascii="宋体" w:hAnsi="宋体" w:eastAsia="宋体" w:cs="宋体"/>
          <w:kern w:val="2"/>
          <w:sz w:val="24"/>
          <w:szCs w:val="24"/>
          <w:lang w:val="en-US" w:eastAsia="zh-CN"/>
        </w:rPr>
        <w:t>该点位的监测设备已遭受台风“摩羯”破坏，监测设备的主要部件，传感器、LED显示屏、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1F5A1208">
      <w:pPr>
        <w:ind w:left="0" w:leftChars="0" w:firstLine="0" w:firstLineChars="0"/>
        <w:rPr>
          <w:rFonts w:hint="eastAsia" w:eastAsiaTheme="minorEastAsia"/>
          <w:lang w:eastAsia="zh-CN"/>
        </w:rPr>
      </w:pPr>
      <w:r>
        <w:drawing>
          <wp:inline distT="0" distB="0" distL="114300" distR="114300">
            <wp:extent cx="5158105" cy="3472815"/>
            <wp:effectExtent l="0" t="0" r="4445" b="13335"/>
            <wp:docPr id="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6"/>
                    <pic:cNvPicPr>
                      <a:picLocks noChangeAspect="1"/>
                    </pic:cNvPicPr>
                  </pic:nvPicPr>
                  <pic:blipFill>
                    <a:blip r:embed="rId10"/>
                    <a:stretch>
                      <a:fillRect/>
                    </a:stretch>
                  </pic:blipFill>
                  <pic:spPr>
                    <a:xfrm>
                      <a:off x="0" y="0"/>
                      <a:ext cx="5158105" cy="3472815"/>
                    </a:xfrm>
                    <a:prstGeom prst="rect">
                      <a:avLst/>
                    </a:prstGeom>
                    <a:noFill/>
                    <a:ln>
                      <a:noFill/>
                    </a:ln>
                  </pic:spPr>
                </pic:pic>
              </a:graphicData>
            </a:graphic>
          </wp:inline>
        </w:drawing>
      </w:r>
    </w:p>
    <w:p w14:paraId="0B3B9692">
      <w:pPr>
        <w:pStyle w:val="6"/>
        <w:numPr>
          <w:ilvl w:val="3"/>
          <w:numId w:val="3"/>
        </w:numPr>
        <w:bidi w:val="0"/>
        <w:ind w:left="720" w:leftChars="0" w:hanging="720" w:firstLineChars="0"/>
        <w:rPr>
          <w:rFonts w:hint="default"/>
          <w:lang w:val="en-US" w:eastAsia="zh-CN"/>
        </w:rPr>
      </w:pPr>
      <w:bookmarkStart w:id="29" w:name="_Toc31918"/>
      <w:r>
        <w:rPr>
          <w:rFonts w:hint="eastAsia"/>
          <w:lang w:val="en-US" w:eastAsia="zh-CN"/>
        </w:rPr>
        <w:t>下塘水鸟</w:t>
      </w:r>
      <w:r>
        <w:t>监测点</w:t>
      </w:r>
      <w:bookmarkEnd w:id="29"/>
    </w:p>
    <w:p w14:paraId="6E6FA097">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破坏，监测设备的主要部件，传感器、LED显示屏、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7FC82F8C">
      <w:pPr>
        <w:rPr>
          <w:rFonts w:hint="eastAsia"/>
          <w:lang w:val="en-US" w:eastAsia="zh-CN"/>
        </w:rPr>
      </w:pPr>
    </w:p>
    <w:p w14:paraId="41C8A7EF">
      <w:pPr>
        <w:ind w:left="0" w:leftChars="0" w:firstLine="0" w:firstLineChars="0"/>
        <w:rPr>
          <w:rFonts w:hint="default"/>
          <w:lang w:val="en-US" w:eastAsia="zh-CN"/>
        </w:rPr>
      </w:pPr>
      <w:r>
        <w:drawing>
          <wp:inline distT="0" distB="0" distL="114300" distR="114300">
            <wp:extent cx="5076190" cy="3682365"/>
            <wp:effectExtent l="0" t="0" r="10160" b="13335"/>
            <wp:docPr id="4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7"/>
                    <pic:cNvPicPr>
                      <a:picLocks noChangeAspect="1"/>
                    </pic:cNvPicPr>
                  </pic:nvPicPr>
                  <pic:blipFill>
                    <a:blip r:embed="rId11"/>
                    <a:stretch>
                      <a:fillRect/>
                    </a:stretch>
                  </pic:blipFill>
                  <pic:spPr>
                    <a:xfrm>
                      <a:off x="0" y="0"/>
                      <a:ext cx="5076190" cy="3682365"/>
                    </a:xfrm>
                    <a:prstGeom prst="rect">
                      <a:avLst/>
                    </a:prstGeom>
                    <a:noFill/>
                    <a:ln>
                      <a:noFill/>
                    </a:ln>
                  </pic:spPr>
                </pic:pic>
              </a:graphicData>
            </a:graphic>
          </wp:inline>
        </w:drawing>
      </w:r>
    </w:p>
    <w:p w14:paraId="789D0CEA">
      <w:pPr>
        <w:ind w:left="0" w:leftChars="0" w:firstLine="0" w:firstLineChars="0"/>
        <w:rPr>
          <w:sz w:val="24"/>
          <w:szCs w:val="32"/>
        </w:rPr>
      </w:pPr>
    </w:p>
    <w:p w14:paraId="0BF33633">
      <w:pPr>
        <w:pStyle w:val="6"/>
        <w:numPr>
          <w:ilvl w:val="3"/>
          <w:numId w:val="3"/>
        </w:numPr>
        <w:bidi w:val="0"/>
        <w:ind w:left="720" w:leftChars="0" w:hanging="720" w:firstLineChars="0"/>
        <w:rPr>
          <w:rFonts w:hint="eastAsia"/>
          <w:lang w:val="en-US" w:eastAsia="zh-CN"/>
        </w:rPr>
      </w:pPr>
      <w:bookmarkStart w:id="30" w:name="_Toc27759"/>
      <w:r>
        <w:rPr>
          <w:rFonts w:hint="eastAsia"/>
          <w:lang w:val="en-US" w:eastAsia="zh-CN"/>
        </w:rPr>
        <w:t>溪头</w:t>
      </w:r>
      <w:r>
        <w:t>监测点</w:t>
      </w:r>
      <w:bookmarkEnd w:id="30"/>
    </w:p>
    <w:p w14:paraId="1CEFE135">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破坏，监测设备的主要部件，传感器、LED显示屏、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4DF4EA77">
      <w:pPr>
        <w:rPr>
          <w:rFonts w:hint="default"/>
          <w:lang w:val="en-US" w:eastAsia="zh-CN"/>
        </w:rPr>
      </w:pPr>
    </w:p>
    <w:p w14:paraId="7EE68424">
      <w:pPr>
        <w:rPr>
          <w:rFonts w:hint="eastAsia"/>
          <w:lang w:val="en-US" w:eastAsia="zh-CN"/>
        </w:rPr>
      </w:pPr>
    </w:p>
    <w:p w14:paraId="15F05583">
      <w:pPr>
        <w:ind w:left="0" w:leftChars="0" w:firstLine="0" w:firstLineChars="0"/>
        <w:rPr>
          <w:rFonts w:hint="eastAsia"/>
          <w:lang w:val="en-US" w:eastAsia="zh-CN"/>
        </w:rPr>
      </w:pPr>
      <w:r>
        <w:drawing>
          <wp:inline distT="0" distB="0" distL="114300" distR="114300">
            <wp:extent cx="4922520" cy="3253740"/>
            <wp:effectExtent l="0" t="0" r="11430" b="3810"/>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12"/>
                    <a:stretch>
                      <a:fillRect/>
                    </a:stretch>
                  </pic:blipFill>
                  <pic:spPr>
                    <a:xfrm>
                      <a:off x="0" y="0"/>
                      <a:ext cx="4922520" cy="3253740"/>
                    </a:xfrm>
                    <a:prstGeom prst="rect">
                      <a:avLst/>
                    </a:prstGeom>
                    <a:noFill/>
                    <a:ln>
                      <a:noFill/>
                    </a:ln>
                  </pic:spPr>
                </pic:pic>
              </a:graphicData>
            </a:graphic>
          </wp:inline>
        </w:drawing>
      </w:r>
    </w:p>
    <w:p w14:paraId="0736832C">
      <w:pPr>
        <w:pStyle w:val="6"/>
        <w:numPr>
          <w:ilvl w:val="3"/>
          <w:numId w:val="3"/>
        </w:numPr>
        <w:bidi w:val="0"/>
        <w:ind w:left="720" w:leftChars="0" w:hanging="720" w:firstLineChars="0"/>
        <w:rPr>
          <w:rFonts w:hint="eastAsia"/>
          <w:lang w:val="en-US" w:eastAsia="zh-CN"/>
        </w:rPr>
      </w:pPr>
      <w:bookmarkStart w:id="31" w:name="_Toc23985"/>
      <w:r>
        <w:rPr>
          <w:rFonts w:hint="eastAsia"/>
          <w:lang w:val="en-US" w:eastAsia="zh-CN"/>
        </w:rPr>
        <w:t>罗豆保护站</w:t>
      </w:r>
      <w:r>
        <w:t>监测点</w:t>
      </w:r>
      <w:bookmarkEnd w:id="31"/>
    </w:p>
    <w:p w14:paraId="41216CFC">
      <w:pPr>
        <w:widowControl w:val="0"/>
        <w:spacing w:line="360" w:lineRule="auto"/>
        <w:ind w:firstLine="480" w:firstLineChars="200"/>
        <w:jc w:val="both"/>
        <w:rPr>
          <w:rFonts w:hint="default"/>
          <w:lang w:val="en-US" w:eastAsia="zh-CN"/>
        </w:rPr>
      </w:pPr>
      <w:r>
        <w:rPr>
          <w:rFonts w:hint="eastAsia" w:ascii="宋体" w:hAnsi="宋体" w:eastAsia="宋体" w:cs="宋体"/>
          <w:kern w:val="2"/>
          <w:sz w:val="24"/>
          <w:szCs w:val="24"/>
          <w:lang w:val="en-US" w:eastAsia="zh-CN"/>
        </w:rPr>
        <w:t>该点位的监测设备已遭受台风“摩羯”破坏，监测设备的主要部件，传感器、LED显示屏、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140E7A9F">
      <w:pPr>
        <w:ind w:left="0" w:leftChars="0" w:firstLine="0" w:firstLineChars="0"/>
        <w:rPr>
          <w:rFonts w:hint="eastAsia"/>
          <w:sz w:val="24"/>
          <w:szCs w:val="32"/>
          <w:lang w:val="en-US" w:eastAsia="zh-CN"/>
        </w:rPr>
      </w:pPr>
      <w:r>
        <w:drawing>
          <wp:inline distT="0" distB="0" distL="114300" distR="114300">
            <wp:extent cx="5153025" cy="3191510"/>
            <wp:effectExtent l="0" t="0" r="9525" b="8890"/>
            <wp:docPr id="4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9"/>
                    <pic:cNvPicPr>
                      <a:picLocks noChangeAspect="1"/>
                    </pic:cNvPicPr>
                  </pic:nvPicPr>
                  <pic:blipFill>
                    <a:blip r:embed="rId13"/>
                    <a:stretch>
                      <a:fillRect/>
                    </a:stretch>
                  </pic:blipFill>
                  <pic:spPr>
                    <a:xfrm>
                      <a:off x="0" y="0"/>
                      <a:ext cx="5153025" cy="3191510"/>
                    </a:xfrm>
                    <a:prstGeom prst="rect">
                      <a:avLst/>
                    </a:prstGeom>
                    <a:noFill/>
                    <a:ln>
                      <a:noFill/>
                    </a:ln>
                  </pic:spPr>
                </pic:pic>
              </a:graphicData>
            </a:graphic>
          </wp:inline>
        </w:drawing>
      </w:r>
    </w:p>
    <w:p w14:paraId="1A6BB9ED">
      <w:pPr>
        <w:pStyle w:val="6"/>
        <w:numPr>
          <w:ilvl w:val="3"/>
          <w:numId w:val="3"/>
        </w:numPr>
        <w:bidi w:val="0"/>
        <w:ind w:left="720" w:leftChars="0" w:hanging="720" w:firstLineChars="0"/>
        <w:rPr>
          <w:rFonts w:hint="eastAsia"/>
          <w:lang w:val="en-US" w:eastAsia="zh-CN"/>
        </w:rPr>
      </w:pPr>
      <w:bookmarkStart w:id="32" w:name="_Toc1285"/>
      <w:r>
        <w:rPr>
          <w:rFonts w:hint="eastAsia"/>
          <w:lang w:val="en-US" w:eastAsia="zh-CN"/>
        </w:rPr>
        <w:t>南洋水库</w:t>
      </w:r>
      <w:r>
        <w:t>监测点</w:t>
      </w:r>
      <w:bookmarkEnd w:id="32"/>
    </w:p>
    <w:p w14:paraId="0C7E737C">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破坏，监测设备的主要部件，传感器、LED显示屏、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63C707EA">
      <w:pPr>
        <w:rPr>
          <w:rFonts w:hint="default"/>
          <w:lang w:val="en-US" w:eastAsia="zh-CN"/>
        </w:rPr>
      </w:pPr>
    </w:p>
    <w:p w14:paraId="59DCDEDC">
      <w:pPr>
        <w:ind w:left="0" w:leftChars="0" w:firstLine="0" w:firstLineChars="0"/>
        <w:rPr>
          <w:sz w:val="24"/>
          <w:szCs w:val="32"/>
        </w:rPr>
      </w:pPr>
      <w:r>
        <w:drawing>
          <wp:inline distT="0" distB="0" distL="114300" distR="114300">
            <wp:extent cx="5273040" cy="3526155"/>
            <wp:effectExtent l="0" t="0" r="3810" b="17145"/>
            <wp:docPr id="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0"/>
                    <pic:cNvPicPr>
                      <a:picLocks noChangeAspect="1"/>
                    </pic:cNvPicPr>
                  </pic:nvPicPr>
                  <pic:blipFill>
                    <a:blip r:embed="rId14"/>
                    <a:stretch>
                      <a:fillRect/>
                    </a:stretch>
                  </pic:blipFill>
                  <pic:spPr>
                    <a:xfrm>
                      <a:off x="0" y="0"/>
                      <a:ext cx="5273040" cy="3526155"/>
                    </a:xfrm>
                    <a:prstGeom prst="rect">
                      <a:avLst/>
                    </a:prstGeom>
                    <a:noFill/>
                    <a:ln>
                      <a:noFill/>
                    </a:ln>
                  </pic:spPr>
                </pic:pic>
              </a:graphicData>
            </a:graphic>
          </wp:inline>
        </w:drawing>
      </w:r>
    </w:p>
    <w:p w14:paraId="27F3866F">
      <w:pPr>
        <w:pStyle w:val="6"/>
        <w:numPr>
          <w:ilvl w:val="3"/>
          <w:numId w:val="3"/>
        </w:numPr>
        <w:bidi w:val="0"/>
        <w:ind w:left="720" w:leftChars="0" w:hanging="720" w:firstLineChars="0"/>
        <w:rPr>
          <w:rFonts w:hint="eastAsia"/>
          <w:lang w:val="en-US" w:eastAsia="zh-CN"/>
        </w:rPr>
      </w:pPr>
      <w:bookmarkStart w:id="33" w:name="_Toc10158"/>
      <w:r>
        <w:rPr>
          <w:rFonts w:hint="eastAsia"/>
          <w:lang w:val="en-US" w:eastAsia="zh-CN"/>
        </w:rPr>
        <w:t>三江公园</w:t>
      </w:r>
      <w:r>
        <w:t>监测点</w:t>
      </w:r>
      <w:bookmarkEnd w:id="33"/>
    </w:p>
    <w:p w14:paraId="0427F6EC">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毁灭性破坏监测设备的主要部件，传感器、数据采集仪、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39FDC8DA">
      <w:pPr>
        <w:rPr>
          <w:rFonts w:hint="default"/>
          <w:lang w:val="en-US" w:eastAsia="zh-CN"/>
        </w:rPr>
      </w:pPr>
    </w:p>
    <w:p w14:paraId="27CCEEBA">
      <w:pPr>
        <w:rPr>
          <w:rFonts w:hint="eastAsia"/>
          <w:lang w:val="en-US" w:eastAsia="zh-CN"/>
        </w:rPr>
      </w:pPr>
    </w:p>
    <w:p w14:paraId="45D9D8C8">
      <w:pPr>
        <w:spacing w:line="240" w:lineRule="auto"/>
        <w:ind w:left="0" w:leftChars="0" w:firstLine="0" w:firstLineChars="0"/>
        <w:rPr>
          <w:sz w:val="24"/>
          <w:szCs w:val="32"/>
        </w:rPr>
      </w:pPr>
      <w:r>
        <w:drawing>
          <wp:inline distT="0" distB="0" distL="114300" distR="114300">
            <wp:extent cx="5288280" cy="3211830"/>
            <wp:effectExtent l="0" t="0" r="7620" b="7620"/>
            <wp:docPr id="4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1"/>
                    <pic:cNvPicPr>
                      <a:picLocks noChangeAspect="1"/>
                    </pic:cNvPicPr>
                  </pic:nvPicPr>
                  <pic:blipFill>
                    <a:blip r:embed="rId15"/>
                    <a:stretch>
                      <a:fillRect/>
                    </a:stretch>
                  </pic:blipFill>
                  <pic:spPr>
                    <a:xfrm>
                      <a:off x="0" y="0"/>
                      <a:ext cx="5288280" cy="3211830"/>
                    </a:xfrm>
                    <a:prstGeom prst="rect">
                      <a:avLst/>
                    </a:prstGeom>
                    <a:noFill/>
                    <a:ln>
                      <a:noFill/>
                    </a:ln>
                  </pic:spPr>
                </pic:pic>
              </a:graphicData>
            </a:graphic>
          </wp:inline>
        </w:drawing>
      </w:r>
    </w:p>
    <w:p w14:paraId="13424223">
      <w:pPr>
        <w:pStyle w:val="6"/>
        <w:numPr>
          <w:ilvl w:val="3"/>
          <w:numId w:val="3"/>
        </w:numPr>
        <w:bidi w:val="0"/>
        <w:spacing w:line="240" w:lineRule="auto"/>
        <w:ind w:left="720" w:leftChars="0" w:hanging="720" w:firstLineChars="0"/>
        <w:rPr>
          <w:rFonts w:hint="eastAsia"/>
          <w:lang w:val="en-US" w:eastAsia="zh-CN"/>
        </w:rPr>
      </w:pPr>
      <w:bookmarkStart w:id="34" w:name="_Toc6139"/>
      <w:r>
        <w:rPr>
          <w:rFonts w:hint="eastAsia"/>
          <w:lang w:val="en-US" w:eastAsia="zh-CN"/>
        </w:rPr>
        <w:t>迈雅河</w:t>
      </w:r>
      <w:r>
        <w:t>监测点</w:t>
      </w:r>
      <w:bookmarkEnd w:id="34"/>
    </w:p>
    <w:p w14:paraId="16128CC2">
      <w:pPr>
        <w:widowControl w:val="0"/>
        <w:spacing w:line="360" w:lineRule="auto"/>
        <w:ind w:firstLine="480" w:firstLineChars="200"/>
        <w:jc w:val="both"/>
        <w:rPr>
          <w:rFonts w:hint="eastAsia"/>
          <w:lang w:val="en-US" w:eastAsia="zh-CN"/>
        </w:rPr>
      </w:pPr>
      <w:r>
        <w:rPr>
          <w:rFonts w:hint="eastAsia" w:ascii="宋体" w:hAnsi="宋体" w:eastAsia="宋体" w:cs="宋体"/>
          <w:kern w:val="2"/>
          <w:sz w:val="24"/>
          <w:szCs w:val="24"/>
          <w:lang w:val="en-US" w:eastAsia="zh-CN"/>
        </w:rPr>
        <w:t>该点位的监测设备已遭受台风“摩羯”毁灭性破坏监测设备的主要部件，传感器、数据采集仪、供电系统等都已被破坏，已无法正常开机，且经现场测试与评估，已无法修复。由于安装设备的立杆需根据传感器、数据采集仪等部件进行配套，根据相应的孔位与尺寸进行定制，因此旧的杆体也无法用于安装其他的设备。</w:t>
      </w:r>
    </w:p>
    <w:p w14:paraId="1135E429">
      <w:pPr>
        <w:ind w:left="0" w:leftChars="0" w:firstLine="0" w:firstLineChars="0"/>
        <w:rPr>
          <w:rFonts w:hint="default"/>
          <w:lang w:val="en-US" w:eastAsia="zh-CN"/>
        </w:rPr>
      </w:pPr>
      <w:r>
        <w:drawing>
          <wp:inline distT="0" distB="0" distL="114300" distR="114300">
            <wp:extent cx="5267960" cy="3154045"/>
            <wp:effectExtent l="0" t="0" r="8890" b="8255"/>
            <wp:docPr id="4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2"/>
                    <pic:cNvPicPr>
                      <a:picLocks noChangeAspect="1"/>
                    </pic:cNvPicPr>
                  </pic:nvPicPr>
                  <pic:blipFill>
                    <a:blip r:embed="rId16"/>
                    <a:stretch>
                      <a:fillRect/>
                    </a:stretch>
                  </pic:blipFill>
                  <pic:spPr>
                    <a:xfrm>
                      <a:off x="0" y="0"/>
                      <a:ext cx="5267960" cy="3154045"/>
                    </a:xfrm>
                    <a:prstGeom prst="rect">
                      <a:avLst/>
                    </a:prstGeom>
                    <a:noFill/>
                    <a:ln>
                      <a:noFill/>
                    </a:ln>
                  </pic:spPr>
                </pic:pic>
              </a:graphicData>
            </a:graphic>
          </wp:inline>
        </w:drawing>
      </w:r>
    </w:p>
    <w:p w14:paraId="622366D1">
      <w:pPr>
        <w:pStyle w:val="6"/>
        <w:numPr>
          <w:ilvl w:val="3"/>
          <w:numId w:val="3"/>
        </w:numPr>
        <w:bidi w:val="0"/>
        <w:ind w:left="720" w:leftChars="0" w:hanging="720" w:firstLineChars="0"/>
        <w:rPr>
          <w:rFonts w:hint="default"/>
          <w:lang w:val="en-US" w:eastAsia="zh-CN"/>
        </w:rPr>
      </w:pPr>
      <w:bookmarkStart w:id="35" w:name="_Toc6061"/>
      <w:r>
        <w:rPr>
          <w:rFonts w:hint="eastAsia"/>
          <w:lang w:val="en-US" w:eastAsia="zh-CN"/>
        </w:rPr>
        <w:t>监控中心</w:t>
      </w:r>
      <w:bookmarkEnd w:id="35"/>
    </w:p>
    <w:p w14:paraId="19FD74F0">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其中1块屏幕与视频综合平台由于长期没开，受潮出现故障，已无法正常运行。</w:t>
      </w:r>
    </w:p>
    <w:p w14:paraId="05CE03C2">
      <w:pPr>
        <w:bidi w:val="0"/>
        <w:ind w:left="0" w:leftChars="0" w:firstLine="0" w:firstLineChars="0"/>
        <w:rPr>
          <w:rFonts w:hint="default"/>
          <w:lang w:val="en-US" w:eastAsia="zh-CN"/>
        </w:rPr>
      </w:pPr>
      <w:r>
        <w:drawing>
          <wp:inline distT="0" distB="0" distL="114300" distR="114300">
            <wp:extent cx="5212080" cy="6069965"/>
            <wp:effectExtent l="0" t="0" r="7620" b="698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17"/>
                    <a:stretch>
                      <a:fillRect/>
                    </a:stretch>
                  </pic:blipFill>
                  <pic:spPr>
                    <a:xfrm>
                      <a:off x="0" y="0"/>
                      <a:ext cx="5212080" cy="6069965"/>
                    </a:xfrm>
                    <a:prstGeom prst="rect">
                      <a:avLst/>
                    </a:prstGeom>
                    <a:noFill/>
                    <a:ln>
                      <a:noFill/>
                    </a:ln>
                  </pic:spPr>
                </pic:pic>
              </a:graphicData>
            </a:graphic>
          </wp:inline>
        </w:drawing>
      </w:r>
    </w:p>
    <w:p w14:paraId="06047B16">
      <w:pPr>
        <w:rPr>
          <w:rFonts w:hint="default"/>
          <w:lang w:val="en-US" w:eastAsia="zh-CN"/>
        </w:rPr>
      </w:pPr>
    </w:p>
    <w:p w14:paraId="381054C4">
      <w:pPr>
        <w:pStyle w:val="5"/>
        <w:numPr>
          <w:ilvl w:val="2"/>
          <w:numId w:val="3"/>
        </w:numPr>
        <w:bidi w:val="0"/>
        <w:ind w:left="575" w:leftChars="0" w:hanging="575" w:firstLineChars="0"/>
        <w:rPr>
          <w:rFonts w:hint="default"/>
          <w:lang w:val="en-US" w:eastAsia="zh-CN"/>
        </w:rPr>
      </w:pPr>
      <w:bookmarkStart w:id="36" w:name="_Toc23164"/>
      <w:r>
        <w:rPr>
          <w:rFonts w:hint="default"/>
          <w:lang w:val="en-US" w:eastAsia="zh-CN"/>
        </w:rPr>
        <w:t>海南海口五源河和美舍河国家湿地公园验收工作项目</w:t>
      </w:r>
      <w:bookmarkEnd w:id="36"/>
    </w:p>
    <w:p w14:paraId="69709985">
      <w:pPr>
        <w:pStyle w:val="6"/>
        <w:numPr>
          <w:ilvl w:val="3"/>
          <w:numId w:val="3"/>
        </w:numPr>
        <w:bidi w:val="0"/>
        <w:ind w:left="720" w:leftChars="0" w:hanging="720" w:firstLineChars="0"/>
        <w:rPr>
          <w:rFonts w:hint="default"/>
          <w:lang w:val="en-US" w:eastAsia="zh-CN"/>
        </w:rPr>
      </w:pPr>
      <w:bookmarkStart w:id="37" w:name="_Toc985"/>
      <w:bookmarkStart w:id="38" w:name="_Toc29009"/>
      <w:r>
        <w:rPr>
          <w:rFonts w:hint="default"/>
          <w:lang w:val="en-US" w:eastAsia="zh-CN"/>
        </w:rPr>
        <w:t>美舍河上游监测站</w:t>
      </w:r>
      <w:bookmarkEnd w:id="37"/>
      <w:bookmarkEnd w:id="38"/>
    </w:p>
    <w:p w14:paraId="3661A082">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该点位的监测设备已遭受台风“摩羯”毁灭性破坏，监测设备的主要部件，气象传感器、数据采集仪、LED显示屏、供电系统等都已被破坏，已无法正常开机，且经现场测试与评估，已无法修复。</w:t>
      </w:r>
    </w:p>
    <w:p w14:paraId="04538F0C">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由于气象与空气质量监测的立杆需根据传感器、数据采集仪等部件进行配套，根据相应的孔位与尺寸进行定制，因此旧的杆体也无法用于安装其他的设备。</w:t>
      </w:r>
    </w:p>
    <w:p w14:paraId="60BEF463">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用于安装生态实景监测设备已遭到破坏，无法正常使用，而安装监测设备的的立杆并未受到损坏，仍可继续使用。</w:t>
      </w:r>
    </w:p>
    <w:p w14:paraId="1DC54D5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lang w:val="en-US" w:eastAsia="zh-CN"/>
        </w:rPr>
      </w:pPr>
      <w:r>
        <w:drawing>
          <wp:inline distT="0" distB="0" distL="114300" distR="114300">
            <wp:extent cx="5268595" cy="3417570"/>
            <wp:effectExtent l="0" t="0" r="8255" b="11430"/>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
                    <pic:cNvPicPr>
                      <a:picLocks noChangeAspect="1"/>
                    </pic:cNvPicPr>
                  </pic:nvPicPr>
                  <pic:blipFill>
                    <a:blip r:embed="rId18"/>
                    <a:stretch>
                      <a:fillRect/>
                    </a:stretch>
                  </pic:blipFill>
                  <pic:spPr>
                    <a:xfrm>
                      <a:off x="0" y="0"/>
                      <a:ext cx="5268595" cy="3417570"/>
                    </a:xfrm>
                    <a:prstGeom prst="rect">
                      <a:avLst/>
                    </a:prstGeom>
                    <a:noFill/>
                    <a:ln>
                      <a:noFill/>
                    </a:ln>
                  </pic:spPr>
                </pic:pic>
              </a:graphicData>
            </a:graphic>
          </wp:inline>
        </w:drawing>
      </w:r>
    </w:p>
    <w:p w14:paraId="2524611B">
      <w:pPr>
        <w:pStyle w:val="6"/>
        <w:numPr>
          <w:ilvl w:val="3"/>
          <w:numId w:val="3"/>
        </w:numPr>
        <w:bidi w:val="0"/>
        <w:ind w:left="720" w:leftChars="0" w:hanging="720" w:firstLineChars="0"/>
        <w:rPr>
          <w:rFonts w:hint="default"/>
          <w:lang w:val="en-US" w:eastAsia="zh-CN"/>
        </w:rPr>
      </w:pPr>
      <w:bookmarkStart w:id="39" w:name="_Toc24633"/>
      <w:bookmarkStart w:id="40" w:name="_Toc25918"/>
      <w:r>
        <w:rPr>
          <w:rFonts w:hint="default"/>
          <w:lang w:val="en-US" w:eastAsia="zh-CN"/>
        </w:rPr>
        <w:t>美舍河中游监测站</w:t>
      </w:r>
      <w:bookmarkEnd w:id="39"/>
      <w:bookmarkEnd w:id="40"/>
    </w:p>
    <w:p w14:paraId="1D55568F">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该点位的监测设备已遭受台风“摩羯”毁灭性破坏，监测设备的主要部件，设备机柜、水质监测传感器、数据采集仪、太阳能板、供电系统等都已被破坏，已无法正常开机，且经现场测试与评估，已无法修复。</w:t>
      </w:r>
    </w:p>
    <w:p w14:paraId="6A1CEF48">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由于气象与空气质量监测的立杆需根据传感器、数据采集仪等部件进行配套，根据相应的孔位与尺寸进行定制，因此旧的杆体也无法用于安装其他的设备。</w:t>
      </w:r>
    </w:p>
    <w:p w14:paraId="27ED970E">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用于安装生态实景监测设备已遭到破坏，无法正常使用，而安装监测设备的的立杆并未受到损坏，仍可继续使用。</w:t>
      </w:r>
    </w:p>
    <w:p w14:paraId="6BCE368C">
      <w:pPr>
        <w:keepNext w:val="0"/>
        <w:keepLines w:val="0"/>
        <w:pageBreakBefore w:val="0"/>
        <w:widowControl w:val="0"/>
        <w:kinsoku/>
        <w:wordWrap/>
        <w:overflowPunct/>
        <w:topLinePunct w:val="0"/>
        <w:autoSpaceDE/>
        <w:autoSpaceDN/>
        <w:bidi w:val="0"/>
        <w:adjustRightInd/>
        <w:snapToGrid/>
        <w:ind w:left="0" w:leftChars="0" w:firstLine="640" w:firstLineChars="200"/>
        <w:jc w:val="left"/>
        <w:textAlignment w:val="auto"/>
        <w:rPr>
          <w:rFonts w:hint="eastAsia"/>
          <w:lang w:val="en-US" w:eastAsia="zh-CN"/>
        </w:rPr>
      </w:pPr>
    </w:p>
    <w:p w14:paraId="72472E4B">
      <w:pPr>
        <w:ind w:left="0" w:leftChars="0" w:firstLine="0" w:firstLineChars="0"/>
        <w:rPr>
          <w:rFonts w:hint="default"/>
          <w:sz w:val="28"/>
          <w:szCs w:val="36"/>
          <w:lang w:val="en-US" w:eastAsia="zh-CN"/>
        </w:rPr>
      </w:pPr>
      <w:r>
        <w:drawing>
          <wp:inline distT="0" distB="0" distL="114300" distR="114300">
            <wp:extent cx="5273675" cy="3851275"/>
            <wp:effectExtent l="0" t="0" r="3175" b="15875"/>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19"/>
                    <a:stretch>
                      <a:fillRect/>
                    </a:stretch>
                  </pic:blipFill>
                  <pic:spPr>
                    <a:xfrm>
                      <a:off x="0" y="0"/>
                      <a:ext cx="5273675" cy="3851275"/>
                    </a:xfrm>
                    <a:prstGeom prst="rect">
                      <a:avLst/>
                    </a:prstGeom>
                    <a:noFill/>
                    <a:ln>
                      <a:noFill/>
                    </a:ln>
                  </pic:spPr>
                </pic:pic>
              </a:graphicData>
            </a:graphic>
          </wp:inline>
        </w:drawing>
      </w:r>
    </w:p>
    <w:p w14:paraId="6B75E74F">
      <w:pPr>
        <w:pStyle w:val="6"/>
        <w:numPr>
          <w:ilvl w:val="3"/>
          <w:numId w:val="3"/>
        </w:numPr>
        <w:bidi w:val="0"/>
        <w:ind w:left="720" w:leftChars="0" w:hanging="720" w:firstLineChars="0"/>
        <w:rPr>
          <w:rFonts w:hint="default"/>
          <w:lang w:val="en-US" w:eastAsia="zh-CN"/>
        </w:rPr>
      </w:pPr>
      <w:bookmarkStart w:id="41" w:name="_Toc17849"/>
      <w:bookmarkStart w:id="42" w:name="_Toc25567"/>
      <w:r>
        <w:rPr>
          <w:rFonts w:hint="default"/>
          <w:lang w:val="en-US" w:eastAsia="zh-CN"/>
        </w:rPr>
        <w:t>美舍河下游监测站</w:t>
      </w:r>
      <w:bookmarkEnd w:id="41"/>
      <w:bookmarkEnd w:id="42"/>
    </w:p>
    <w:p w14:paraId="2C15DAC0">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该点位的监测设备已遭受台风“摩羯”的破坏，监测设备的主要部件，水质监测传感器、数据采集仪、供电系统等都已被破坏，已无法正常开机，且经现场测试与评估，已无法修复。</w:t>
      </w:r>
    </w:p>
    <w:p w14:paraId="2B46C721">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由于气象与空气质量监测的立杆需根据传感器、数据采集仪等部件进行配套，根据相应的孔位与尺寸进行定制，因此旧的杆体也无法用于安装其他的设备。</w:t>
      </w:r>
    </w:p>
    <w:p w14:paraId="2CA2AC6E">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用于安装生态实景监测设备已遭到破坏，无法正常使用，而安装监测设备的的立杆并未受到损坏，仍可继续使用。</w:t>
      </w:r>
    </w:p>
    <w:p w14:paraId="02E27318">
      <w:pPr>
        <w:bidi w:val="0"/>
        <w:ind w:left="0" w:leftChars="0" w:firstLine="0" w:firstLineChars="0"/>
        <w:jc w:val="center"/>
        <w:rPr>
          <w:rFonts w:hint="default"/>
          <w:lang w:val="en-US" w:eastAsia="zh-CN"/>
        </w:rPr>
      </w:pPr>
      <w:r>
        <w:drawing>
          <wp:inline distT="0" distB="0" distL="114300" distR="114300">
            <wp:extent cx="5067300" cy="3291840"/>
            <wp:effectExtent l="0" t="0" r="0" b="381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20"/>
                    <a:stretch>
                      <a:fillRect/>
                    </a:stretch>
                  </pic:blipFill>
                  <pic:spPr>
                    <a:xfrm>
                      <a:off x="0" y="0"/>
                      <a:ext cx="5067300" cy="3291840"/>
                    </a:xfrm>
                    <a:prstGeom prst="rect">
                      <a:avLst/>
                    </a:prstGeom>
                    <a:noFill/>
                    <a:ln>
                      <a:noFill/>
                    </a:ln>
                  </pic:spPr>
                </pic:pic>
              </a:graphicData>
            </a:graphic>
          </wp:inline>
        </w:drawing>
      </w:r>
    </w:p>
    <w:p w14:paraId="3EB22338">
      <w:pPr>
        <w:pStyle w:val="6"/>
        <w:numPr>
          <w:ilvl w:val="3"/>
          <w:numId w:val="3"/>
        </w:numPr>
        <w:bidi w:val="0"/>
        <w:ind w:left="720" w:leftChars="0" w:hanging="720" w:firstLineChars="0"/>
        <w:rPr>
          <w:rFonts w:hint="default"/>
          <w:lang w:val="en-US" w:eastAsia="zh-CN"/>
        </w:rPr>
      </w:pPr>
      <w:bookmarkStart w:id="43" w:name="_Toc22850"/>
      <w:bookmarkStart w:id="44" w:name="_Toc3579"/>
      <w:r>
        <w:rPr>
          <w:rFonts w:hint="default"/>
          <w:lang w:val="en-US" w:eastAsia="zh-CN"/>
        </w:rPr>
        <w:t>五源河上游监测站</w:t>
      </w:r>
      <w:bookmarkEnd w:id="43"/>
      <w:bookmarkEnd w:id="44"/>
    </w:p>
    <w:p w14:paraId="6EC05902">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毁灭性破坏，监测站的整体结构遭到破坏，护栏、机柜已断裂，水质监测传感器、气象传感器、数据采集仪、供电系统等都已被破坏，已无法正常开机，且经现场测试与评估，已无法修复。</w:t>
      </w:r>
    </w:p>
    <w:p w14:paraId="3F844C34">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由于气象与空气质量监测的立杆需根据传感器、数据采集仪等部件进行配套，根据相应的孔位与尺寸进行定制，因此旧的杆体也无法用于安装其他的设备。</w:t>
      </w:r>
    </w:p>
    <w:p w14:paraId="6101631D">
      <w:pPr>
        <w:widowControl w:val="0"/>
        <w:spacing w:line="360" w:lineRule="auto"/>
        <w:ind w:firstLine="480" w:firstLineChars="200"/>
        <w:jc w:val="both"/>
        <w:rPr>
          <w:rFonts w:hint="default"/>
          <w:lang w:val="en-US" w:eastAsia="zh-CN"/>
        </w:rPr>
      </w:pPr>
      <w:r>
        <w:rPr>
          <w:rFonts w:hint="eastAsia" w:ascii="宋体" w:hAnsi="宋体" w:eastAsia="宋体" w:cs="宋体"/>
          <w:kern w:val="2"/>
          <w:sz w:val="24"/>
          <w:szCs w:val="24"/>
          <w:lang w:val="en-US" w:eastAsia="zh-CN"/>
        </w:rPr>
        <w:t>用于安装生态实景监测设备已遭到破坏，无法正常使用，而安装监测设备的的立杆并未受到损坏，仍可继续使用。</w:t>
      </w:r>
    </w:p>
    <w:p w14:paraId="31EF6BFB">
      <w:pPr>
        <w:ind w:left="0" w:leftChars="0" w:firstLine="0" w:firstLineChars="0"/>
        <w:rPr>
          <w:rFonts w:hint="default"/>
          <w:lang w:val="en-US" w:eastAsia="zh-CN"/>
        </w:rPr>
      </w:pPr>
      <w:r>
        <w:drawing>
          <wp:inline distT="0" distB="0" distL="114300" distR="114300">
            <wp:extent cx="5326380" cy="2527300"/>
            <wp:effectExtent l="0" t="0" r="7620" b="635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21"/>
                    <a:stretch>
                      <a:fillRect/>
                    </a:stretch>
                  </pic:blipFill>
                  <pic:spPr>
                    <a:xfrm>
                      <a:off x="0" y="0"/>
                      <a:ext cx="5326380" cy="2527300"/>
                    </a:xfrm>
                    <a:prstGeom prst="rect">
                      <a:avLst/>
                    </a:prstGeom>
                    <a:noFill/>
                    <a:ln>
                      <a:noFill/>
                    </a:ln>
                  </pic:spPr>
                </pic:pic>
              </a:graphicData>
            </a:graphic>
          </wp:inline>
        </w:drawing>
      </w:r>
    </w:p>
    <w:p w14:paraId="52A2C2FF">
      <w:pPr>
        <w:pStyle w:val="6"/>
        <w:numPr>
          <w:ilvl w:val="3"/>
          <w:numId w:val="3"/>
        </w:numPr>
        <w:bidi w:val="0"/>
        <w:ind w:left="720" w:leftChars="0" w:hanging="720" w:firstLineChars="0"/>
        <w:rPr>
          <w:rFonts w:hint="default"/>
          <w:lang w:val="en-US" w:eastAsia="zh-CN"/>
        </w:rPr>
      </w:pPr>
      <w:bookmarkStart w:id="45" w:name="_Toc629"/>
      <w:bookmarkStart w:id="46" w:name="_Toc12896"/>
      <w:r>
        <w:rPr>
          <w:rFonts w:hint="default"/>
          <w:lang w:val="en-US" w:eastAsia="zh-CN"/>
        </w:rPr>
        <w:t>五源河中游监测站</w:t>
      </w:r>
      <w:bookmarkEnd w:id="45"/>
      <w:bookmarkEnd w:id="46"/>
    </w:p>
    <w:p w14:paraId="052E244A">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该点位的监测设备已遭受台风“摩羯”破坏，监测站水质监测传感器、气象传感器、数据采集仪、供电系统等都已被破坏，已无法正常开机，且经现场测试与评估，已无法修复。</w:t>
      </w:r>
    </w:p>
    <w:p w14:paraId="002C4E55">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由于气象与空气质量监测的立杆需根据传感器、数据采集仪等部件进行配套，根据相应的孔位与尺寸进行定制，因此旧的杆体也无法用于安装其他的设备。</w:t>
      </w:r>
    </w:p>
    <w:p w14:paraId="5EB83226">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用于安装生态实景监测设备已遭到破坏，无法正常使用，而安装监测设备的的立杆并未受到损坏，仍可继续使用。</w:t>
      </w:r>
    </w:p>
    <w:p w14:paraId="24D145DA">
      <w:pPr>
        <w:rPr>
          <w:rFonts w:hint="default"/>
          <w:lang w:val="en-US" w:eastAsia="zh-CN"/>
        </w:rPr>
      </w:pPr>
    </w:p>
    <w:p w14:paraId="21BFBB6A">
      <w:pPr>
        <w:ind w:left="0" w:leftChars="0" w:firstLine="0" w:firstLineChars="0"/>
        <w:jc w:val="center"/>
      </w:pPr>
      <w:r>
        <w:drawing>
          <wp:inline distT="0" distB="0" distL="114300" distR="114300">
            <wp:extent cx="5158740" cy="3619500"/>
            <wp:effectExtent l="0" t="0" r="3810" b="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22"/>
                    <a:stretch>
                      <a:fillRect/>
                    </a:stretch>
                  </pic:blipFill>
                  <pic:spPr>
                    <a:xfrm>
                      <a:off x="0" y="0"/>
                      <a:ext cx="5158740" cy="3619500"/>
                    </a:xfrm>
                    <a:prstGeom prst="rect">
                      <a:avLst/>
                    </a:prstGeom>
                    <a:noFill/>
                    <a:ln>
                      <a:noFill/>
                    </a:ln>
                  </pic:spPr>
                </pic:pic>
              </a:graphicData>
            </a:graphic>
          </wp:inline>
        </w:drawing>
      </w:r>
    </w:p>
    <w:p w14:paraId="5A4E67E8">
      <w:pPr>
        <w:ind w:left="0" w:leftChars="0" w:firstLine="0" w:firstLineChars="0"/>
        <w:jc w:val="center"/>
        <w:rPr>
          <w:rFonts w:hint="default"/>
          <w:lang w:val="en-US" w:eastAsia="zh-CN"/>
        </w:rPr>
      </w:pPr>
    </w:p>
    <w:p w14:paraId="7C772CB1">
      <w:pPr>
        <w:pStyle w:val="6"/>
        <w:numPr>
          <w:ilvl w:val="3"/>
          <w:numId w:val="3"/>
        </w:numPr>
        <w:bidi w:val="0"/>
        <w:ind w:left="720" w:leftChars="0" w:hanging="720" w:firstLineChars="0"/>
        <w:rPr>
          <w:rFonts w:hint="default"/>
          <w:lang w:val="en-US" w:eastAsia="zh-CN"/>
        </w:rPr>
      </w:pPr>
      <w:bookmarkStart w:id="47" w:name="_Toc2978"/>
      <w:bookmarkStart w:id="48" w:name="_Toc24313"/>
      <w:r>
        <w:rPr>
          <w:rFonts w:hint="default"/>
          <w:lang w:val="en-US" w:eastAsia="zh-CN"/>
        </w:rPr>
        <w:t>五源河下游监测站</w:t>
      </w:r>
      <w:bookmarkEnd w:id="47"/>
      <w:bookmarkEnd w:id="48"/>
    </w:p>
    <w:p w14:paraId="54A94FF0">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该点位的监测设备已遭受台风“摩羯”毁灭性破坏，机柜已断裂，水质监测传感器、气象传感器、数据采集仪、供电系统等都已被破坏，已无法正常开机，且经现场测试与评估，已无法修复。</w:t>
      </w:r>
    </w:p>
    <w:p w14:paraId="089948F6">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由于气象与空气质量监测的立杆需根据传感器、数据采集仪等部件进行配套，根据相应的孔位与尺寸进行定制，因此旧的杆体也无法用于安装其他的设备。</w:t>
      </w:r>
    </w:p>
    <w:p w14:paraId="441A50C2">
      <w:pPr>
        <w:widowControl w:val="0"/>
        <w:spacing w:line="360" w:lineRule="auto"/>
        <w:ind w:firstLine="480" w:firstLineChars="200"/>
        <w:jc w:val="both"/>
        <w:rPr>
          <w:rFonts w:hint="default"/>
          <w:lang w:val="en-US" w:eastAsia="zh-CN"/>
        </w:rPr>
      </w:pPr>
      <w:r>
        <w:rPr>
          <w:rFonts w:hint="eastAsia" w:ascii="宋体" w:hAnsi="宋体" w:eastAsia="宋体" w:cs="宋体"/>
          <w:kern w:val="2"/>
          <w:sz w:val="24"/>
          <w:szCs w:val="24"/>
          <w:lang w:val="en-US" w:eastAsia="zh-CN"/>
        </w:rPr>
        <w:t>用于安装生态实景监测设备已遭到破坏，无法正常使用，而安装监测设备的的立杆并未受到损坏，仍可继续使用。</w:t>
      </w:r>
    </w:p>
    <w:p w14:paraId="39785C29">
      <w:pPr>
        <w:bidi w:val="0"/>
      </w:pPr>
      <w:r>
        <w:drawing>
          <wp:inline distT="0" distB="0" distL="114300" distR="114300">
            <wp:extent cx="5166360" cy="2802890"/>
            <wp:effectExtent l="0" t="0" r="15240" b="1651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23"/>
                    <a:stretch>
                      <a:fillRect/>
                    </a:stretch>
                  </pic:blipFill>
                  <pic:spPr>
                    <a:xfrm>
                      <a:off x="0" y="0"/>
                      <a:ext cx="5166360" cy="2802890"/>
                    </a:xfrm>
                    <a:prstGeom prst="rect">
                      <a:avLst/>
                    </a:prstGeom>
                    <a:noFill/>
                    <a:ln>
                      <a:noFill/>
                    </a:ln>
                  </pic:spPr>
                </pic:pic>
              </a:graphicData>
            </a:graphic>
          </wp:inline>
        </w:drawing>
      </w:r>
    </w:p>
    <w:p w14:paraId="1F8D3F1A">
      <w:pPr>
        <w:bidi w:val="0"/>
        <w:ind w:firstLine="480" w:firstLineChars="200"/>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通过现场调研与测试评估，目前</w:t>
      </w:r>
      <w:r>
        <w:rPr>
          <w:rFonts w:hint="default" w:ascii="宋体" w:hAnsi="宋体" w:eastAsia="宋体" w:cs="宋体"/>
          <w:kern w:val="2"/>
          <w:sz w:val="24"/>
          <w:szCs w:val="24"/>
          <w:lang w:val="en-US" w:eastAsia="zh-CN"/>
        </w:rPr>
        <w:t>江东新区湿地智能化监测信息系统项目</w:t>
      </w:r>
      <w:r>
        <w:rPr>
          <w:rFonts w:hint="eastAsia" w:ascii="宋体" w:hAnsi="宋体" w:eastAsia="宋体" w:cs="宋体"/>
          <w:kern w:val="2"/>
          <w:sz w:val="24"/>
          <w:szCs w:val="24"/>
          <w:lang w:val="en-US" w:eastAsia="zh-CN"/>
        </w:rPr>
        <w:t>、海南海口五源河和美舍河国家湿地公园验收工作项目（A包）两个项目建设在户外的生态环境监测设备都已受到不同程度的破坏，目前已无法修复。为确保能够发挥海口市湿地生态监测体系与智能化管理系统的作用与生态效益，利用现有资源，对已被破坏的设备进行拆除，并在原监测点位的基础上，对已遭到破坏的设备进行重建。</w:t>
      </w:r>
    </w:p>
    <w:p w14:paraId="0319BF34">
      <w:pPr>
        <w:pStyle w:val="4"/>
        <w:bidi w:val="0"/>
        <w:rPr>
          <w:rFonts w:hint="default"/>
          <w:lang w:val="en-US" w:eastAsia="zh-CN"/>
        </w:rPr>
      </w:pPr>
      <w:r>
        <w:rPr>
          <w:rFonts w:hint="eastAsia"/>
          <w:lang w:val="en-US" w:eastAsia="zh-CN"/>
        </w:rPr>
        <w:t>实施方案</w:t>
      </w:r>
    </w:p>
    <w:p w14:paraId="2B320A22">
      <w:pPr>
        <w:pStyle w:val="5"/>
        <w:numPr>
          <w:ilvl w:val="2"/>
          <w:numId w:val="3"/>
        </w:numPr>
        <w:bidi w:val="0"/>
        <w:ind w:left="575" w:leftChars="0" w:hanging="575" w:firstLineChars="0"/>
        <w:rPr>
          <w:rFonts w:hint="eastAsia"/>
        </w:rPr>
      </w:pPr>
      <w:r>
        <w:rPr>
          <w:rFonts w:hint="eastAsia"/>
        </w:rPr>
        <w:t>微型水质自动监测站点建设：</w:t>
      </w:r>
    </w:p>
    <w:p w14:paraId="10D2DC58">
      <w:pPr>
        <w:pStyle w:val="6"/>
        <w:numPr>
          <w:ilvl w:val="3"/>
          <w:numId w:val="3"/>
        </w:numPr>
        <w:bidi w:val="0"/>
        <w:ind w:left="720" w:leftChars="0" w:hanging="720" w:firstLineChars="0"/>
      </w:pPr>
      <w:r>
        <w:rPr>
          <w:rFonts w:hint="eastAsia"/>
        </w:rPr>
        <w:t>系统</w:t>
      </w:r>
      <w:r>
        <w:t>概述</w:t>
      </w:r>
    </w:p>
    <w:p w14:paraId="0EF7888C">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本项目采用微型水质在线自动监测系统，微型水质在线自动监测系统是采用传感器型监测仪器的进行监测的微型监测系统。本系统以多参数水质监测仪及COD为基础，综合运用现代传感器技术、自动控制技术、无线通讯、数据库及网络工程等技术，结合物联网、云计算概念，实现对水质的在线自动连续监测和远程监控，为水质预警监测和应急指挥提供准确快捷的技术支持，方便相关部门及时掌握水质状况，及时预警预报重大水质污染事故。</w:t>
      </w:r>
    </w:p>
    <w:p w14:paraId="5E0CD932">
      <w:pPr>
        <w:pStyle w:val="2"/>
        <w:ind w:left="0" w:leftChars="0" w:firstLine="0" w:firstLineChars="0"/>
        <w:rPr>
          <w:rFonts w:hint="default" w:ascii="宋体" w:hAnsi="宋体" w:eastAsia="宋体" w:cs="宋体"/>
          <w:kern w:val="2"/>
          <w:sz w:val="24"/>
          <w:szCs w:val="24"/>
          <w:lang w:val="en-US" w:eastAsia="zh-CN"/>
        </w:rPr>
        <w:sectPr>
          <w:pgSz w:w="11906" w:h="16838"/>
          <w:pgMar w:top="1440" w:right="1800" w:bottom="1440" w:left="1800" w:header="851" w:footer="992" w:gutter="0"/>
          <w:pgNumType w:fmt="decimal"/>
          <w:cols w:space="425" w:num="1"/>
          <w:docGrid w:type="lines" w:linePitch="312" w:charSpace="0"/>
        </w:sectPr>
      </w:pPr>
    </w:p>
    <w:p w14:paraId="6B2F580B">
      <w:pPr>
        <w:pStyle w:val="6"/>
        <w:numPr>
          <w:ilvl w:val="3"/>
          <w:numId w:val="3"/>
        </w:numPr>
        <w:bidi w:val="0"/>
        <w:ind w:left="720" w:leftChars="0" w:hanging="720" w:firstLineChars="0"/>
        <w:rPr>
          <w:rFonts w:hint="default"/>
          <w:lang w:val="en-US" w:eastAsia="zh-CN"/>
        </w:rPr>
      </w:pPr>
      <w:bookmarkStart w:id="49" w:name="_Toc16060"/>
      <w:r>
        <w:rPr>
          <w:rFonts w:hint="eastAsia"/>
          <w:lang w:val="en-US" w:eastAsia="zh-CN"/>
        </w:rPr>
        <w:t>监测站点</w:t>
      </w:r>
      <w:bookmarkEnd w:id="49"/>
    </w:p>
    <w:p w14:paraId="69535B49">
      <w:pPr>
        <w:widowControl w:val="0"/>
        <w:spacing w:line="360" w:lineRule="auto"/>
        <w:ind w:firstLine="480" w:firstLineChars="200"/>
        <w:jc w:val="both"/>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本次利用海南海口五源河和美舍河国家湿地公园验收工作项目（A包）已建设的监测点位，基于原项目已建设的基础上进行设备重新安装与调试。监测点位分布情况如下图表所示：</w:t>
      </w:r>
    </w:p>
    <w:p w14:paraId="4F4F0800">
      <w:pPr>
        <w:pStyle w:val="8"/>
        <w:jc w:val="center"/>
        <w:rPr>
          <w:rFonts w:hint="default" w:eastAsia="黑体"/>
          <w:lang w:val="en-US" w:eastAsia="zh-CN"/>
        </w:rPr>
      </w:pPr>
      <w:r>
        <w:t xml:space="preserve">表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表 \* ARABIC \s 1 </w:instrText>
      </w:r>
      <w:r>
        <w:fldChar w:fldCharType="separate"/>
      </w:r>
      <w:r>
        <w:t>1</w:t>
      </w:r>
      <w:r>
        <w:fldChar w:fldCharType="end"/>
      </w:r>
      <w:r>
        <w:rPr>
          <w:rFonts w:hint="eastAsia"/>
        </w:rPr>
        <w:t>微型水质自动监测站点</w:t>
      </w:r>
      <w:r>
        <w:rPr>
          <w:rFonts w:hint="eastAsia"/>
          <w:lang w:val="en-US" w:eastAsia="zh-CN"/>
        </w:rPr>
        <w:t>分布情况。</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
        <w:gridCol w:w="2243"/>
        <w:gridCol w:w="584"/>
        <w:gridCol w:w="1437"/>
        <w:gridCol w:w="2510"/>
        <w:gridCol w:w="1225"/>
      </w:tblGrid>
      <w:tr w14:paraId="2F9E7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523" w:type="dxa"/>
            <w:noWrap w:val="0"/>
            <w:vAlign w:val="center"/>
          </w:tcPr>
          <w:p w14:paraId="2FF7FAD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b/>
                <w:sz w:val="24"/>
              </w:rPr>
            </w:pPr>
            <w:r>
              <w:rPr>
                <w:rFonts w:hint="eastAsia" w:ascii="宋体" w:hAnsi="宋体"/>
                <w:b/>
                <w:sz w:val="24"/>
              </w:rPr>
              <w:t>序号</w:t>
            </w:r>
          </w:p>
        </w:tc>
        <w:tc>
          <w:tcPr>
            <w:tcW w:w="2243" w:type="dxa"/>
            <w:noWrap w:val="0"/>
            <w:vAlign w:val="center"/>
          </w:tcPr>
          <w:p w14:paraId="17B0A78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b/>
                <w:sz w:val="24"/>
              </w:rPr>
            </w:pPr>
            <w:r>
              <w:rPr>
                <w:rFonts w:hint="eastAsia" w:ascii="宋体" w:hAnsi="宋体"/>
                <w:b/>
                <w:sz w:val="24"/>
              </w:rPr>
              <w:t>位置</w:t>
            </w:r>
          </w:p>
        </w:tc>
        <w:tc>
          <w:tcPr>
            <w:tcW w:w="584" w:type="dxa"/>
            <w:noWrap w:val="0"/>
            <w:vAlign w:val="center"/>
          </w:tcPr>
          <w:p w14:paraId="4B4B83E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b/>
                <w:sz w:val="24"/>
              </w:rPr>
            </w:pPr>
            <w:r>
              <w:rPr>
                <w:rFonts w:hint="eastAsia" w:ascii="宋体" w:hAnsi="宋体"/>
                <w:b/>
                <w:sz w:val="24"/>
              </w:rPr>
              <w:t>数量</w:t>
            </w:r>
          </w:p>
        </w:tc>
        <w:tc>
          <w:tcPr>
            <w:tcW w:w="1437" w:type="dxa"/>
            <w:noWrap w:val="0"/>
            <w:vAlign w:val="center"/>
          </w:tcPr>
          <w:p w14:paraId="650452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b/>
                <w:sz w:val="24"/>
              </w:rPr>
            </w:pPr>
            <w:r>
              <w:rPr>
                <w:rFonts w:hint="eastAsia" w:ascii="宋体" w:hAnsi="宋体"/>
                <w:b/>
                <w:sz w:val="24"/>
              </w:rPr>
              <w:t>所属范围</w:t>
            </w:r>
          </w:p>
        </w:tc>
        <w:tc>
          <w:tcPr>
            <w:tcW w:w="2510" w:type="dxa"/>
            <w:noWrap w:val="0"/>
            <w:vAlign w:val="center"/>
          </w:tcPr>
          <w:p w14:paraId="5B22F06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b/>
                <w:sz w:val="24"/>
              </w:rPr>
            </w:pPr>
            <w:r>
              <w:rPr>
                <w:rFonts w:hint="eastAsia" w:ascii="宋体" w:hAnsi="宋体"/>
                <w:b/>
                <w:sz w:val="24"/>
              </w:rPr>
              <w:t>坐标</w:t>
            </w:r>
          </w:p>
        </w:tc>
        <w:tc>
          <w:tcPr>
            <w:tcW w:w="1225" w:type="dxa"/>
            <w:noWrap w:val="0"/>
            <w:vAlign w:val="center"/>
          </w:tcPr>
          <w:p w14:paraId="2242C47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宋体" w:hAnsi="宋体" w:eastAsiaTheme="minorEastAsia"/>
                <w:b/>
                <w:sz w:val="24"/>
                <w:lang w:val="en-US" w:eastAsia="zh-CN"/>
              </w:rPr>
            </w:pPr>
            <w:r>
              <w:rPr>
                <w:rFonts w:hint="eastAsia" w:ascii="宋体" w:hAnsi="宋体"/>
                <w:b/>
                <w:sz w:val="24"/>
                <w:lang w:val="en-US" w:eastAsia="zh-CN"/>
              </w:rPr>
              <w:t>备注</w:t>
            </w:r>
          </w:p>
        </w:tc>
      </w:tr>
      <w:tr w14:paraId="5B222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7A44FD2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1</w:t>
            </w:r>
          </w:p>
        </w:tc>
        <w:tc>
          <w:tcPr>
            <w:tcW w:w="2243" w:type="dxa"/>
            <w:noWrap w:val="0"/>
            <w:vAlign w:val="center"/>
          </w:tcPr>
          <w:p w14:paraId="61AE23D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五源河上游</w:t>
            </w:r>
            <w:r>
              <w:rPr>
                <w:rFonts w:hint="default" w:ascii="Times New Roman" w:hAnsi="Times New Roman" w:eastAsia="宋体" w:cs="Times New Roman"/>
                <w:sz w:val="24"/>
                <w:lang w:val="en-US" w:eastAsia="zh-CN"/>
              </w:rPr>
              <w:t>监测点</w:t>
            </w:r>
          </w:p>
        </w:tc>
        <w:tc>
          <w:tcPr>
            <w:tcW w:w="584" w:type="dxa"/>
            <w:noWrap w:val="0"/>
            <w:vAlign w:val="center"/>
          </w:tcPr>
          <w:p w14:paraId="1901BE9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restart"/>
            <w:noWrap w:val="0"/>
            <w:vAlign w:val="center"/>
          </w:tcPr>
          <w:p w14:paraId="4DADF11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五源河国家湿地公园</w:t>
            </w:r>
          </w:p>
        </w:tc>
        <w:tc>
          <w:tcPr>
            <w:tcW w:w="2510" w:type="dxa"/>
            <w:noWrap w:val="0"/>
            <w:vAlign w:val="center"/>
          </w:tcPr>
          <w:p w14:paraId="25D67C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olor w:val="000000"/>
                <w:kern w:val="0"/>
                <w:sz w:val="24"/>
              </w:rPr>
            </w:pPr>
            <w:r>
              <w:rPr>
                <w:rFonts w:ascii="Times New Roman" w:hAnsi="Times New Roman" w:cs="Times New Roman"/>
                <w:sz w:val="24"/>
                <w:szCs w:val="24"/>
              </w:rPr>
              <w:t>110.209E</w:t>
            </w:r>
            <w:r>
              <w:rPr>
                <w:rFonts w:hint="eastAsia" w:ascii="Times New Roman" w:hAnsi="Times New Roman" w:cs="Times New Roman"/>
                <w:sz w:val="24"/>
                <w:szCs w:val="24"/>
                <w:lang w:eastAsia="zh-CN"/>
              </w:rPr>
              <w:t>，</w:t>
            </w:r>
            <w:r>
              <w:rPr>
                <w:rFonts w:ascii="Times New Roman" w:hAnsi="Times New Roman" w:cs="Times New Roman"/>
                <w:sz w:val="24"/>
                <w:szCs w:val="24"/>
              </w:rPr>
              <w:t>20.051N</w:t>
            </w:r>
          </w:p>
        </w:tc>
        <w:tc>
          <w:tcPr>
            <w:tcW w:w="1225" w:type="dxa"/>
            <w:noWrap w:val="0"/>
            <w:vAlign w:val="center"/>
          </w:tcPr>
          <w:p w14:paraId="76AFD39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096EF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450A4CB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2</w:t>
            </w:r>
          </w:p>
        </w:tc>
        <w:tc>
          <w:tcPr>
            <w:tcW w:w="2243" w:type="dxa"/>
            <w:noWrap w:val="0"/>
            <w:vAlign w:val="center"/>
          </w:tcPr>
          <w:p w14:paraId="57CB245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default" w:ascii="Times New Roman" w:hAnsi="Times New Roman" w:eastAsia="宋体" w:cs="Times New Roman"/>
                <w:sz w:val="24"/>
              </w:rPr>
              <w:t>五源河中游</w:t>
            </w:r>
            <w:r>
              <w:rPr>
                <w:rFonts w:hint="default" w:ascii="Times New Roman" w:hAnsi="Times New Roman" w:eastAsia="宋体" w:cs="Times New Roman"/>
                <w:sz w:val="24"/>
                <w:lang w:val="en-US" w:eastAsia="zh-CN"/>
              </w:rPr>
              <w:t>监测点</w:t>
            </w:r>
          </w:p>
        </w:tc>
        <w:tc>
          <w:tcPr>
            <w:tcW w:w="584" w:type="dxa"/>
            <w:noWrap w:val="0"/>
            <w:vAlign w:val="center"/>
          </w:tcPr>
          <w:p w14:paraId="06E456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continue"/>
            <w:noWrap w:val="0"/>
            <w:vAlign w:val="center"/>
          </w:tcPr>
          <w:p w14:paraId="47C8CA2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c>
          <w:tcPr>
            <w:tcW w:w="2510" w:type="dxa"/>
            <w:noWrap w:val="0"/>
            <w:vAlign w:val="center"/>
          </w:tcPr>
          <w:p w14:paraId="53CE9F4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olor w:val="000000"/>
                <w:kern w:val="0"/>
                <w:sz w:val="24"/>
              </w:rPr>
            </w:pPr>
            <w:r>
              <w:rPr>
                <w:rFonts w:ascii="Times New Roman" w:hAnsi="Times New Roman" w:cs="Times New Roman"/>
                <w:sz w:val="24"/>
                <w:szCs w:val="24"/>
              </w:rPr>
              <w:t>110.230E</w:t>
            </w:r>
            <w:r>
              <w:rPr>
                <w:rFonts w:hint="eastAsia" w:ascii="Times New Roman" w:hAnsi="Times New Roman" w:cs="Times New Roman"/>
                <w:sz w:val="24"/>
                <w:szCs w:val="24"/>
                <w:lang w:eastAsia="zh-CN"/>
              </w:rPr>
              <w:t>，</w:t>
            </w:r>
            <w:r>
              <w:rPr>
                <w:rFonts w:ascii="Times New Roman" w:hAnsi="Times New Roman" w:cs="Times New Roman"/>
                <w:sz w:val="24"/>
                <w:szCs w:val="24"/>
              </w:rPr>
              <w:t>20.023N</w:t>
            </w:r>
          </w:p>
        </w:tc>
        <w:tc>
          <w:tcPr>
            <w:tcW w:w="1225" w:type="dxa"/>
            <w:noWrap w:val="0"/>
            <w:vAlign w:val="center"/>
          </w:tcPr>
          <w:p w14:paraId="4456A85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25EB2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5FD718F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3</w:t>
            </w:r>
          </w:p>
        </w:tc>
        <w:tc>
          <w:tcPr>
            <w:tcW w:w="2243" w:type="dxa"/>
            <w:noWrap w:val="0"/>
            <w:vAlign w:val="center"/>
          </w:tcPr>
          <w:p w14:paraId="582C947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五源河下游</w:t>
            </w:r>
            <w:r>
              <w:rPr>
                <w:rFonts w:hint="default" w:ascii="Times New Roman" w:hAnsi="Times New Roman" w:eastAsia="宋体" w:cs="Times New Roman"/>
                <w:sz w:val="24"/>
                <w:lang w:val="en-US" w:eastAsia="zh-CN"/>
              </w:rPr>
              <w:t>监测点</w:t>
            </w:r>
          </w:p>
        </w:tc>
        <w:tc>
          <w:tcPr>
            <w:tcW w:w="584" w:type="dxa"/>
            <w:noWrap w:val="0"/>
            <w:vAlign w:val="center"/>
          </w:tcPr>
          <w:p w14:paraId="22F2DB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continue"/>
            <w:noWrap w:val="0"/>
            <w:vAlign w:val="center"/>
          </w:tcPr>
          <w:p w14:paraId="240D5CF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c>
          <w:tcPr>
            <w:tcW w:w="2510" w:type="dxa"/>
            <w:noWrap w:val="0"/>
            <w:vAlign w:val="center"/>
          </w:tcPr>
          <w:p w14:paraId="51CA37A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olor w:val="000000"/>
                <w:kern w:val="0"/>
                <w:sz w:val="24"/>
              </w:rPr>
            </w:pPr>
            <w:r>
              <w:rPr>
                <w:rFonts w:ascii="Times New Roman" w:hAnsi="Times New Roman" w:cs="Times New Roman"/>
                <w:sz w:val="24"/>
                <w:szCs w:val="24"/>
              </w:rPr>
              <w:t>110.235E</w:t>
            </w:r>
            <w:r>
              <w:rPr>
                <w:rFonts w:hint="eastAsia" w:ascii="Times New Roman" w:hAnsi="Times New Roman" w:cs="Times New Roman"/>
                <w:sz w:val="24"/>
                <w:szCs w:val="24"/>
                <w:lang w:eastAsia="zh-CN"/>
              </w:rPr>
              <w:t>，</w:t>
            </w:r>
            <w:r>
              <w:rPr>
                <w:rFonts w:ascii="Times New Roman" w:hAnsi="Times New Roman" w:cs="Times New Roman"/>
                <w:sz w:val="24"/>
                <w:szCs w:val="24"/>
              </w:rPr>
              <w:t>20.004N</w:t>
            </w:r>
          </w:p>
        </w:tc>
        <w:tc>
          <w:tcPr>
            <w:tcW w:w="1225" w:type="dxa"/>
            <w:noWrap w:val="0"/>
            <w:vAlign w:val="center"/>
          </w:tcPr>
          <w:p w14:paraId="2E213F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52993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4A44042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4</w:t>
            </w:r>
          </w:p>
        </w:tc>
        <w:tc>
          <w:tcPr>
            <w:tcW w:w="2243" w:type="dxa"/>
            <w:noWrap w:val="0"/>
            <w:vAlign w:val="center"/>
          </w:tcPr>
          <w:p w14:paraId="2896AFB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美舍河</w:t>
            </w:r>
            <w:r>
              <w:rPr>
                <w:rFonts w:hint="default" w:ascii="Times New Roman" w:hAnsi="Times New Roman" w:eastAsia="宋体" w:cs="Times New Roman"/>
                <w:sz w:val="24"/>
                <w:lang w:val="en-US" w:eastAsia="zh-CN"/>
              </w:rPr>
              <w:t>上游监测点</w:t>
            </w:r>
          </w:p>
        </w:tc>
        <w:tc>
          <w:tcPr>
            <w:tcW w:w="584" w:type="dxa"/>
            <w:noWrap w:val="0"/>
            <w:vAlign w:val="center"/>
          </w:tcPr>
          <w:p w14:paraId="033656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restart"/>
            <w:noWrap w:val="0"/>
            <w:vAlign w:val="center"/>
          </w:tcPr>
          <w:p w14:paraId="64583E3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default" w:ascii="Times New Roman" w:hAnsi="Times New Roman" w:eastAsia="宋体" w:cs="Times New Roman"/>
                <w:sz w:val="24"/>
              </w:rPr>
              <w:t>美舍河国家湿地公园</w:t>
            </w:r>
          </w:p>
        </w:tc>
        <w:tc>
          <w:tcPr>
            <w:tcW w:w="2510" w:type="dxa"/>
            <w:noWrap w:val="0"/>
            <w:vAlign w:val="center"/>
          </w:tcPr>
          <w:p w14:paraId="100D8C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ascii="Times New Roman" w:hAnsi="Times New Roman" w:cs="Times New Roman"/>
                <w:sz w:val="24"/>
                <w:szCs w:val="24"/>
              </w:rPr>
              <w:t>110.356E</w:t>
            </w:r>
            <w:r>
              <w:rPr>
                <w:rFonts w:hint="eastAsia" w:ascii="Times New Roman" w:hAnsi="Times New Roman" w:cs="Times New Roman"/>
                <w:sz w:val="24"/>
                <w:szCs w:val="24"/>
                <w:lang w:eastAsia="zh-CN"/>
              </w:rPr>
              <w:t>，</w:t>
            </w:r>
            <w:r>
              <w:rPr>
                <w:rFonts w:ascii="Times New Roman" w:hAnsi="Times New Roman" w:cs="Times New Roman"/>
                <w:sz w:val="24"/>
                <w:szCs w:val="24"/>
              </w:rPr>
              <w:t>20.045N</w:t>
            </w:r>
          </w:p>
        </w:tc>
        <w:tc>
          <w:tcPr>
            <w:tcW w:w="1225" w:type="dxa"/>
            <w:noWrap w:val="0"/>
            <w:vAlign w:val="center"/>
          </w:tcPr>
          <w:p w14:paraId="08CC755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7FD8D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2A5EE84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5</w:t>
            </w:r>
          </w:p>
        </w:tc>
        <w:tc>
          <w:tcPr>
            <w:tcW w:w="2243" w:type="dxa"/>
            <w:noWrap w:val="0"/>
            <w:vAlign w:val="center"/>
          </w:tcPr>
          <w:p w14:paraId="104328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美舍河</w:t>
            </w:r>
            <w:r>
              <w:rPr>
                <w:rFonts w:hint="default" w:ascii="Times New Roman" w:hAnsi="Times New Roman" w:eastAsia="宋体" w:cs="Times New Roman"/>
                <w:sz w:val="24"/>
                <w:lang w:val="en-US" w:eastAsia="zh-CN"/>
              </w:rPr>
              <w:t>中游监测点</w:t>
            </w:r>
          </w:p>
        </w:tc>
        <w:tc>
          <w:tcPr>
            <w:tcW w:w="584" w:type="dxa"/>
            <w:noWrap w:val="0"/>
            <w:vAlign w:val="center"/>
          </w:tcPr>
          <w:p w14:paraId="2DD3C1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continue"/>
            <w:noWrap w:val="0"/>
            <w:vAlign w:val="center"/>
          </w:tcPr>
          <w:p w14:paraId="43C5B3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c>
          <w:tcPr>
            <w:tcW w:w="2510" w:type="dxa"/>
            <w:noWrap w:val="0"/>
            <w:vAlign w:val="center"/>
          </w:tcPr>
          <w:p w14:paraId="50425E6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ascii="Times New Roman" w:hAnsi="Times New Roman" w:cs="Times New Roman"/>
                <w:sz w:val="24"/>
                <w:szCs w:val="24"/>
              </w:rPr>
              <w:t>110.354E</w:t>
            </w:r>
            <w:r>
              <w:rPr>
                <w:rFonts w:hint="eastAsia" w:ascii="Times New Roman" w:hAnsi="Times New Roman" w:cs="Times New Roman"/>
                <w:sz w:val="24"/>
                <w:szCs w:val="24"/>
                <w:lang w:eastAsia="zh-CN"/>
              </w:rPr>
              <w:t>，</w:t>
            </w:r>
            <w:r>
              <w:rPr>
                <w:rFonts w:ascii="Times New Roman" w:hAnsi="Times New Roman" w:cs="Times New Roman"/>
                <w:sz w:val="24"/>
                <w:szCs w:val="24"/>
              </w:rPr>
              <w:t>19.980N</w:t>
            </w:r>
          </w:p>
        </w:tc>
        <w:tc>
          <w:tcPr>
            <w:tcW w:w="1225" w:type="dxa"/>
            <w:noWrap w:val="0"/>
            <w:vAlign w:val="center"/>
          </w:tcPr>
          <w:p w14:paraId="0D8695E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6808E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373F9AC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eastAsia" w:ascii="宋体" w:hAnsi="宋体"/>
                <w:sz w:val="24"/>
              </w:rPr>
              <w:t>6</w:t>
            </w:r>
          </w:p>
        </w:tc>
        <w:tc>
          <w:tcPr>
            <w:tcW w:w="2243" w:type="dxa"/>
            <w:noWrap w:val="0"/>
            <w:vAlign w:val="center"/>
          </w:tcPr>
          <w:p w14:paraId="092DFD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default" w:ascii="Times New Roman" w:hAnsi="Times New Roman" w:eastAsia="宋体" w:cs="Times New Roman"/>
                <w:sz w:val="24"/>
              </w:rPr>
              <w:t>美舍河</w:t>
            </w:r>
            <w:r>
              <w:rPr>
                <w:rFonts w:hint="default" w:ascii="Times New Roman" w:hAnsi="Times New Roman" w:eastAsia="宋体" w:cs="Times New Roman"/>
                <w:sz w:val="24"/>
                <w:lang w:val="en-US" w:eastAsia="zh-CN"/>
              </w:rPr>
              <w:t>下游监测点</w:t>
            </w:r>
          </w:p>
        </w:tc>
        <w:tc>
          <w:tcPr>
            <w:tcW w:w="584" w:type="dxa"/>
            <w:noWrap w:val="0"/>
            <w:vAlign w:val="center"/>
          </w:tcPr>
          <w:p w14:paraId="5DA034C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default" w:ascii="Times New Roman" w:hAnsi="Times New Roman" w:eastAsia="宋体" w:cs="Times New Roman"/>
                <w:sz w:val="24"/>
              </w:rPr>
              <w:t>1</w:t>
            </w:r>
          </w:p>
        </w:tc>
        <w:tc>
          <w:tcPr>
            <w:tcW w:w="1437" w:type="dxa"/>
            <w:vMerge w:val="continue"/>
            <w:noWrap w:val="0"/>
            <w:vAlign w:val="center"/>
          </w:tcPr>
          <w:p w14:paraId="3DC8A4C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p>
        </w:tc>
        <w:tc>
          <w:tcPr>
            <w:tcW w:w="2510" w:type="dxa"/>
            <w:noWrap w:val="0"/>
            <w:vAlign w:val="center"/>
          </w:tcPr>
          <w:p w14:paraId="4950ED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ascii="Times New Roman" w:hAnsi="Times New Roman" w:cs="Times New Roman"/>
                <w:sz w:val="24"/>
                <w:szCs w:val="24"/>
              </w:rPr>
              <w:t>110.329E</w:t>
            </w:r>
            <w:r>
              <w:rPr>
                <w:rFonts w:hint="eastAsia" w:ascii="Times New Roman" w:hAnsi="Times New Roman" w:cs="Times New Roman"/>
                <w:sz w:val="24"/>
                <w:szCs w:val="24"/>
                <w:lang w:eastAsia="zh-CN"/>
              </w:rPr>
              <w:t>，</w:t>
            </w:r>
            <w:r>
              <w:rPr>
                <w:rFonts w:ascii="Times New Roman" w:hAnsi="Times New Roman" w:cs="Times New Roman"/>
                <w:sz w:val="24"/>
                <w:szCs w:val="24"/>
              </w:rPr>
              <w:t>19.953N</w:t>
            </w:r>
          </w:p>
        </w:tc>
        <w:tc>
          <w:tcPr>
            <w:tcW w:w="1225" w:type="dxa"/>
            <w:noWrap w:val="0"/>
            <w:vAlign w:val="center"/>
          </w:tcPr>
          <w:p w14:paraId="0D869A1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bl>
    <w:p w14:paraId="59C238A1">
      <w:pPr>
        <w:ind w:left="0" w:leftChars="0" w:firstLine="0" w:firstLineChars="0"/>
      </w:pPr>
      <w:r>
        <w:drawing>
          <wp:inline distT="0" distB="0" distL="114300" distR="114300">
            <wp:extent cx="5267325" cy="3805555"/>
            <wp:effectExtent l="0" t="0" r="9525" b="444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24"/>
                    <a:stretch>
                      <a:fillRect/>
                    </a:stretch>
                  </pic:blipFill>
                  <pic:spPr>
                    <a:xfrm>
                      <a:off x="0" y="0"/>
                      <a:ext cx="5267325" cy="3805555"/>
                    </a:xfrm>
                    <a:prstGeom prst="rect">
                      <a:avLst/>
                    </a:prstGeom>
                    <a:noFill/>
                    <a:ln>
                      <a:noFill/>
                    </a:ln>
                  </pic:spPr>
                </pic:pic>
              </a:graphicData>
            </a:graphic>
          </wp:inline>
        </w:drawing>
      </w:r>
    </w:p>
    <w:p w14:paraId="02A7318F">
      <w:pPr>
        <w:pStyle w:val="8"/>
        <w:ind w:left="0" w:leftChars="0" w:firstLine="0" w:firstLineChars="0"/>
        <w:jc w:val="center"/>
        <w:rPr>
          <w:rFonts w:hint="default" w:eastAsia="黑体"/>
          <w:lang w:val="en-US" w:eastAsia="zh-CN"/>
        </w:rP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1</w:t>
      </w:r>
      <w:r>
        <w:fldChar w:fldCharType="end"/>
      </w:r>
      <w:r>
        <w:rPr>
          <w:rFonts w:hint="eastAsia"/>
          <w:lang w:val="en-US" w:eastAsia="zh-CN"/>
        </w:rPr>
        <w:t>五源河与美舍河生态监测点位</w:t>
      </w:r>
    </w:p>
    <w:p w14:paraId="0E51AD81">
      <w:pPr>
        <w:pStyle w:val="6"/>
        <w:numPr>
          <w:ilvl w:val="3"/>
          <w:numId w:val="3"/>
        </w:numPr>
        <w:bidi w:val="0"/>
        <w:ind w:left="720" w:leftChars="0" w:hanging="720" w:firstLineChars="0"/>
      </w:pPr>
      <w:r>
        <w:rPr>
          <w:rFonts w:hint="eastAsia"/>
        </w:rPr>
        <w:t>系统构成</w:t>
      </w:r>
    </w:p>
    <w:p w14:paraId="2A2F8FF2">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系统由分析单元、采水单元、预处理及配水单元、数据采集与传输单元及微型柜等组成。</w:t>
      </w:r>
    </w:p>
    <w:p w14:paraId="2F0A5214">
      <w:pPr>
        <w:keepNext/>
        <w:ind w:firstLine="0" w:firstLineChars="0"/>
        <w:jc w:val="center"/>
      </w:pPr>
      <w:r>
        <w:object>
          <v:shape id="_x0000_i1025" o:spt="75" type="#_x0000_t75" style="height:247pt;width:355.8pt;" o:ole="t" filled="f" o:preferrelative="t" stroked="f" coordsize="21600,21600">
            <v:path/>
            <v:fill on="f" focussize="0,0"/>
            <v:stroke on="f" joinstyle="miter"/>
            <v:imagedata r:id="rId26" o:title=""/>
            <o:lock v:ext="edit" aspectratio="t"/>
            <w10:wrap type="none"/>
            <w10:anchorlock/>
          </v:shape>
          <o:OLEObject Type="Embed" ProgID="Visio.Drawing.15" ShapeID="_x0000_i1025" DrawAspect="Content" ObjectID="_1468075725" r:id="rId25">
            <o:LockedField>false</o:LockedField>
          </o:OLEObject>
        </w:object>
      </w:r>
    </w:p>
    <w:p w14:paraId="7E8799A6">
      <w:pPr>
        <w:pStyle w:val="8"/>
        <w:jc w:val="center"/>
        <w:rPr>
          <w:rFonts w:ascii="宋体" w:hAnsi="宋体" w:cs="Arial"/>
          <w:szCs w:val="24"/>
        </w:rPr>
      </w:pPr>
      <w:r>
        <w:t xml:space="preserve">图 </w:t>
      </w:r>
      <w:r>
        <w:fldChar w:fldCharType="begin"/>
      </w:r>
      <w:r>
        <w:instrText xml:space="preserve"> STYLEREF 1 \s </w:instrText>
      </w:r>
      <w:r>
        <w:fldChar w:fldCharType="separate"/>
      </w:r>
      <w:r>
        <w:t>5</w:t>
      </w:r>
      <w:r>
        <w:fldChar w:fldCharType="end"/>
      </w:r>
      <w:r>
        <w:noBreakHyphen/>
      </w:r>
      <w:r>
        <w:fldChar w:fldCharType="begin"/>
      </w:r>
      <w:r>
        <w:instrText xml:space="preserve"> SEQ 图 \* ARABIC \s 1 </w:instrText>
      </w:r>
      <w:r>
        <w:fldChar w:fldCharType="separate"/>
      </w:r>
      <w:r>
        <w:t>2</w:t>
      </w:r>
      <w:r>
        <w:fldChar w:fldCharType="end"/>
      </w:r>
      <w:r>
        <w:rPr>
          <w:rFonts w:hint="eastAsia"/>
        </w:rPr>
        <w:t>系统构成图</w:t>
      </w:r>
    </w:p>
    <w:p w14:paraId="4679C076">
      <w:pPr>
        <w:numPr>
          <w:ilvl w:val="0"/>
          <w:numId w:val="4"/>
        </w:numPr>
        <w:tabs>
          <w:tab w:val="clear" w:pos="420"/>
        </w:tabs>
        <w:ind w:left="0" w:leftChars="0" w:firstLine="480" w:firstLineChars="0"/>
        <w:jc w:val="left"/>
        <w:rPr>
          <w:rFonts w:ascii="宋体" w:hAnsi="宋体"/>
          <w:sz w:val="24"/>
          <w:szCs w:val="24"/>
        </w:rPr>
      </w:pPr>
      <w:r>
        <w:rPr>
          <w:rFonts w:hint="eastAsia" w:ascii="宋体" w:hAnsi="宋体"/>
          <w:sz w:val="24"/>
          <w:szCs w:val="24"/>
        </w:rPr>
        <w:t>监测分析单元：主要监测因子溶解氧、pH、氨氮、透明度、温度、COD等。</w:t>
      </w:r>
    </w:p>
    <w:p w14:paraId="626C5599">
      <w:pPr>
        <w:numPr>
          <w:ilvl w:val="0"/>
          <w:numId w:val="4"/>
        </w:numPr>
        <w:tabs>
          <w:tab w:val="clear" w:pos="420"/>
        </w:tabs>
        <w:ind w:left="0" w:leftChars="0" w:firstLine="480" w:firstLineChars="0"/>
        <w:jc w:val="left"/>
        <w:rPr>
          <w:rFonts w:ascii="宋体" w:hAnsi="宋体"/>
          <w:sz w:val="24"/>
          <w:szCs w:val="24"/>
        </w:rPr>
      </w:pPr>
      <w:r>
        <w:rPr>
          <w:rFonts w:hint="eastAsia" w:ascii="宋体" w:hAnsi="宋体"/>
          <w:sz w:val="24"/>
          <w:szCs w:val="24"/>
        </w:rPr>
        <w:t>采水单元：采样泵、给排水管路。</w:t>
      </w:r>
    </w:p>
    <w:p w14:paraId="295AACB4">
      <w:pPr>
        <w:numPr>
          <w:ilvl w:val="0"/>
          <w:numId w:val="4"/>
        </w:numPr>
        <w:tabs>
          <w:tab w:val="clear" w:pos="420"/>
        </w:tabs>
        <w:ind w:left="0" w:leftChars="0" w:firstLine="480" w:firstLineChars="0"/>
        <w:jc w:val="left"/>
        <w:rPr>
          <w:rFonts w:ascii="宋体" w:hAnsi="宋体"/>
          <w:sz w:val="24"/>
          <w:szCs w:val="24"/>
        </w:rPr>
      </w:pPr>
      <w:r>
        <w:rPr>
          <w:rFonts w:hint="eastAsia" w:ascii="宋体" w:hAnsi="宋体"/>
          <w:sz w:val="24"/>
          <w:szCs w:val="24"/>
        </w:rPr>
        <w:t>预处理及配水单元：特制的预处理及配水模块，满足仪表对水样分析的需要。</w:t>
      </w:r>
    </w:p>
    <w:p w14:paraId="65CD0E6F">
      <w:pPr>
        <w:numPr>
          <w:ilvl w:val="0"/>
          <w:numId w:val="4"/>
        </w:numPr>
        <w:tabs>
          <w:tab w:val="clear" w:pos="420"/>
        </w:tabs>
        <w:ind w:left="0" w:leftChars="0" w:firstLine="480" w:firstLineChars="0"/>
        <w:jc w:val="left"/>
        <w:rPr>
          <w:rFonts w:ascii="宋体" w:hAnsi="宋体"/>
          <w:sz w:val="24"/>
          <w:szCs w:val="24"/>
        </w:rPr>
      </w:pPr>
      <w:r>
        <w:rPr>
          <w:rFonts w:hint="eastAsia" w:ascii="宋体" w:hAnsi="宋体"/>
          <w:sz w:val="24"/>
          <w:szCs w:val="24"/>
        </w:rPr>
        <w:t>数据处理和传输单元：数据采集平台、数据处理软件以及多种数据传输方式。</w:t>
      </w:r>
    </w:p>
    <w:p w14:paraId="74455762">
      <w:pPr>
        <w:numPr>
          <w:ilvl w:val="0"/>
          <w:numId w:val="4"/>
        </w:numPr>
        <w:tabs>
          <w:tab w:val="clear" w:pos="420"/>
        </w:tabs>
        <w:ind w:left="0" w:leftChars="0" w:firstLine="480" w:firstLineChars="0"/>
        <w:jc w:val="left"/>
        <w:rPr>
          <w:rFonts w:ascii="宋体" w:hAnsi="宋体"/>
          <w:sz w:val="24"/>
          <w:szCs w:val="24"/>
        </w:rPr>
      </w:pPr>
      <w:r>
        <w:rPr>
          <w:rFonts w:hint="eastAsia" w:ascii="宋体" w:hAnsi="宋体"/>
          <w:sz w:val="24"/>
          <w:szCs w:val="24"/>
        </w:rPr>
        <w:t>系统控制单元：水质监测仪器设备进行控制与操作。</w:t>
      </w:r>
    </w:p>
    <w:p w14:paraId="6A1723E9">
      <w:pPr>
        <w:numPr>
          <w:ilvl w:val="0"/>
          <w:numId w:val="4"/>
        </w:numPr>
        <w:tabs>
          <w:tab w:val="clear" w:pos="420"/>
        </w:tabs>
        <w:ind w:left="0" w:leftChars="0" w:firstLine="480" w:firstLineChars="0"/>
        <w:jc w:val="left"/>
        <w:rPr>
          <w:rFonts w:ascii="宋体" w:hAnsi="宋体"/>
          <w:sz w:val="24"/>
          <w:szCs w:val="24"/>
        </w:rPr>
      </w:pPr>
      <w:r>
        <w:rPr>
          <w:rFonts w:hint="eastAsia" w:ascii="宋体" w:hAnsi="宋体"/>
          <w:sz w:val="24"/>
          <w:szCs w:val="24"/>
        </w:rPr>
        <w:t>供电单元：太阳能供电单元或市电供电，满足偏远地区无市电的供电需求。</w:t>
      </w:r>
    </w:p>
    <w:p w14:paraId="33109688">
      <w:pPr>
        <w:numPr>
          <w:ilvl w:val="0"/>
          <w:numId w:val="4"/>
        </w:numPr>
        <w:tabs>
          <w:tab w:val="clear" w:pos="420"/>
        </w:tabs>
        <w:ind w:left="0" w:leftChars="0" w:firstLine="480" w:firstLineChars="0"/>
        <w:jc w:val="left"/>
        <w:rPr>
          <w:rFonts w:ascii="宋体" w:hAnsi="宋体"/>
          <w:sz w:val="24"/>
          <w:szCs w:val="24"/>
        </w:rPr>
      </w:pPr>
      <w:r>
        <w:rPr>
          <w:rFonts w:hint="eastAsia" w:ascii="宋体" w:hAnsi="宋体"/>
          <w:sz w:val="24"/>
          <w:szCs w:val="24"/>
        </w:rPr>
        <w:t>辅助单元：辅助单元包括紧凑型的户外特色集成箱体、防雷系统、空调系统、视频监控单元等。</w:t>
      </w:r>
    </w:p>
    <w:p w14:paraId="3B3334C1">
      <w:pPr>
        <w:pStyle w:val="6"/>
        <w:numPr>
          <w:ilvl w:val="3"/>
          <w:numId w:val="3"/>
        </w:numPr>
        <w:bidi w:val="0"/>
        <w:ind w:left="720" w:leftChars="0" w:hanging="720" w:firstLineChars="0"/>
      </w:pPr>
      <w:r>
        <w:rPr>
          <w:rFonts w:hint="eastAsia"/>
        </w:rPr>
        <w:t>监测分析单元</w:t>
      </w:r>
    </w:p>
    <w:p w14:paraId="14AB13AA">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根据《中国国际重要湿地监测技术规程》中要求，针对湿地生态水环境质量的监测指标主要为pH值、溶解氧、五日生化需氧量、高锰酸盐指数、氨氮、总硬度、挥发酚、砷、总磷、总氮、盐度、叶绿素α、透明度、氯化物等。</w:t>
      </w:r>
    </w:p>
    <w:p w14:paraId="35488403">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结合水质自动监测技术，选取当前成熟可靠，本项目监测分析设备为水质多参数分析仪、COD在线分析仪，可实现溶解氧、pH、氨氮、透明度、温度、COD指标在线自动监测。</w:t>
      </w:r>
    </w:p>
    <w:p w14:paraId="372C8A7E">
      <w:pPr>
        <w:spacing w:line="360" w:lineRule="auto"/>
        <w:jc w:val="left"/>
        <w:rPr>
          <w:rFonts w:hint="default" w:ascii="仿宋" w:hAnsi="仿宋" w:eastAsia="仿宋" w:cs="仿宋"/>
          <w:b/>
          <w:sz w:val="24"/>
          <w:lang w:val="en-US" w:eastAsia="zh-CN"/>
        </w:rPr>
      </w:pPr>
      <w:r>
        <w:rPr>
          <w:rFonts w:hint="eastAsia" w:ascii="仿宋" w:hAnsi="仿宋" w:eastAsia="仿宋" w:cs="仿宋"/>
          <w:b/>
          <w:sz w:val="24"/>
        </w:rPr>
        <w:t>(1)溶解氧</w:t>
      </w:r>
      <w:r>
        <w:rPr>
          <w:rFonts w:hint="eastAsia" w:ascii="仿宋" w:hAnsi="仿宋" w:eastAsia="仿宋" w:cs="仿宋"/>
          <w:b/>
          <w:sz w:val="24"/>
          <w:lang w:eastAsia="zh-CN"/>
        </w:rPr>
        <w:t>、</w:t>
      </w:r>
      <w:r>
        <w:rPr>
          <w:rFonts w:hint="eastAsia" w:ascii="仿宋" w:hAnsi="仿宋" w:eastAsia="仿宋" w:cs="仿宋"/>
          <w:b/>
          <w:sz w:val="24"/>
          <w:lang w:val="en-US" w:eastAsia="zh-CN"/>
        </w:rPr>
        <w:t>水温</w:t>
      </w:r>
    </w:p>
    <w:tbl>
      <w:tblPr>
        <w:tblStyle w:val="9"/>
        <w:tblW w:w="9061" w:type="dxa"/>
        <w:tblInd w:w="0" w:type="dxa"/>
        <w:tblLayout w:type="fixed"/>
        <w:tblCellMar>
          <w:top w:w="0" w:type="dxa"/>
          <w:left w:w="108" w:type="dxa"/>
          <w:bottom w:w="0" w:type="dxa"/>
          <w:right w:w="108" w:type="dxa"/>
        </w:tblCellMar>
      </w:tblPr>
      <w:tblGrid>
        <w:gridCol w:w="2981"/>
        <w:gridCol w:w="6080"/>
      </w:tblGrid>
      <w:tr w14:paraId="267305F4">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000000" w:sz="4" w:space="0"/>
            </w:tcBorders>
            <w:shd w:val="clear" w:color="FFFFFF" w:fill="FFFFFF"/>
            <w:noWrap/>
            <w:vAlign w:val="center"/>
          </w:tcPr>
          <w:p w14:paraId="2583172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量程</w:t>
            </w:r>
          </w:p>
        </w:tc>
        <w:tc>
          <w:tcPr>
            <w:tcW w:w="6080" w:type="dxa"/>
            <w:tcBorders>
              <w:top w:val="single" w:color="auto" w:sz="4" w:space="0"/>
              <w:left w:val="nil"/>
              <w:bottom w:val="single" w:color="auto" w:sz="4" w:space="0"/>
              <w:right w:val="single" w:color="000000" w:sz="4" w:space="0"/>
            </w:tcBorders>
            <w:noWrap w:val="0"/>
            <w:vAlign w:val="center"/>
          </w:tcPr>
          <w:p w14:paraId="75C3A77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0-19.99mg/l</w:t>
            </w:r>
          </w:p>
        </w:tc>
      </w:tr>
      <w:tr w14:paraId="2F44DF3B">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000000" w:sz="4" w:space="0"/>
            </w:tcBorders>
            <w:noWrap/>
            <w:vAlign w:val="center"/>
          </w:tcPr>
          <w:p w14:paraId="45936CE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分辨率</w:t>
            </w:r>
          </w:p>
        </w:tc>
        <w:tc>
          <w:tcPr>
            <w:tcW w:w="6080" w:type="dxa"/>
            <w:tcBorders>
              <w:top w:val="single" w:color="auto" w:sz="4" w:space="0"/>
              <w:left w:val="nil"/>
              <w:bottom w:val="single" w:color="auto" w:sz="4" w:space="0"/>
              <w:right w:val="single" w:color="000000" w:sz="4" w:space="0"/>
            </w:tcBorders>
            <w:noWrap w:val="0"/>
            <w:vAlign w:val="center"/>
          </w:tcPr>
          <w:p w14:paraId="1D754B4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0.01mg/L</w:t>
            </w:r>
          </w:p>
        </w:tc>
      </w:tr>
      <w:tr w14:paraId="68EC7355">
        <w:tblPrEx>
          <w:tblCellMar>
            <w:top w:w="0" w:type="dxa"/>
            <w:left w:w="108" w:type="dxa"/>
            <w:bottom w:w="0" w:type="dxa"/>
            <w:right w:w="108" w:type="dxa"/>
          </w:tblCellMar>
        </w:tblPrEx>
        <w:trPr>
          <w:trHeight w:val="255" w:hRule="atLeast"/>
        </w:trPr>
        <w:tc>
          <w:tcPr>
            <w:tcW w:w="2981" w:type="dxa"/>
            <w:tcBorders>
              <w:top w:val="single" w:color="auto" w:sz="4" w:space="0"/>
              <w:left w:val="single" w:color="auto" w:sz="4" w:space="0"/>
              <w:bottom w:val="single" w:color="auto" w:sz="4" w:space="0"/>
              <w:right w:val="single" w:color="000000" w:sz="4" w:space="0"/>
            </w:tcBorders>
            <w:noWrap/>
            <w:vAlign w:val="center"/>
          </w:tcPr>
          <w:p w14:paraId="1F7BE7EA">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精度</w:t>
            </w:r>
          </w:p>
        </w:tc>
        <w:tc>
          <w:tcPr>
            <w:tcW w:w="6080" w:type="dxa"/>
            <w:tcBorders>
              <w:top w:val="single" w:color="auto" w:sz="4" w:space="0"/>
              <w:left w:val="nil"/>
              <w:bottom w:val="single" w:color="auto" w:sz="4" w:space="0"/>
              <w:right w:val="single" w:color="000000" w:sz="4" w:space="0"/>
            </w:tcBorders>
            <w:noWrap w:val="0"/>
            <w:vAlign w:val="center"/>
          </w:tcPr>
          <w:p w14:paraId="2F50E95A">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 xml:space="preserve"> ±2%F.S</w:t>
            </w:r>
          </w:p>
        </w:tc>
      </w:tr>
      <w:tr w14:paraId="18EE6089">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000000" w:sz="4" w:space="0"/>
            </w:tcBorders>
            <w:noWrap/>
            <w:vAlign w:val="center"/>
          </w:tcPr>
          <w:p w14:paraId="3FF8A877">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供电</w:t>
            </w:r>
          </w:p>
        </w:tc>
        <w:tc>
          <w:tcPr>
            <w:tcW w:w="6080" w:type="dxa"/>
            <w:tcBorders>
              <w:top w:val="single" w:color="auto" w:sz="4" w:space="0"/>
              <w:left w:val="nil"/>
              <w:bottom w:val="single" w:color="auto" w:sz="4" w:space="0"/>
              <w:right w:val="single" w:color="000000" w:sz="4" w:space="0"/>
            </w:tcBorders>
            <w:noWrap w:val="0"/>
            <w:vAlign w:val="center"/>
          </w:tcPr>
          <w:p w14:paraId="0ADC7A2D">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DC6-12V</w:t>
            </w:r>
          </w:p>
        </w:tc>
      </w:tr>
      <w:tr w14:paraId="766AC133">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000000" w:sz="4" w:space="0"/>
            </w:tcBorders>
            <w:noWrap/>
            <w:vAlign w:val="center"/>
          </w:tcPr>
          <w:p w14:paraId="69D0668A">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信号输出方式</w:t>
            </w:r>
          </w:p>
        </w:tc>
        <w:tc>
          <w:tcPr>
            <w:tcW w:w="6080" w:type="dxa"/>
            <w:tcBorders>
              <w:top w:val="single" w:color="auto" w:sz="4" w:space="0"/>
              <w:left w:val="nil"/>
              <w:bottom w:val="single" w:color="auto" w:sz="4" w:space="0"/>
              <w:right w:val="single" w:color="000000" w:sz="4" w:space="0"/>
            </w:tcBorders>
            <w:noWrap w:val="0"/>
            <w:vAlign w:val="center"/>
          </w:tcPr>
          <w:p w14:paraId="3D327D43">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RS-485(Modbus/RTU)</w:t>
            </w:r>
          </w:p>
        </w:tc>
      </w:tr>
    </w:tbl>
    <w:p w14:paraId="6DDF754C">
      <w:pPr>
        <w:spacing w:line="360" w:lineRule="auto"/>
        <w:jc w:val="left"/>
        <w:rPr>
          <w:rFonts w:hint="eastAsia" w:ascii="仿宋" w:hAnsi="仿宋" w:eastAsia="仿宋" w:cs="仿宋"/>
          <w:b/>
          <w:sz w:val="24"/>
        </w:rPr>
      </w:pPr>
      <w:r>
        <w:rPr>
          <w:rFonts w:hint="eastAsia" w:ascii="仿宋" w:hAnsi="仿宋" w:eastAsia="仿宋" w:cs="仿宋"/>
          <w:b/>
          <w:sz w:val="24"/>
        </w:rPr>
        <w:t>(2)PH</w:t>
      </w:r>
    </w:p>
    <w:tbl>
      <w:tblPr>
        <w:tblStyle w:val="9"/>
        <w:tblW w:w="9061" w:type="dxa"/>
        <w:tblInd w:w="0" w:type="dxa"/>
        <w:tblLayout w:type="fixed"/>
        <w:tblCellMar>
          <w:top w:w="0" w:type="dxa"/>
          <w:left w:w="108" w:type="dxa"/>
          <w:bottom w:w="0" w:type="dxa"/>
          <w:right w:w="108" w:type="dxa"/>
        </w:tblCellMar>
      </w:tblPr>
      <w:tblGrid>
        <w:gridCol w:w="2981"/>
        <w:gridCol w:w="6080"/>
      </w:tblGrid>
      <w:tr w14:paraId="40358944">
        <w:tblPrEx>
          <w:tblCellMar>
            <w:top w:w="0" w:type="dxa"/>
            <w:left w:w="108" w:type="dxa"/>
            <w:bottom w:w="0" w:type="dxa"/>
            <w:right w:w="108" w:type="dxa"/>
          </w:tblCellMar>
        </w:tblPrEx>
        <w:trPr>
          <w:trHeight w:val="315" w:hRule="atLeast"/>
        </w:trPr>
        <w:tc>
          <w:tcPr>
            <w:tcW w:w="2981" w:type="dxa"/>
            <w:tcBorders>
              <w:top w:val="single" w:color="auto" w:sz="4" w:space="0"/>
              <w:left w:val="single" w:color="auto" w:sz="4" w:space="0"/>
              <w:bottom w:val="single" w:color="auto" w:sz="4" w:space="0"/>
              <w:right w:val="single" w:color="auto" w:sz="4" w:space="0"/>
            </w:tcBorders>
            <w:shd w:val="clear" w:color="FFFFFF" w:fill="FFFFFF"/>
            <w:noWrap/>
            <w:vAlign w:val="center"/>
          </w:tcPr>
          <w:p w14:paraId="683F4CB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量程</w:t>
            </w:r>
          </w:p>
        </w:tc>
        <w:tc>
          <w:tcPr>
            <w:tcW w:w="6080" w:type="dxa"/>
            <w:tcBorders>
              <w:top w:val="single" w:color="auto" w:sz="4" w:space="0"/>
              <w:left w:val="nil"/>
              <w:bottom w:val="single" w:color="auto" w:sz="4" w:space="0"/>
              <w:right w:val="single" w:color="000000" w:sz="4" w:space="0"/>
            </w:tcBorders>
            <w:noWrap w:val="0"/>
            <w:vAlign w:val="center"/>
          </w:tcPr>
          <w:p w14:paraId="1E325B6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0～14pH</w:t>
            </w:r>
          </w:p>
        </w:tc>
      </w:tr>
      <w:tr w14:paraId="289599E8">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auto" w:sz="4" w:space="0"/>
            </w:tcBorders>
            <w:noWrap/>
            <w:vAlign w:val="center"/>
          </w:tcPr>
          <w:p w14:paraId="32EF686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分辨率</w:t>
            </w:r>
          </w:p>
        </w:tc>
        <w:tc>
          <w:tcPr>
            <w:tcW w:w="6080" w:type="dxa"/>
            <w:tcBorders>
              <w:top w:val="single" w:color="auto" w:sz="4" w:space="0"/>
              <w:left w:val="nil"/>
              <w:bottom w:val="single" w:color="auto" w:sz="4" w:space="0"/>
              <w:right w:val="single" w:color="000000" w:sz="4" w:space="0"/>
            </w:tcBorders>
            <w:noWrap w:val="0"/>
            <w:vAlign w:val="center"/>
          </w:tcPr>
          <w:p w14:paraId="06DA30F5">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0.01pH</w:t>
            </w:r>
          </w:p>
        </w:tc>
      </w:tr>
      <w:tr w14:paraId="5E47D872">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auto" w:sz="4" w:space="0"/>
            </w:tcBorders>
            <w:noWrap/>
            <w:vAlign w:val="center"/>
          </w:tcPr>
          <w:p w14:paraId="5FDB27A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响应时间</w:t>
            </w:r>
          </w:p>
        </w:tc>
        <w:tc>
          <w:tcPr>
            <w:tcW w:w="6080" w:type="dxa"/>
            <w:tcBorders>
              <w:top w:val="single" w:color="auto" w:sz="4" w:space="0"/>
              <w:left w:val="nil"/>
              <w:bottom w:val="single" w:color="auto" w:sz="4" w:space="0"/>
              <w:right w:val="single" w:color="000000" w:sz="4" w:space="0"/>
            </w:tcBorders>
            <w:noWrap w:val="0"/>
            <w:vAlign w:val="center"/>
          </w:tcPr>
          <w:p w14:paraId="053496FE">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10s</w:t>
            </w:r>
          </w:p>
        </w:tc>
      </w:tr>
      <w:tr w14:paraId="1F3DB5F1">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auto" w:sz="4" w:space="0"/>
            </w:tcBorders>
            <w:noWrap/>
            <w:vAlign w:val="center"/>
          </w:tcPr>
          <w:p w14:paraId="60B4ABC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精度</w:t>
            </w:r>
          </w:p>
        </w:tc>
        <w:tc>
          <w:tcPr>
            <w:tcW w:w="6080" w:type="dxa"/>
            <w:tcBorders>
              <w:top w:val="single" w:color="auto" w:sz="4" w:space="0"/>
              <w:left w:val="nil"/>
              <w:bottom w:val="single" w:color="auto" w:sz="4" w:space="0"/>
              <w:right w:val="single" w:color="000000" w:sz="4" w:space="0"/>
            </w:tcBorders>
            <w:noWrap w:val="0"/>
            <w:vAlign w:val="center"/>
          </w:tcPr>
          <w:p w14:paraId="3E8A0DB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±0.1pH</w:t>
            </w:r>
          </w:p>
        </w:tc>
      </w:tr>
      <w:tr w14:paraId="7A1AE3B8">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auto" w:sz="4" w:space="0"/>
            </w:tcBorders>
            <w:noWrap/>
            <w:vAlign w:val="center"/>
          </w:tcPr>
          <w:p w14:paraId="22A8725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供电</w:t>
            </w:r>
          </w:p>
        </w:tc>
        <w:tc>
          <w:tcPr>
            <w:tcW w:w="6080" w:type="dxa"/>
            <w:tcBorders>
              <w:top w:val="single" w:color="auto" w:sz="4" w:space="0"/>
              <w:left w:val="nil"/>
              <w:bottom w:val="single" w:color="auto" w:sz="4" w:space="0"/>
              <w:right w:val="single" w:color="000000" w:sz="4" w:space="0"/>
            </w:tcBorders>
            <w:noWrap w:val="0"/>
            <w:vAlign w:val="center"/>
          </w:tcPr>
          <w:p w14:paraId="5E5338DF">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12～24VDC ±10%</w:t>
            </w:r>
          </w:p>
        </w:tc>
      </w:tr>
      <w:tr w14:paraId="2D71F4B2">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auto" w:sz="4" w:space="0"/>
            </w:tcBorders>
            <w:noWrap/>
            <w:vAlign w:val="center"/>
          </w:tcPr>
          <w:p w14:paraId="6A68777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信号输出方式</w:t>
            </w:r>
          </w:p>
        </w:tc>
        <w:tc>
          <w:tcPr>
            <w:tcW w:w="6080" w:type="dxa"/>
            <w:tcBorders>
              <w:top w:val="single" w:color="auto" w:sz="4" w:space="0"/>
              <w:left w:val="nil"/>
              <w:bottom w:val="single" w:color="auto" w:sz="4" w:space="0"/>
              <w:right w:val="single" w:color="000000" w:sz="4" w:space="0"/>
            </w:tcBorders>
            <w:noWrap w:val="0"/>
            <w:vAlign w:val="center"/>
          </w:tcPr>
          <w:p w14:paraId="25177D9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RS-485(Modbus/RTU)</w:t>
            </w:r>
          </w:p>
        </w:tc>
      </w:tr>
    </w:tbl>
    <w:p w14:paraId="655EAB82">
      <w:pPr>
        <w:spacing w:line="360" w:lineRule="auto"/>
        <w:ind w:firstLine="480" w:firstLineChars="200"/>
        <w:rPr>
          <w:rFonts w:hint="eastAsia" w:ascii="仿宋" w:hAnsi="仿宋" w:eastAsia="仿宋" w:cs="仿宋"/>
          <w:bCs/>
          <w:sz w:val="24"/>
        </w:rPr>
      </w:pPr>
    </w:p>
    <w:p w14:paraId="26F51D9C">
      <w:pPr>
        <w:spacing w:line="360" w:lineRule="auto"/>
        <w:jc w:val="left"/>
        <w:rPr>
          <w:rFonts w:hint="eastAsia" w:ascii="仿宋" w:hAnsi="仿宋" w:eastAsia="仿宋" w:cs="仿宋"/>
          <w:b/>
          <w:sz w:val="24"/>
        </w:rPr>
      </w:pPr>
      <w:r>
        <w:rPr>
          <w:rFonts w:hint="eastAsia" w:ascii="仿宋" w:hAnsi="仿宋" w:eastAsia="仿宋" w:cs="仿宋"/>
          <w:b/>
          <w:sz w:val="24"/>
        </w:rPr>
        <w:t>(3)浊度</w:t>
      </w:r>
    </w:p>
    <w:tbl>
      <w:tblPr>
        <w:tblStyle w:val="9"/>
        <w:tblW w:w="9061" w:type="dxa"/>
        <w:tblInd w:w="0" w:type="dxa"/>
        <w:tblLayout w:type="fixed"/>
        <w:tblCellMar>
          <w:top w:w="0" w:type="dxa"/>
          <w:left w:w="108" w:type="dxa"/>
          <w:bottom w:w="0" w:type="dxa"/>
          <w:right w:w="108" w:type="dxa"/>
        </w:tblCellMar>
      </w:tblPr>
      <w:tblGrid>
        <w:gridCol w:w="2981"/>
        <w:gridCol w:w="6080"/>
      </w:tblGrid>
      <w:tr w14:paraId="35CE89D5">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000000" w:sz="4" w:space="0"/>
            </w:tcBorders>
            <w:shd w:val="clear" w:color="FFFFFF" w:fill="FFFFFF"/>
            <w:noWrap/>
            <w:vAlign w:val="center"/>
          </w:tcPr>
          <w:p w14:paraId="474A036E">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量程</w:t>
            </w:r>
          </w:p>
        </w:tc>
        <w:tc>
          <w:tcPr>
            <w:tcW w:w="6080" w:type="dxa"/>
            <w:tcBorders>
              <w:top w:val="single" w:color="auto" w:sz="4" w:space="0"/>
              <w:left w:val="nil"/>
              <w:bottom w:val="single" w:color="auto" w:sz="4" w:space="0"/>
              <w:right w:val="single" w:color="000000" w:sz="4" w:space="0"/>
            </w:tcBorders>
            <w:shd w:val="clear" w:color="FFFFFF" w:fill="FFFFFF"/>
            <w:noWrap w:val="0"/>
            <w:vAlign w:val="center"/>
          </w:tcPr>
          <w:p w14:paraId="764D6D35">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0～1000NTU</w:t>
            </w:r>
          </w:p>
        </w:tc>
      </w:tr>
      <w:tr w14:paraId="03DCD7F7">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000000" w:sz="4" w:space="0"/>
            </w:tcBorders>
            <w:shd w:val="clear" w:color="000000" w:fill="FFFFFF"/>
            <w:noWrap/>
            <w:vAlign w:val="center"/>
          </w:tcPr>
          <w:p w14:paraId="75268F9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分辨率</w:t>
            </w:r>
          </w:p>
        </w:tc>
        <w:tc>
          <w:tcPr>
            <w:tcW w:w="6080" w:type="dxa"/>
            <w:tcBorders>
              <w:top w:val="single" w:color="auto" w:sz="4" w:space="0"/>
              <w:left w:val="nil"/>
              <w:bottom w:val="single" w:color="auto" w:sz="4" w:space="0"/>
              <w:right w:val="single" w:color="000000" w:sz="4" w:space="0"/>
            </w:tcBorders>
            <w:shd w:val="clear" w:color="FFFFFF" w:fill="FFFFFF"/>
            <w:noWrap/>
            <w:vAlign w:val="center"/>
          </w:tcPr>
          <w:p w14:paraId="633B16A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0.1 mg/L</w:t>
            </w:r>
          </w:p>
        </w:tc>
      </w:tr>
      <w:tr w14:paraId="45A549B0">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000000" w:sz="4" w:space="0"/>
            </w:tcBorders>
            <w:shd w:val="clear" w:color="000000" w:fill="FFFFFF"/>
            <w:noWrap/>
            <w:vAlign w:val="center"/>
          </w:tcPr>
          <w:p w14:paraId="0622146E">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响应时间</w:t>
            </w:r>
          </w:p>
        </w:tc>
        <w:tc>
          <w:tcPr>
            <w:tcW w:w="6080" w:type="dxa"/>
            <w:tcBorders>
              <w:top w:val="single" w:color="auto" w:sz="4" w:space="0"/>
              <w:left w:val="nil"/>
              <w:bottom w:val="single" w:color="auto" w:sz="4" w:space="0"/>
              <w:right w:val="single" w:color="000000" w:sz="4" w:space="0"/>
            </w:tcBorders>
            <w:shd w:val="clear" w:color="FFFFFF" w:fill="FFFFFF"/>
            <w:noWrap/>
            <w:vAlign w:val="center"/>
          </w:tcPr>
          <w:p w14:paraId="4D3BA3C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低于10s</w:t>
            </w:r>
          </w:p>
        </w:tc>
      </w:tr>
      <w:tr w14:paraId="5242F038">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000000" w:sz="4" w:space="0"/>
            </w:tcBorders>
            <w:shd w:val="clear" w:color="000000" w:fill="FFFFFF"/>
            <w:noWrap/>
            <w:vAlign w:val="center"/>
          </w:tcPr>
          <w:p w14:paraId="2C7ADAC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ascii="仿宋" w:hAnsi="仿宋" w:eastAsia="仿宋" w:cs="仿宋"/>
                <w:bCs/>
                <w:sz w:val="24"/>
                <w:lang w:val="en-US" w:eastAsia="zh-CN"/>
              </w:rPr>
            </w:pPr>
            <w:r>
              <w:rPr>
                <w:rFonts w:hint="eastAsia" w:ascii="仿宋" w:hAnsi="仿宋" w:eastAsia="仿宋" w:cs="仿宋"/>
                <w:bCs/>
                <w:sz w:val="24"/>
                <w:lang w:val="en-US" w:eastAsia="zh-CN"/>
              </w:rPr>
              <w:t>准确度</w:t>
            </w:r>
          </w:p>
        </w:tc>
        <w:tc>
          <w:tcPr>
            <w:tcW w:w="6080" w:type="dxa"/>
            <w:tcBorders>
              <w:top w:val="single" w:color="auto" w:sz="4" w:space="0"/>
              <w:left w:val="nil"/>
              <w:bottom w:val="single" w:color="auto" w:sz="4" w:space="0"/>
              <w:right w:val="single" w:color="000000" w:sz="4" w:space="0"/>
            </w:tcBorders>
            <w:shd w:val="clear" w:color="FFFFFF" w:fill="FFFFFF"/>
            <w:noWrap w:val="0"/>
            <w:vAlign w:val="center"/>
          </w:tcPr>
          <w:p w14:paraId="515CE87E">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±3%F.S</w:t>
            </w:r>
          </w:p>
        </w:tc>
      </w:tr>
      <w:tr w14:paraId="050DE60E">
        <w:tblPrEx>
          <w:tblCellMar>
            <w:top w:w="0" w:type="dxa"/>
            <w:left w:w="108" w:type="dxa"/>
            <w:bottom w:w="0" w:type="dxa"/>
            <w:right w:w="108" w:type="dxa"/>
          </w:tblCellMar>
        </w:tblPrEx>
        <w:trPr>
          <w:trHeight w:val="240" w:hRule="atLeast"/>
        </w:trPr>
        <w:tc>
          <w:tcPr>
            <w:tcW w:w="2981" w:type="dxa"/>
            <w:tcBorders>
              <w:top w:val="single" w:color="auto" w:sz="4" w:space="0"/>
              <w:left w:val="single" w:color="auto" w:sz="4" w:space="0"/>
              <w:bottom w:val="single" w:color="auto" w:sz="4" w:space="0"/>
              <w:right w:val="single" w:color="auto" w:sz="4" w:space="0"/>
            </w:tcBorders>
            <w:shd w:val="clear" w:color="000000" w:fill="FFFFFF"/>
            <w:noWrap/>
            <w:vAlign w:val="center"/>
          </w:tcPr>
          <w:p w14:paraId="7676ADA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信号输出方式</w:t>
            </w:r>
          </w:p>
        </w:tc>
        <w:tc>
          <w:tcPr>
            <w:tcW w:w="6080" w:type="dxa"/>
            <w:tcBorders>
              <w:top w:val="single" w:color="auto" w:sz="4" w:space="0"/>
              <w:left w:val="nil"/>
              <w:bottom w:val="single" w:color="auto" w:sz="4" w:space="0"/>
              <w:right w:val="single" w:color="000000" w:sz="4" w:space="0"/>
            </w:tcBorders>
            <w:shd w:val="clear" w:color="FFFFFF" w:fill="FFFFFF"/>
            <w:noWrap/>
            <w:vAlign w:val="center"/>
          </w:tcPr>
          <w:p w14:paraId="51136607">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RS-485(Modbus/RTU)</w:t>
            </w:r>
          </w:p>
        </w:tc>
      </w:tr>
    </w:tbl>
    <w:p w14:paraId="5D42F491">
      <w:pPr>
        <w:spacing w:line="360" w:lineRule="auto"/>
        <w:jc w:val="left"/>
        <w:rPr>
          <w:rFonts w:hint="eastAsia" w:ascii="仿宋" w:hAnsi="仿宋" w:eastAsia="仿宋" w:cs="仿宋"/>
          <w:b/>
          <w:sz w:val="24"/>
        </w:rPr>
      </w:pPr>
    </w:p>
    <w:p w14:paraId="64B434C9">
      <w:pPr>
        <w:spacing w:line="360" w:lineRule="auto"/>
        <w:jc w:val="left"/>
        <w:rPr>
          <w:rFonts w:hint="eastAsia" w:ascii="仿宋" w:hAnsi="仿宋" w:eastAsia="仿宋" w:cs="仿宋"/>
          <w:b/>
          <w:sz w:val="24"/>
        </w:rPr>
      </w:pPr>
      <w:r>
        <w:rPr>
          <w:rFonts w:hint="eastAsia" w:ascii="仿宋" w:hAnsi="仿宋" w:eastAsia="仿宋" w:cs="仿宋"/>
          <w:b/>
          <w:sz w:val="24"/>
        </w:rPr>
        <w:t>(4)电导率</w:t>
      </w:r>
    </w:p>
    <w:tbl>
      <w:tblPr>
        <w:tblStyle w:val="9"/>
        <w:tblW w:w="9061" w:type="dxa"/>
        <w:tblInd w:w="0" w:type="dxa"/>
        <w:tblLayout w:type="fixed"/>
        <w:tblCellMar>
          <w:top w:w="0" w:type="dxa"/>
          <w:left w:w="108" w:type="dxa"/>
          <w:bottom w:w="0" w:type="dxa"/>
          <w:right w:w="108" w:type="dxa"/>
        </w:tblCellMar>
      </w:tblPr>
      <w:tblGrid>
        <w:gridCol w:w="2999"/>
        <w:gridCol w:w="6062"/>
      </w:tblGrid>
      <w:tr w14:paraId="1889E654">
        <w:tblPrEx>
          <w:tblCellMar>
            <w:top w:w="0" w:type="dxa"/>
            <w:left w:w="108" w:type="dxa"/>
            <w:bottom w:w="0" w:type="dxa"/>
            <w:right w:w="108" w:type="dxa"/>
          </w:tblCellMar>
        </w:tblPrEx>
        <w:trPr>
          <w:trHeight w:val="240" w:hRule="atLeast"/>
        </w:trPr>
        <w:tc>
          <w:tcPr>
            <w:tcW w:w="2999" w:type="dxa"/>
            <w:tcBorders>
              <w:top w:val="single" w:color="auto" w:sz="4" w:space="0"/>
              <w:left w:val="single" w:color="auto" w:sz="4" w:space="0"/>
              <w:bottom w:val="single" w:color="auto" w:sz="4" w:space="0"/>
              <w:right w:val="single" w:color="auto" w:sz="4" w:space="0"/>
            </w:tcBorders>
            <w:noWrap/>
            <w:vAlign w:val="center"/>
          </w:tcPr>
          <w:p w14:paraId="13368CC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量程</w:t>
            </w:r>
          </w:p>
        </w:tc>
        <w:tc>
          <w:tcPr>
            <w:tcW w:w="6062" w:type="dxa"/>
            <w:tcBorders>
              <w:top w:val="single" w:color="auto" w:sz="4" w:space="0"/>
              <w:left w:val="nil"/>
              <w:bottom w:val="single" w:color="auto" w:sz="4" w:space="0"/>
              <w:right w:val="single" w:color="000000" w:sz="4" w:space="0"/>
            </w:tcBorders>
            <w:noWrap w:val="0"/>
            <w:vAlign w:val="center"/>
          </w:tcPr>
          <w:p w14:paraId="67FCC82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0-15ms/cm</w:t>
            </w:r>
          </w:p>
        </w:tc>
      </w:tr>
      <w:tr w14:paraId="38C3A067">
        <w:tblPrEx>
          <w:tblCellMar>
            <w:top w:w="0" w:type="dxa"/>
            <w:left w:w="108" w:type="dxa"/>
            <w:bottom w:w="0" w:type="dxa"/>
            <w:right w:w="108" w:type="dxa"/>
          </w:tblCellMar>
        </w:tblPrEx>
        <w:trPr>
          <w:trHeight w:val="240" w:hRule="atLeast"/>
        </w:trPr>
        <w:tc>
          <w:tcPr>
            <w:tcW w:w="2999" w:type="dxa"/>
            <w:tcBorders>
              <w:top w:val="single" w:color="auto" w:sz="4" w:space="0"/>
              <w:left w:val="single" w:color="auto" w:sz="4" w:space="0"/>
              <w:bottom w:val="single" w:color="auto" w:sz="4" w:space="0"/>
              <w:right w:val="single" w:color="auto" w:sz="4" w:space="0"/>
            </w:tcBorders>
            <w:noWrap/>
            <w:vAlign w:val="center"/>
          </w:tcPr>
          <w:p w14:paraId="5C7B350A">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lang w:eastAsia="zh-CN"/>
              </w:rPr>
              <w:t>分辨率</w:t>
            </w:r>
          </w:p>
        </w:tc>
        <w:tc>
          <w:tcPr>
            <w:tcW w:w="6062" w:type="dxa"/>
            <w:tcBorders>
              <w:top w:val="single" w:color="auto" w:sz="4" w:space="0"/>
              <w:left w:val="nil"/>
              <w:bottom w:val="single" w:color="auto" w:sz="4" w:space="0"/>
              <w:right w:val="single" w:color="000000" w:sz="4" w:space="0"/>
            </w:tcBorders>
            <w:noWrap/>
            <w:vAlign w:val="center"/>
          </w:tcPr>
          <w:p w14:paraId="1B53D7C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lang w:eastAsia="zh-CN"/>
              </w:rPr>
              <w:t>0.01ms/cm</w:t>
            </w:r>
          </w:p>
        </w:tc>
      </w:tr>
      <w:tr w14:paraId="18F3DACC">
        <w:tblPrEx>
          <w:tblCellMar>
            <w:top w:w="0" w:type="dxa"/>
            <w:left w:w="108" w:type="dxa"/>
            <w:bottom w:w="0" w:type="dxa"/>
            <w:right w:w="108" w:type="dxa"/>
          </w:tblCellMar>
        </w:tblPrEx>
        <w:trPr>
          <w:trHeight w:val="240" w:hRule="atLeast"/>
        </w:trPr>
        <w:tc>
          <w:tcPr>
            <w:tcW w:w="2999" w:type="dxa"/>
            <w:tcBorders>
              <w:top w:val="single" w:color="auto" w:sz="4" w:space="0"/>
              <w:left w:val="single" w:color="auto" w:sz="4" w:space="0"/>
              <w:bottom w:val="single" w:color="auto" w:sz="4" w:space="0"/>
              <w:right w:val="single" w:color="auto" w:sz="4" w:space="0"/>
            </w:tcBorders>
            <w:noWrap/>
            <w:vAlign w:val="center"/>
          </w:tcPr>
          <w:p w14:paraId="38E74BF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lang w:eastAsia="zh-CN"/>
              </w:rPr>
              <w:t>准确度</w:t>
            </w:r>
          </w:p>
        </w:tc>
        <w:tc>
          <w:tcPr>
            <w:tcW w:w="6062" w:type="dxa"/>
            <w:tcBorders>
              <w:top w:val="single" w:color="auto" w:sz="4" w:space="0"/>
              <w:left w:val="nil"/>
              <w:bottom w:val="single" w:color="auto" w:sz="4" w:space="0"/>
              <w:right w:val="single" w:color="000000" w:sz="4" w:space="0"/>
            </w:tcBorders>
            <w:noWrap/>
            <w:vAlign w:val="center"/>
          </w:tcPr>
          <w:p w14:paraId="63C22D3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lang w:eastAsia="zh-CN"/>
              </w:rPr>
              <w:t>±5%</w:t>
            </w:r>
          </w:p>
        </w:tc>
      </w:tr>
      <w:tr w14:paraId="78C6D872">
        <w:tblPrEx>
          <w:tblCellMar>
            <w:top w:w="0" w:type="dxa"/>
            <w:left w:w="108" w:type="dxa"/>
            <w:bottom w:w="0" w:type="dxa"/>
            <w:right w:w="108" w:type="dxa"/>
          </w:tblCellMar>
        </w:tblPrEx>
        <w:trPr>
          <w:trHeight w:val="240" w:hRule="atLeast"/>
        </w:trPr>
        <w:tc>
          <w:tcPr>
            <w:tcW w:w="2999" w:type="dxa"/>
            <w:tcBorders>
              <w:top w:val="single" w:color="auto" w:sz="4" w:space="0"/>
              <w:left w:val="single" w:color="auto" w:sz="4" w:space="0"/>
              <w:bottom w:val="single" w:color="auto" w:sz="4" w:space="0"/>
              <w:right w:val="single" w:color="auto" w:sz="4" w:space="0"/>
            </w:tcBorders>
            <w:noWrap/>
            <w:vAlign w:val="center"/>
          </w:tcPr>
          <w:p w14:paraId="0E29C31A">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信号输出方式</w:t>
            </w:r>
          </w:p>
        </w:tc>
        <w:tc>
          <w:tcPr>
            <w:tcW w:w="6062" w:type="dxa"/>
            <w:tcBorders>
              <w:top w:val="single" w:color="auto" w:sz="4" w:space="0"/>
              <w:left w:val="nil"/>
              <w:bottom w:val="single" w:color="auto" w:sz="4" w:space="0"/>
              <w:right w:val="single" w:color="000000" w:sz="4" w:space="0"/>
            </w:tcBorders>
            <w:noWrap/>
            <w:vAlign w:val="center"/>
          </w:tcPr>
          <w:p w14:paraId="481C12F3">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RS-485(Modbus/RTU)</w:t>
            </w:r>
          </w:p>
        </w:tc>
      </w:tr>
      <w:tr w14:paraId="4577DFA1">
        <w:tblPrEx>
          <w:tblCellMar>
            <w:top w:w="0" w:type="dxa"/>
            <w:left w:w="108" w:type="dxa"/>
            <w:bottom w:w="0" w:type="dxa"/>
            <w:right w:w="108" w:type="dxa"/>
          </w:tblCellMar>
        </w:tblPrEx>
        <w:trPr>
          <w:trHeight w:val="240" w:hRule="atLeast"/>
        </w:trPr>
        <w:tc>
          <w:tcPr>
            <w:tcW w:w="2999" w:type="dxa"/>
            <w:tcBorders>
              <w:top w:val="single" w:color="auto" w:sz="4" w:space="0"/>
              <w:left w:val="single" w:color="auto" w:sz="4" w:space="0"/>
              <w:bottom w:val="single" w:color="auto" w:sz="4" w:space="0"/>
              <w:right w:val="single" w:color="auto" w:sz="4" w:space="0"/>
            </w:tcBorders>
            <w:noWrap/>
            <w:vAlign w:val="center"/>
          </w:tcPr>
          <w:p w14:paraId="2FCF497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温度补偿</w:t>
            </w:r>
          </w:p>
        </w:tc>
        <w:tc>
          <w:tcPr>
            <w:tcW w:w="6062" w:type="dxa"/>
            <w:tcBorders>
              <w:top w:val="single" w:color="auto" w:sz="4" w:space="0"/>
              <w:left w:val="nil"/>
              <w:bottom w:val="single" w:color="auto" w:sz="4" w:space="0"/>
              <w:right w:val="single" w:color="000000" w:sz="4" w:space="0"/>
            </w:tcBorders>
            <w:noWrap/>
            <w:vAlign w:val="center"/>
          </w:tcPr>
          <w:p w14:paraId="2C7771F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自动温度补偿</w:t>
            </w:r>
          </w:p>
        </w:tc>
      </w:tr>
    </w:tbl>
    <w:p w14:paraId="75E7899C">
      <w:pPr>
        <w:spacing w:line="360" w:lineRule="auto"/>
        <w:ind w:firstLine="480" w:firstLineChars="200"/>
        <w:rPr>
          <w:rFonts w:hint="eastAsia" w:ascii="仿宋" w:hAnsi="仿宋" w:eastAsia="仿宋" w:cs="仿宋"/>
          <w:bCs/>
          <w:sz w:val="24"/>
        </w:rPr>
      </w:pPr>
    </w:p>
    <w:p w14:paraId="45816B56">
      <w:pPr>
        <w:spacing w:line="360" w:lineRule="auto"/>
        <w:jc w:val="left"/>
        <w:rPr>
          <w:rFonts w:hint="eastAsia" w:ascii="仿宋" w:hAnsi="仿宋" w:eastAsia="仿宋" w:cs="仿宋"/>
          <w:b/>
          <w:sz w:val="24"/>
        </w:rPr>
      </w:pPr>
      <w:r>
        <w:rPr>
          <w:rFonts w:hint="eastAsia" w:ascii="仿宋" w:hAnsi="仿宋" w:eastAsia="仿宋" w:cs="仿宋"/>
          <w:b/>
          <w:sz w:val="24"/>
        </w:rPr>
        <w:t>（5）COD</w:t>
      </w:r>
    </w:p>
    <w:tbl>
      <w:tblPr>
        <w:tblStyle w:val="9"/>
        <w:tblW w:w="9061" w:type="dxa"/>
        <w:tblInd w:w="0" w:type="dxa"/>
        <w:tblLayout w:type="fixed"/>
        <w:tblCellMar>
          <w:top w:w="0" w:type="dxa"/>
          <w:left w:w="108" w:type="dxa"/>
          <w:bottom w:w="0" w:type="dxa"/>
          <w:right w:w="108" w:type="dxa"/>
        </w:tblCellMar>
      </w:tblPr>
      <w:tblGrid>
        <w:gridCol w:w="2985"/>
        <w:gridCol w:w="6076"/>
      </w:tblGrid>
      <w:tr w14:paraId="7E0CA27B">
        <w:tblPrEx>
          <w:tblCellMar>
            <w:top w:w="0" w:type="dxa"/>
            <w:left w:w="108" w:type="dxa"/>
            <w:bottom w:w="0" w:type="dxa"/>
            <w:right w:w="108" w:type="dxa"/>
          </w:tblCellMar>
        </w:tblPrEx>
        <w:trPr>
          <w:trHeight w:val="240" w:hRule="atLeast"/>
        </w:trPr>
        <w:tc>
          <w:tcPr>
            <w:tcW w:w="2985" w:type="dxa"/>
            <w:tcBorders>
              <w:top w:val="single" w:color="auto" w:sz="4" w:space="0"/>
              <w:left w:val="single" w:color="auto" w:sz="4" w:space="0"/>
              <w:bottom w:val="single" w:color="auto" w:sz="4" w:space="0"/>
              <w:right w:val="single" w:color="000000" w:sz="4" w:space="0"/>
            </w:tcBorders>
            <w:shd w:val="clear" w:color="FFFFFF" w:fill="FFFFFF"/>
            <w:noWrap/>
            <w:vAlign w:val="center"/>
          </w:tcPr>
          <w:p w14:paraId="7B614353">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量程</w:t>
            </w:r>
          </w:p>
        </w:tc>
        <w:tc>
          <w:tcPr>
            <w:tcW w:w="6076" w:type="dxa"/>
            <w:tcBorders>
              <w:top w:val="single" w:color="auto" w:sz="4" w:space="0"/>
              <w:left w:val="nil"/>
              <w:bottom w:val="single" w:color="auto" w:sz="4" w:space="0"/>
              <w:right w:val="single" w:color="000000" w:sz="4" w:space="0"/>
            </w:tcBorders>
            <w:shd w:val="clear" w:color="FFFFFF" w:fill="FFFFFF"/>
            <w:noWrap w:val="0"/>
            <w:vAlign w:val="center"/>
          </w:tcPr>
          <w:p w14:paraId="02B372C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0～400mg/L</w:t>
            </w:r>
          </w:p>
        </w:tc>
      </w:tr>
      <w:tr w14:paraId="35EA0CD4">
        <w:tblPrEx>
          <w:tblCellMar>
            <w:top w:w="0" w:type="dxa"/>
            <w:left w:w="108" w:type="dxa"/>
            <w:bottom w:w="0" w:type="dxa"/>
            <w:right w:w="108" w:type="dxa"/>
          </w:tblCellMar>
        </w:tblPrEx>
        <w:trPr>
          <w:trHeight w:val="240" w:hRule="atLeast"/>
        </w:trPr>
        <w:tc>
          <w:tcPr>
            <w:tcW w:w="2985" w:type="dxa"/>
            <w:tcBorders>
              <w:top w:val="single" w:color="auto" w:sz="4" w:space="0"/>
              <w:left w:val="single" w:color="auto" w:sz="4" w:space="0"/>
              <w:bottom w:val="single" w:color="auto" w:sz="4" w:space="0"/>
              <w:right w:val="single" w:color="000000" w:sz="4" w:space="0"/>
            </w:tcBorders>
            <w:noWrap/>
            <w:vAlign w:val="center"/>
          </w:tcPr>
          <w:p w14:paraId="37AA090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分辨率</w:t>
            </w:r>
          </w:p>
        </w:tc>
        <w:tc>
          <w:tcPr>
            <w:tcW w:w="6076" w:type="dxa"/>
            <w:tcBorders>
              <w:top w:val="single" w:color="auto" w:sz="4" w:space="0"/>
              <w:left w:val="nil"/>
              <w:bottom w:val="single" w:color="auto" w:sz="4" w:space="0"/>
              <w:right w:val="single" w:color="000000" w:sz="4" w:space="0"/>
            </w:tcBorders>
            <w:noWrap w:val="0"/>
            <w:vAlign w:val="center"/>
          </w:tcPr>
          <w:p w14:paraId="2D38BBA3">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0.1mg/L</w:t>
            </w:r>
          </w:p>
        </w:tc>
      </w:tr>
      <w:tr w14:paraId="136ACAEA">
        <w:tblPrEx>
          <w:tblCellMar>
            <w:top w:w="0" w:type="dxa"/>
            <w:left w:w="108" w:type="dxa"/>
            <w:bottom w:w="0" w:type="dxa"/>
            <w:right w:w="108" w:type="dxa"/>
          </w:tblCellMar>
        </w:tblPrEx>
        <w:trPr>
          <w:trHeight w:val="240" w:hRule="atLeast"/>
        </w:trPr>
        <w:tc>
          <w:tcPr>
            <w:tcW w:w="2985" w:type="dxa"/>
            <w:tcBorders>
              <w:top w:val="single" w:color="auto" w:sz="4" w:space="0"/>
              <w:left w:val="single" w:color="auto" w:sz="4" w:space="0"/>
              <w:bottom w:val="single" w:color="auto" w:sz="4" w:space="0"/>
              <w:right w:val="single" w:color="000000" w:sz="4" w:space="0"/>
            </w:tcBorders>
            <w:noWrap/>
            <w:vAlign w:val="center"/>
          </w:tcPr>
          <w:p w14:paraId="7369EF6E">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准确度</w:t>
            </w:r>
          </w:p>
        </w:tc>
        <w:tc>
          <w:tcPr>
            <w:tcW w:w="6076" w:type="dxa"/>
            <w:tcBorders>
              <w:top w:val="single" w:color="auto" w:sz="4" w:space="0"/>
              <w:left w:val="nil"/>
              <w:bottom w:val="single" w:color="auto" w:sz="4" w:space="0"/>
              <w:right w:val="single" w:color="000000" w:sz="4" w:space="0"/>
            </w:tcBorders>
            <w:noWrap/>
            <w:vAlign w:val="center"/>
          </w:tcPr>
          <w:p w14:paraId="4DF8982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＜5%</w:t>
            </w:r>
          </w:p>
        </w:tc>
      </w:tr>
      <w:tr w14:paraId="1ECAAEDC">
        <w:tblPrEx>
          <w:tblCellMar>
            <w:top w:w="0" w:type="dxa"/>
            <w:left w:w="108" w:type="dxa"/>
            <w:bottom w:w="0" w:type="dxa"/>
            <w:right w:w="108" w:type="dxa"/>
          </w:tblCellMar>
        </w:tblPrEx>
        <w:trPr>
          <w:trHeight w:val="240" w:hRule="atLeast"/>
        </w:trPr>
        <w:tc>
          <w:tcPr>
            <w:tcW w:w="2985" w:type="dxa"/>
            <w:tcBorders>
              <w:top w:val="single" w:color="auto" w:sz="4" w:space="0"/>
              <w:left w:val="single" w:color="auto" w:sz="4" w:space="0"/>
              <w:bottom w:val="single" w:color="auto" w:sz="4" w:space="0"/>
              <w:right w:val="single" w:color="000000" w:sz="4" w:space="0"/>
            </w:tcBorders>
            <w:noWrap/>
            <w:vAlign w:val="center"/>
          </w:tcPr>
          <w:p w14:paraId="2060562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响应时间</w:t>
            </w:r>
          </w:p>
        </w:tc>
        <w:tc>
          <w:tcPr>
            <w:tcW w:w="6076" w:type="dxa"/>
            <w:tcBorders>
              <w:top w:val="single" w:color="auto" w:sz="4" w:space="0"/>
              <w:left w:val="nil"/>
              <w:bottom w:val="single" w:color="auto" w:sz="4" w:space="0"/>
              <w:right w:val="single" w:color="000000" w:sz="4" w:space="0"/>
            </w:tcBorders>
            <w:noWrap/>
            <w:vAlign w:val="center"/>
          </w:tcPr>
          <w:p w14:paraId="36091BC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低于10s</w:t>
            </w:r>
          </w:p>
        </w:tc>
      </w:tr>
      <w:tr w14:paraId="418437AE">
        <w:tblPrEx>
          <w:tblCellMar>
            <w:top w:w="0" w:type="dxa"/>
            <w:left w:w="108" w:type="dxa"/>
            <w:bottom w:w="0" w:type="dxa"/>
            <w:right w:w="108" w:type="dxa"/>
          </w:tblCellMar>
        </w:tblPrEx>
        <w:trPr>
          <w:trHeight w:val="240" w:hRule="atLeast"/>
        </w:trPr>
        <w:tc>
          <w:tcPr>
            <w:tcW w:w="2985" w:type="dxa"/>
            <w:tcBorders>
              <w:top w:val="single" w:color="auto" w:sz="4" w:space="0"/>
              <w:left w:val="single" w:color="auto" w:sz="4" w:space="0"/>
              <w:bottom w:val="single" w:color="auto" w:sz="4" w:space="0"/>
              <w:right w:val="single" w:color="000000" w:sz="4" w:space="0"/>
            </w:tcBorders>
            <w:noWrap/>
            <w:vAlign w:val="center"/>
          </w:tcPr>
          <w:p w14:paraId="56E7DAB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信号输出方式</w:t>
            </w:r>
          </w:p>
        </w:tc>
        <w:tc>
          <w:tcPr>
            <w:tcW w:w="6076" w:type="dxa"/>
            <w:tcBorders>
              <w:top w:val="single" w:color="auto" w:sz="4" w:space="0"/>
              <w:left w:val="nil"/>
              <w:bottom w:val="single" w:color="auto" w:sz="4" w:space="0"/>
              <w:right w:val="single" w:color="000000" w:sz="4" w:space="0"/>
            </w:tcBorders>
            <w:noWrap/>
            <w:vAlign w:val="center"/>
          </w:tcPr>
          <w:p w14:paraId="3101A76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RS-485(Modbus/RTU)</w:t>
            </w:r>
          </w:p>
        </w:tc>
      </w:tr>
    </w:tbl>
    <w:p w14:paraId="64996EDB">
      <w:pPr>
        <w:spacing w:line="360" w:lineRule="auto"/>
        <w:jc w:val="left"/>
        <w:rPr>
          <w:rFonts w:hint="eastAsia" w:ascii="仿宋" w:hAnsi="仿宋" w:eastAsia="仿宋" w:cs="仿宋"/>
          <w:b/>
          <w:sz w:val="24"/>
        </w:rPr>
      </w:pPr>
      <w:r>
        <w:rPr>
          <w:rFonts w:hint="eastAsia" w:ascii="仿宋" w:hAnsi="仿宋" w:eastAsia="仿宋" w:cs="仿宋"/>
          <w:b/>
          <w:sz w:val="24"/>
        </w:rPr>
        <w:t>（</w:t>
      </w:r>
      <w:r>
        <w:rPr>
          <w:rFonts w:hint="eastAsia" w:ascii="仿宋" w:hAnsi="仿宋" w:eastAsia="仿宋" w:cs="仿宋"/>
          <w:b/>
          <w:sz w:val="24"/>
          <w:lang w:val="en-US" w:eastAsia="zh-CN"/>
        </w:rPr>
        <w:t>6</w:t>
      </w:r>
      <w:r>
        <w:rPr>
          <w:rFonts w:hint="eastAsia" w:ascii="仿宋" w:hAnsi="仿宋" w:eastAsia="仿宋" w:cs="仿宋"/>
          <w:b/>
          <w:sz w:val="24"/>
        </w:rPr>
        <w:t>）</w:t>
      </w:r>
      <w:r>
        <w:rPr>
          <w:rFonts w:ascii="Times New Roman" w:hAnsi="Times New Roman"/>
          <w:b/>
          <w:bCs/>
          <w:sz w:val="28"/>
          <w:szCs w:val="28"/>
        </w:rPr>
        <w:t>氨氮</w:t>
      </w:r>
    </w:p>
    <w:tbl>
      <w:tblPr>
        <w:tblStyle w:val="9"/>
        <w:tblW w:w="9061" w:type="dxa"/>
        <w:tblInd w:w="0" w:type="dxa"/>
        <w:tblLayout w:type="fixed"/>
        <w:tblCellMar>
          <w:top w:w="0" w:type="dxa"/>
          <w:left w:w="108" w:type="dxa"/>
          <w:bottom w:w="0" w:type="dxa"/>
          <w:right w:w="108" w:type="dxa"/>
        </w:tblCellMar>
      </w:tblPr>
      <w:tblGrid>
        <w:gridCol w:w="2957"/>
        <w:gridCol w:w="6104"/>
      </w:tblGrid>
      <w:tr w14:paraId="2D4F12C9">
        <w:tblPrEx>
          <w:tblCellMar>
            <w:top w:w="0" w:type="dxa"/>
            <w:left w:w="108" w:type="dxa"/>
            <w:bottom w:w="0" w:type="dxa"/>
            <w:right w:w="108" w:type="dxa"/>
          </w:tblCellMar>
        </w:tblPrEx>
        <w:trPr>
          <w:trHeight w:val="240" w:hRule="atLeast"/>
        </w:trPr>
        <w:tc>
          <w:tcPr>
            <w:tcW w:w="2957" w:type="dxa"/>
            <w:tcBorders>
              <w:top w:val="single" w:color="auto" w:sz="4" w:space="0"/>
              <w:left w:val="single" w:color="auto" w:sz="4" w:space="0"/>
              <w:bottom w:val="single" w:color="auto" w:sz="4" w:space="0"/>
              <w:right w:val="single" w:color="000000" w:sz="4" w:space="0"/>
            </w:tcBorders>
            <w:shd w:val="clear" w:color="FFFFFF" w:fill="FFFFFF"/>
            <w:noWrap/>
            <w:vAlign w:val="center"/>
          </w:tcPr>
          <w:p w14:paraId="511E395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量程</w:t>
            </w:r>
          </w:p>
        </w:tc>
        <w:tc>
          <w:tcPr>
            <w:tcW w:w="6104" w:type="dxa"/>
            <w:tcBorders>
              <w:top w:val="single" w:color="auto" w:sz="4" w:space="0"/>
              <w:left w:val="nil"/>
              <w:bottom w:val="single" w:color="auto" w:sz="4" w:space="0"/>
              <w:right w:val="single" w:color="000000" w:sz="4" w:space="0"/>
            </w:tcBorders>
            <w:shd w:val="clear" w:color="FFFFFF" w:fill="FFFFFF"/>
            <w:noWrap w:val="0"/>
            <w:vAlign w:val="center"/>
          </w:tcPr>
          <w:p w14:paraId="53DBB5C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0-200mg/L</w:t>
            </w:r>
          </w:p>
        </w:tc>
      </w:tr>
      <w:tr w14:paraId="4F819387">
        <w:tblPrEx>
          <w:tblCellMar>
            <w:top w:w="0" w:type="dxa"/>
            <w:left w:w="108" w:type="dxa"/>
            <w:bottom w:w="0" w:type="dxa"/>
            <w:right w:w="108" w:type="dxa"/>
          </w:tblCellMar>
        </w:tblPrEx>
        <w:trPr>
          <w:trHeight w:val="240" w:hRule="atLeast"/>
        </w:trPr>
        <w:tc>
          <w:tcPr>
            <w:tcW w:w="2957" w:type="dxa"/>
            <w:tcBorders>
              <w:top w:val="single" w:color="auto" w:sz="4" w:space="0"/>
              <w:left w:val="single" w:color="auto" w:sz="4" w:space="0"/>
              <w:bottom w:val="single" w:color="auto" w:sz="4" w:space="0"/>
              <w:right w:val="single" w:color="000000" w:sz="4" w:space="0"/>
            </w:tcBorders>
            <w:noWrap/>
            <w:vAlign w:val="center"/>
          </w:tcPr>
          <w:p w14:paraId="2DDA062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lang w:eastAsia="zh-CN"/>
              </w:rPr>
              <w:t>分辨率</w:t>
            </w:r>
          </w:p>
        </w:tc>
        <w:tc>
          <w:tcPr>
            <w:tcW w:w="6104" w:type="dxa"/>
            <w:tcBorders>
              <w:top w:val="single" w:color="auto" w:sz="4" w:space="0"/>
              <w:left w:val="nil"/>
              <w:bottom w:val="single" w:color="auto" w:sz="4" w:space="0"/>
              <w:right w:val="single" w:color="000000" w:sz="4" w:space="0"/>
            </w:tcBorders>
            <w:noWrap w:val="0"/>
            <w:vAlign w:val="center"/>
          </w:tcPr>
          <w:p w14:paraId="0C46DEC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lang w:eastAsia="zh-CN"/>
              </w:rPr>
              <w:t>0.01mg/L</w:t>
            </w:r>
          </w:p>
        </w:tc>
      </w:tr>
      <w:tr w14:paraId="00789F03">
        <w:tblPrEx>
          <w:tblCellMar>
            <w:top w:w="0" w:type="dxa"/>
            <w:left w:w="108" w:type="dxa"/>
            <w:bottom w:w="0" w:type="dxa"/>
            <w:right w:w="108" w:type="dxa"/>
          </w:tblCellMar>
        </w:tblPrEx>
        <w:trPr>
          <w:trHeight w:val="240" w:hRule="atLeast"/>
        </w:trPr>
        <w:tc>
          <w:tcPr>
            <w:tcW w:w="2957" w:type="dxa"/>
            <w:tcBorders>
              <w:top w:val="single" w:color="auto" w:sz="4" w:space="0"/>
              <w:left w:val="single" w:color="auto" w:sz="4" w:space="0"/>
              <w:bottom w:val="single" w:color="auto" w:sz="4" w:space="0"/>
              <w:right w:val="single" w:color="000000" w:sz="4" w:space="0"/>
            </w:tcBorders>
            <w:noWrap/>
            <w:vAlign w:val="center"/>
          </w:tcPr>
          <w:p w14:paraId="07C610E3">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lang w:eastAsia="zh-CN"/>
              </w:rPr>
              <w:t>准确度</w:t>
            </w:r>
          </w:p>
        </w:tc>
        <w:tc>
          <w:tcPr>
            <w:tcW w:w="6104" w:type="dxa"/>
            <w:tcBorders>
              <w:top w:val="single" w:color="auto" w:sz="4" w:space="0"/>
              <w:left w:val="nil"/>
              <w:bottom w:val="single" w:color="auto" w:sz="4" w:space="0"/>
              <w:right w:val="single" w:color="000000" w:sz="4" w:space="0"/>
            </w:tcBorders>
            <w:noWrap/>
            <w:vAlign w:val="center"/>
          </w:tcPr>
          <w:p w14:paraId="6D7CCAC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lang w:eastAsia="zh-CN"/>
              </w:rPr>
              <w:t>±3%F.S</w:t>
            </w:r>
          </w:p>
        </w:tc>
      </w:tr>
      <w:tr w14:paraId="4A602029">
        <w:tblPrEx>
          <w:tblCellMar>
            <w:top w:w="0" w:type="dxa"/>
            <w:left w:w="108" w:type="dxa"/>
            <w:bottom w:w="0" w:type="dxa"/>
            <w:right w:w="108" w:type="dxa"/>
          </w:tblCellMar>
        </w:tblPrEx>
        <w:trPr>
          <w:trHeight w:val="240" w:hRule="atLeast"/>
        </w:trPr>
        <w:tc>
          <w:tcPr>
            <w:tcW w:w="2957" w:type="dxa"/>
            <w:tcBorders>
              <w:top w:val="single" w:color="auto" w:sz="4" w:space="0"/>
              <w:left w:val="single" w:color="auto" w:sz="4" w:space="0"/>
              <w:bottom w:val="single" w:color="auto" w:sz="4" w:space="0"/>
              <w:right w:val="single" w:color="000000" w:sz="4" w:space="0"/>
            </w:tcBorders>
            <w:noWrap/>
            <w:vAlign w:val="center"/>
          </w:tcPr>
          <w:p w14:paraId="0088CF6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信号输出方式</w:t>
            </w:r>
          </w:p>
        </w:tc>
        <w:tc>
          <w:tcPr>
            <w:tcW w:w="6104" w:type="dxa"/>
            <w:tcBorders>
              <w:top w:val="single" w:color="auto" w:sz="4" w:space="0"/>
              <w:left w:val="nil"/>
              <w:bottom w:val="single" w:color="auto" w:sz="4" w:space="0"/>
              <w:right w:val="single" w:color="000000" w:sz="4" w:space="0"/>
            </w:tcBorders>
            <w:noWrap/>
            <w:vAlign w:val="center"/>
          </w:tcPr>
          <w:p w14:paraId="6EB4EE6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 w:hAnsi="仿宋" w:eastAsia="仿宋" w:cs="仿宋"/>
                <w:bCs/>
                <w:sz w:val="24"/>
              </w:rPr>
            </w:pPr>
            <w:r>
              <w:rPr>
                <w:rFonts w:hint="eastAsia" w:ascii="仿宋" w:hAnsi="仿宋" w:eastAsia="仿宋" w:cs="仿宋"/>
                <w:bCs/>
                <w:sz w:val="24"/>
              </w:rPr>
              <w:t>RS-485(Modbus/RTU)</w:t>
            </w:r>
          </w:p>
        </w:tc>
      </w:tr>
    </w:tbl>
    <w:p w14:paraId="189ACB22">
      <w:pPr>
        <w:rPr>
          <w:rFonts w:hint="eastAsia"/>
          <w:color w:val="000000"/>
        </w:rPr>
      </w:pPr>
    </w:p>
    <w:p w14:paraId="1C50B3B5">
      <w:pPr>
        <w:pStyle w:val="6"/>
        <w:numPr>
          <w:ilvl w:val="3"/>
          <w:numId w:val="3"/>
        </w:numPr>
        <w:bidi w:val="0"/>
        <w:ind w:left="720" w:leftChars="0" w:hanging="720" w:firstLineChars="0"/>
      </w:pPr>
      <w:r>
        <w:rPr>
          <w:rFonts w:hint="eastAsia"/>
        </w:rPr>
        <w:t>采水单元</w:t>
      </w:r>
    </w:p>
    <w:p w14:paraId="46230AA2">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采水头采用动态漂浮设计，可根据河流枯、丰水期点位变化情况，动态调整采水位置。</w:t>
      </w:r>
    </w:p>
    <w:p w14:paraId="1824A55A">
      <w:pPr>
        <w:widowControl w:val="0"/>
        <w:numPr>
          <w:ilvl w:val="0"/>
          <w:numId w:val="5"/>
        </w:numPr>
        <w:spacing w:line="360" w:lineRule="auto"/>
        <w:ind w:left="800" w:leftChars="0" w:hanging="420" w:firstLineChars="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动态漂浮装置：采用1个塑料空心浮球+辅助管道。</w:t>
      </w:r>
    </w:p>
    <w:p w14:paraId="4717CF37">
      <w:pPr>
        <w:widowControl w:val="0"/>
        <w:numPr>
          <w:ilvl w:val="0"/>
          <w:numId w:val="5"/>
        </w:numPr>
        <w:spacing w:line="360" w:lineRule="auto"/>
        <w:ind w:left="800" w:leftChars="0" w:hanging="420" w:firstLineChars="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采样泵采用微型隔膜泵，功耗小。</w:t>
      </w:r>
    </w:p>
    <w:p w14:paraId="7AE7A0EB">
      <w:pPr>
        <w:widowControl w:val="0"/>
        <w:numPr>
          <w:ilvl w:val="0"/>
          <w:numId w:val="5"/>
        </w:numPr>
        <w:spacing w:line="360" w:lineRule="auto"/>
        <w:ind w:left="800" w:leftChars="0" w:hanging="420" w:firstLineChars="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采样泵间歇性（周期可设）或连续性两种方式采样。</w:t>
      </w:r>
    </w:p>
    <w:p w14:paraId="1C101347">
      <w:pPr>
        <w:widowControl w:val="0"/>
        <w:numPr>
          <w:ilvl w:val="0"/>
          <w:numId w:val="5"/>
        </w:numPr>
        <w:spacing w:line="360" w:lineRule="auto"/>
        <w:ind w:left="800" w:leftChars="0" w:hanging="420" w:firstLineChars="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取样管材质应选用对监测项目没有干扰的材质。</w:t>
      </w:r>
    </w:p>
    <w:p w14:paraId="7EBF6947">
      <w:pPr>
        <w:pStyle w:val="6"/>
        <w:numPr>
          <w:ilvl w:val="3"/>
          <w:numId w:val="3"/>
        </w:numPr>
        <w:bidi w:val="0"/>
        <w:ind w:left="720" w:leftChars="0" w:hanging="720" w:firstLineChars="0"/>
      </w:pPr>
      <w:r>
        <w:rPr>
          <w:rFonts w:hint="eastAsia"/>
        </w:rPr>
        <w:t>数据采集与传输单元</w:t>
      </w:r>
    </w:p>
    <w:p w14:paraId="066E8F7E">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数据采集传输仪集数据采集、存储、系统控制及远程通信功能于一体，具有丰富的输入输出接口，可存储长达1年历史数据，采用多种通讯方式，外部接口全部采用数字隔离和防浪涌技术，防静电、抗干扰能力强，为数据采集传输提供强力的保证。能实现对所有现场设备（常规五参数/COD/氨氮等）进行数据采集并可实现双向数据传送（反控）功能。</w:t>
      </w:r>
    </w:p>
    <w:p w14:paraId="4A3605B9">
      <w:pPr>
        <w:widowControl w:val="0"/>
        <w:spacing w:line="360" w:lineRule="auto"/>
        <w:ind w:firstLine="482" w:firstLineChars="200"/>
        <w:jc w:val="both"/>
        <w:rPr>
          <w:rFonts w:hint="eastAsia" w:ascii="宋体" w:hAnsi="宋体" w:eastAsia="宋体" w:cs="宋体"/>
          <w:b/>
          <w:bCs/>
          <w:kern w:val="2"/>
          <w:sz w:val="24"/>
          <w:szCs w:val="24"/>
          <w:lang w:val="en-US" w:eastAsia="zh-CN"/>
        </w:rPr>
      </w:pPr>
      <w:r>
        <w:rPr>
          <w:rFonts w:hint="eastAsia" w:ascii="宋体" w:hAnsi="宋体" w:eastAsia="宋体" w:cs="宋体"/>
          <w:b/>
          <w:bCs/>
          <w:kern w:val="2"/>
          <w:sz w:val="24"/>
          <w:szCs w:val="24"/>
          <w:lang w:val="en-US" w:eastAsia="zh-CN"/>
        </w:rPr>
        <w:t>一、数据采集与存储</w:t>
      </w:r>
    </w:p>
    <w:p w14:paraId="086CE417">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数据采集、转换模块灵活、稳定和可靠，同时具备数据存储能力，在现场监控和数据传输单元无法正常工作时，保证历史数据的正常传输。</w:t>
      </w:r>
    </w:p>
    <w:p w14:paraId="4933C808">
      <w:pPr>
        <w:widowControl w:val="0"/>
        <w:spacing w:line="360" w:lineRule="auto"/>
        <w:ind w:firstLine="482" w:firstLineChars="200"/>
        <w:jc w:val="both"/>
        <w:rPr>
          <w:rFonts w:hint="eastAsia" w:ascii="宋体" w:hAnsi="宋体" w:eastAsia="宋体" w:cs="宋体"/>
          <w:b/>
          <w:bCs/>
          <w:kern w:val="2"/>
          <w:sz w:val="24"/>
          <w:szCs w:val="24"/>
          <w:lang w:val="en-US" w:eastAsia="zh-CN"/>
        </w:rPr>
      </w:pPr>
      <w:r>
        <w:rPr>
          <w:rFonts w:hint="eastAsia" w:ascii="宋体" w:hAnsi="宋体" w:eastAsia="宋体" w:cs="宋体"/>
          <w:b/>
          <w:bCs/>
          <w:kern w:val="2"/>
          <w:sz w:val="24"/>
          <w:szCs w:val="24"/>
          <w:lang w:val="en-US" w:eastAsia="zh-CN"/>
        </w:rPr>
        <w:t>二、数据传输与控制</w:t>
      </w:r>
    </w:p>
    <w:p w14:paraId="23975A4A">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可实现双向通讯；具备自容功能，将采集的数据存于本地储存中，在通讯偶尔中断时不丢数据，通讯恢复后，存的数据立即传输；通过ADSL/光纤/GPRS/CDMA/卫星通讯实现网络传输，可在任意点组建网络。</w:t>
      </w:r>
    </w:p>
    <w:p w14:paraId="19B3197B">
      <w:pPr>
        <w:pStyle w:val="6"/>
        <w:numPr>
          <w:ilvl w:val="3"/>
          <w:numId w:val="3"/>
        </w:numPr>
        <w:bidi w:val="0"/>
        <w:ind w:left="720" w:leftChars="0" w:hanging="720" w:firstLineChars="0"/>
      </w:pPr>
      <w:r>
        <w:rPr>
          <w:rFonts w:hint="eastAsia"/>
        </w:rPr>
        <w:t>系统控制单元</w:t>
      </w:r>
    </w:p>
    <w:p w14:paraId="0A3921C8">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控制单元由PLC控制器、现场工控机及安装在工控机上的站房控制和数据管理软件组成。工控主机通过PLC控制器获取系统运行状态，根据系统运行情况发送相应指令给PLC控制器，控制各部件执行相应动作，实现采水、水处理、管路清洗，并在采配水预处理完成后自动控制启动各仪表测量，支持仪表校准周期到来时自动控制仪表进行校准等功能应用。</w:t>
      </w:r>
    </w:p>
    <w:p w14:paraId="006816A9">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工控机可安装部署监测信息管理软件，实现对监测数据的综合分析与管理。</w:t>
      </w:r>
    </w:p>
    <w:p w14:paraId="4FFB7F92">
      <w:pPr>
        <w:pStyle w:val="6"/>
        <w:numPr>
          <w:ilvl w:val="3"/>
          <w:numId w:val="3"/>
        </w:numPr>
        <w:bidi w:val="0"/>
        <w:ind w:left="720" w:leftChars="0" w:hanging="720" w:firstLineChars="0"/>
      </w:pPr>
      <w:r>
        <w:rPr>
          <w:rFonts w:hint="eastAsia"/>
        </w:rPr>
        <w:t>供电单元</w:t>
      </w:r>
    </w:p>
    <w:p w14:paraId="05674190">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系统用电在现场市电满足的情况下，就近采用市电。若现场无法满足市电取电的情况下，采用高性能太阳能供电，电源配置至少满足7天连续阴雨天气设备正常工作。</w:t>
      </w:r>
    </w:p>
    <w:p w14:paraId="4913573C">
      <w:pPr>
        <w:pStyle w:val="6"/>
        <w:numPr>
          <w:ilvl w:val="3"/>
          <w:numId w:val="3"/>
        </w:numPr>
        <w:bidi w:val="0"/>
        <w:ind w:left="720" w:leftChars="0" w:hanging="720" w:firstLineChars="0"/>
      </w:pPr>
      <w:r>
        <w:rPr>
          <w:rFonts w:hint="eastAsia"/>
        </w:rPr>
        <w:t>辅助单元</w:t>
      </w:r>
    </w:p>
    <w:p w14:paraId="6819EE89">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1、微型柜</w:t>
      </w:r>
    </w:p>
    <w:p w14:paraId="2C79FDF0">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微型柜是系统集成的承载外壳，体积小（面积≤1平方米），根据现场环境情况要求可设计出高可靠性、安全性、紧凑性、美观性等适宜仪表安装及运行的环境。</w:t>
      </w:r>
    </w:p>
    <w:p w14:paraId="545F605F">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cs="宋体"/>
          <w:kern w:val="2"/>
          <w:sz w:val="24"/>
          <w:szCs w:val="24"/>
          <w:lang w:val="en-US" w:eastAsia="zh-CN"/>
        </w:rPr>
        <w:t>2、</w:t>
      </w:r>
      <w:r>
        <w:rPr>
          <w:rFonts w:hint="eastAsia" w:ascii="宋体" w:hAnsi="宋体" w:eastAsia="宋体" w:cs="宋体"/>
          <w:kern w:val="2"/>
          <w:sz w:val="24"/>
          <w:szCs w:val="24"/>
          <w:lang w:val="en-US" w:eastAsia="zh-CN"/>
        </w:rPr>
        <w:t>配电柜</w:t>
      </w:r>
    </w:p>
    <w:p w14:paraId="7EA05890">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配电柜是整个监测站点的配电系统，同时供应水质监测、气象与空气质量监测、生态实景监测等多类设备的用电。柜体体积小（面积≤1平方米），根据现场环境情况要求可设计出高可靠性、安全性、紧凑性、美观性等适宜仪表安装及运行的环境。</w:t>
      </w:r>
    </w:p>
    <w:p w14:paraId="3A276D26">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3、视频监控单元</w:t>
      </w:r>
    </w:p>
    <w:p w14:paraId="7F01F3ED">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本项目建设内容包括生态环境监控视频，水质监测微型站的安防监控依托于生态环境监控视频系统，不另增设视频监控单元。</w:t>
      </w:r>
    </w:p>
    <w:p w14:paraId="44224E8C">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4、防雷系统</w:t>
      </w:r>
    </w:p>
    <w:p w14:paraId="6B9FF6B1">
      <w:pPr>
        <w:widowControl w:val="0"/>
        <w:spacing w:line="360" w:lineRule="auto"/>
        <w:ind w:firstLine="480" w:firstLineChars="200"/>
        <w:jc w:val="both"/>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防雷系统应符合现行国家标准《建筑防雷设计规范》的规定，应依照电工规范中的要求制作保护地线，用于机柜、仪器外壳等的接地保护，接地电阻应小于 4Ω；</w:t>
      </w:r>
    </w:p>
    <w:p w14:paraId="4C1AE336">
      <w:pPr>
        <w:pStyle w:val="5"/>
        <w:numPr>
          <w:ilvl w:val="2"/>
          <w:numId w:val="3"/>
        </w:numPr>
        <w:bidi w:val="0"/>
        <w:ind w:left="575" w:leftChars="0" w:hanging="575" w:firstLineChars="0"/>
      </w:pPr>
      <w:r>
        <w:t>气象、空气质量在线监测</w:t>
      </w:r>
    </w:p>
    <w:p w14:paraId="2E71CBD2">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本项目湿地环境实时监测系统终端采用无人值守、自动定时进行数据采集的自动化监测站，通过湿地环境实时监测终端，实现对空气温度、湿度、风、降水量、蒸发量、地温、负氧离子等数据的自动采集和存储。</w:t>
      </w:r>
    </w:p>
    <w:p w14:paraId="567BDCD4">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b/>
          <w:bCs/>
          <w:sz w:val="24"/>
          <w:szCs w:val="36"/>
        </w:rPr>
      </w:pPr>
      <w:r>
        <w:rPr>
          <w:rFonts w:hint="eastAsia" w:ascii="Times New Roman" w:hAnsi="Times New Roman"/>
          <w:b/>
          <w:bCs/>
          <w:sz w:val="24"/>
          <w:szCs w:val="36"/>
          <w:lang w:eastAsia="zh-CN"/>
        </w:rPr>
        <w:t>（</w:t>
      </w:r>
      <w:r>
        <w:rPr>
          <w:rFonts w:hint="eastAsia" w:ascii="Times New Roman" w:hAnsi="Times New Roman"/>
          <w:b/>
          <w:bCs/>
          <w:sz w:val="24"/>
          <w:szCs w:val="36"/>
          <w:lang w:val="en-US" w:eastAsia="zh-CN"/>
        </w:rPr>
        <w:t>1）</w:t>
      </w:r>
      <w:r>
        <w:rPr>
          <w:rFonts w:hint="eastAsia" w:ascii="Times New Roman" w:hAnsi="Times New Roman"/>
          <w:b/>
          <w:bCs/>
          <w:sz w:val="24"/>
          <w:szCs w:val="36"/>
        </w:rPr>
        <w:t>技术指标要求：</w:t>
      </w:r>
    </w:p>
    <w:p w14:paraId="2809B629">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1)六种气象要素一体化高度集成设计，可同时测量气温、湿度、风向、风速、气压、雨量、负氧离子；</w:t>
      </w:r>
    </w:p>
    <w:p w14:paraId="3884C783">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2)气温：量程：-40℃ － +80℃，分辨率：0.1℃，准确度：±1℃；</w:t>
      </w:r>
    </w:p>
    <w:p w14:paraId="1119B670">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3)湿度：量程：0－100%RH，分辨率：0.1%RH，准确度：±2％；</w:t>
      </w:r>
    </w:p>
    <w:p w14:paraId="7D150873">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4)气压：量程：150－1100hPa，分辨率：0.1hpa，准确度：±1 hPa；</w:t>
      </w:r>
    </w:p>
    <w:p w14:paraId="2A00F4BA">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5)风向：0 －359°（无死角），分辨率：1°，准确度：＜3°；</w:t>
      </w:r>
    </w:p>
    <w:p w14:paraId="047313CB">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6)风速：0 － 60m/s，分辨率：0.01 m/s，准确度：2%；</w:t>
      </w:r>
    </w:p>
    <w:p w14:paraId="6F658411">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 xml:space="preserve">7)雨量：0-200mm/hour，分辨率：0.1mm； </w:t>
      </w:r>
    </w:p>
    <w:p w14:paraId="0F9CECFC">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8)蒸发传感器：测量范围：0～1000mm，±0.5%（0～+50℃）分辨率：  0.1mm；</w:t>
      </w:r>
    </w:p>
    <w:p w14:paraId="573865B0">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9)负氧离子传感器：10-2000000／cm3空气流速：200CM3／秒 可测量正，负离子 线性速度：40CM／秒 离子显示：</w:t>
      </w:r>
    </w:p>
    <w:p w14:paraId="4909D8A7">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10)至少支持RS485接口,双线连接方式；</w:t>
      </w:r>
    </w:p>
    <w:p w14:paraId="236377A7">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b/>
          <w:bCs/>
          <w:sz w:val="24"/>
          <w:szCs w:val="36"/>
        </w:rPr>
      </w:pPr>
      <w:r>
        <w:rPr>
          <w:rFonts w:hint="eastAsia" w:ascii="Times New Roman" w:hAnsi="Times New Roman"/>
          <w:b/>
          <w:bCs/>
          <w:sz w:val="24"/>
          <w:szCs w:val="36"/>
        </w:rPr>
        <w:t>(</w:t>
      </w:r>
      <w:r>
        <w:rPr>
          <w:rFonts w:hint="eastAsia" w:ascii="Times New Roman" w:hAnsi="Times New Roman"/>
          <w:b/>
          <w:bCs/>
          <w:sz w:val="24"/>
          <w:szCs w:val="36"/>
          <w:lang w:val="en-US" w:eastAsia="zh-CN"/>
        </w:rPr>
        <w:t>2</w:t>
      </w:r>
      <w:r>
        <w:rPr>
          <w:rFonts w:hint="eastAsia" w:ascii="Times New Roman" w:hAnsi="Times New Roman"/>
          <w:b/>
          <w:bCs/>
          <w:sz w:val="24"/>
          <w:szCs w:val="36"/>
        </w:rPr>
        <w:t>)安装方式及要求</w:t>
      </w:r>
    </w:p>
    <w:p w14:paraId="31D5BFD6">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sz w:val="24"/>
          <w:szCs w:val="36"/>
        </w:rPr>
      </w:pPr>
      <w:r>
        <w:rPr>
          <w:rFonts w:hint="eastAsia" w:ascii="Times New Roman" w:hAnsi="Times New Roman"/>
          <w:sz w:val="24"/>
          <w:szCs w:val="36"/>
        </w:rPr>
        <w:t>本项目气象、空气环境在线监测终端采用立杆安装的方式。</w:t>
      </w:r>
    </w:p>
    <w:p w14:paraId="7389274C">
      <w:pPr>
        <w:keepNext w:val="0"/>
        <w:keepLines w:val="0"/>
        <w:pageBreakBefore w:val="0"/>
        <w:widowControl/>
        <w:kinsoku/>
        <w:wordWrap/>
        <w:overflowPunct/>
        <w:topLinePunct w:val="0"/>
        <w:autoSpaceDE/>
        <w:autoSpaceDN/>
        <w:bidi w:val="0"/>
        <w:adjustRightInd/>
        <w:snapToGrid/>
        <w:spacing w:line="360" w:lineRule="auto"/>
        <w:ind w:firstLine="480"/>
        <w:textAlignment w:val="auto"/>
        <w:rPr>
          <w:rFonts w:hint="eastAsia" w:ascii="Times New Roman" w:hAnsi="Times New Roman"/>
          <w:b/>
          <w:bCs/>
          <w:sz w:val="24"/>
          <w:szCs w:val="36"/>
        </w:rPr>
      </w:pPr>
      <w:r>
        <w:rPr>
          <w:rFonts w:hint="eastAsia" w:ascii="Times New Roman" w:hAnsi="Times New Roman"/>
          <w:b/>
          <w:bCs/>
          <w:sz w:val="24"/>
          <w:szCs w:val="36"/>
          <w:lang w:eastAsia="zh-CN"/>
        </w:rPr>
        <w:t>（</w:t>
      </w:r>
      <w:r>
        <w:rPr>
          <w:rFonts w:hint="eastAsia" w:ascii="Times New Roman" w:hAnsi="Times New Roman"/>
          <w:b/>
          <w:bCs/>
          <w:sz w:val="24"/>
          <w:szCs w:val="36"/>
          <w:lang w:val="en-US" w:eastAsia="zh-CN"/>
        </w:rPr>
        <w:t>3）</w:t>
      </w:r>
      <w:r>
        <w:rPr>
          <w:rFonts w:hint="eastAsia" w:ascii="Times New Roman" w:hAnsi="Times New Roman"/>
          <w:b/>
          <w:bCs/>
          <w:sz w:val="24"/>
          <w:szCs w:val="36"/>
        </w:rPr>
        <w:t xml:space="preserve">监测点位 </w:t>
      </w:r>
    </w:p>
    <w:p w14:paraId="050A147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b w:val="0"/>
          <w:bCs w:val="0"/>
          <w:sz w:val="24"/>
          <w:szCs w:val="24"/>
          <w:lang w:val="en-US" w:eastAsia="zh-CN"/>
        </w:rPr>
      </w:pPr>
      <w:r>
        <w:rPr>
          <w:rFonts w:hint="eastAsia"/>
          <w:sz w:val="24"/>
          <w:szCs w:val="24"/>
          <w:lang w:val="en-US" w:eastAsia="zh-CN"/>
        </w:rPr>
        <w:t>本次利用</w:t>
      </w:r>
      <w:r>
        <w:rPr>
          <w:rFonts w:hint="default"/>
          <w:b/>
          <w:bCs/>
          <w:sz w:val="24"/>
          <w:szCs w:val="24"/>
          <w:lang w:val="en-US" w:eastAsia="zh-CN"/>
        </w:rPr>
        <w:t>江东新区湿地智能化监测信息系统项目</w:t>
      </w:r>
      <w:r>
        <w:rPr>
          <w:rFonts w:hint="eastAsia"/>
          <w:sz w:val="24"/>
          <w:szCs w:val="24"/>
          <w:lang w:val="en-US" w:eastAsia="zh-CN"/>
        </w:rPr>
        <w:t>、</w:t>
      </w:r>
      <w:r>
        <w:rPr>
          <w:rFonts w:hint="eastAsia"/>
          <w:b/>
          <w:bCs/>
          <w:sz w:val="24"/>
          <w:szCs w:val="24"/>
          <w:lang w:val="en-US" w:eastAsia="zh-CN"/>
        </w:rPr>
        <w:t>海南海口五源河和美舍河国家湿地公园验收工作项目</w:t>
      </w:r>
      <w:r>
        <w:rPr>
          <w:rFonts w:hint="eastAsia"/>
          <w:b w:val="0"/>
          <w:bCs w:val="0"/>
          <w:sz w:val="24"/>
          <w:szCs w:val="24"/>
          <w:lang w:val="en-US" w:eastAsia="zh-CN"/>
        </w:rPr>
        <w:t>已建设的监测点位，并充分利用已建设的基础重新安装设备。</w:t>
      </w:r>
    </w:p>
    <w:p w14:paraId="2029A104">
      <w:pPr>
        <w:pStyle w:val="8"/>
        <w:jc w:val="center"/>
        <w:rPr>
          <w:rFonts w:hint="default" w:eastAsia="黑体"/>
          <w:lang w:val="en-US" w:eastAsia="zh-CN"/>
        </w:rPr>
      </w:pPr>
      <w:r>
        <w:t xml:space="preserve">表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表 \* ARABIC \s 1 </w:instrText>
      </w:r>
      <w:r>
        <w:fldChar w:fldCharType="separate"/>
      </w:r>
      <w:r>
        <w:t>2</w:t>
      </w:r>
      <w:r>
        <w:fldChar w:fldCharType="end"/>
      </w:r>
      <w:r>
        <w:rPr>
          <w:rFonts w:hint="eastAsia"/>
        </w:rPr>
        <w:t>微型水质自动监测站点</w:t>
      </w:r>
      <w:r>
        <w:rPr>
          <w:rFonts w:hint="eastAsia"/>
          <w:lang w:val="en-US" w:eastAsia="zh-CN"/>
        </w:rPr>
        <w:t>分布情况。</w:t>
      </w:r>
    </w:p>
    <w:tbl>
      <w:tblPr>
        <w:tblStyle w:val="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8"/>
        <w:gridCol w:w="1563"/>
        <w:gridCol w:w="815"/>
        <w:gridCol w:w="946"/>
        <w:gridCol w:w="1198"/>
        <w:gridCol w:w="2475"/>
        <w:gridCol w:w="1004"/>
      </w:tblGrid>
      <w:tr w14:paraId="491B7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04" w:type="pct"/>
            <w:noWrap w:val="0"/>
            <w:vAlign w:val="center"/>
          </w:tcPr>
          <w:p w14:paraId="4D07094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917" w:type="pct"/>
            <w:noWrap w:val="0"/>
            <w:vAlign w:val="center"/>
          </w:tcPr>
          <w:p w14:paraId="37ED64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位置</w:t>
            </w:r>
          </w:p>
        </w:tc>
        <w:tc>
          <w:tcPr>
            <w:tcW w:w="478" w:type="pct"/>
            <w:noWrap w:val="0"/>
            <w:vAlign w:val="center"/>
          </w:tcPr>
          <w:p w14:paraId="4C0972E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数量</w:t>
            </w:r>
          </w:p>
        </w:tc>
        <w:tc>
          <w:tcPr>
            <w:tcW w:w="555" w:type="pct"/>
            <w:noWrap w:val="0"/>
            <w:vAlign w:val="center"/>
          </w:tcPr>
          <w:p w14:paraId="6F5A94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sz w:val="21"/>
                <w:szCs w:val="21"/>
                <w:lang w:val="en-US" w:eastAsia="zh-CN"/>
              </w:rPr>
            </w:pPr>
            <w:r>
              <w:rPr>
                <w:rFonts w:hint="eastAsia" w:ascii="Times New Roman" w:hAnsi="Times New Roman" w:eastAsia="宋体" w:cs="Times New Roman"/>
                <w:b/>
                <w:sz w:val="21"/>
                <w:szCs w:val="21"/>
                <w:lang w:val="en-US" w:eastAsia="zh-CN"/>
              </w:rPr>
              <w:t>单位</w:t>
            </w:r>
          </w:p>
        </w:tc>
        <w:tc>
          <w:tcPr>
            <w:tcW w:w="703" w:type="pct"/>
            <w:noWrap w:val="0"/>
            <w:vAlign w:val="center"/>
          </w:tcPr>
          <w:p w14:paraId="231941D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所属范围</w:t>
            </w:r>
          </w:p>
        </w:tc>
        <w:tc>
          <w:tcPr>
            <w:tcW w:w="1452" w:type="pct"/>
            <w:noWrap w:val="0"/>
            <w:vAlign w:val="center"/>
          </w:tcPr>
          <w:p w14:paraId="59D853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坐标</w:t>
            </w:r>
          </w:p>
        </w:tc>
        <w:tc>
          <w:tcPr>
            <w:tcW w:w="589" w:type="pct"/>
            <w:noWrap w:val="0"/>
            <w:vAlign w:val="center"/>
          </w:tcPr>
          <w:p w14:paraId="1E4800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sz w:val="21"/>
                <w:szCs w:val="21"/>
                <w:lang w:val="en-US" w:eastAsia="zh-CN"/>
              </w:rPr>
            </w:pPr>
            <w:r>
              <w:rPr>
                <w:rFonts w:hint="default" w:ascii="Times New Roman" w:hAnsi="Times New Roman" w:eastAsia="宋体" w:cs="Times New Roman"/>
                <w:b/>
                <w:sz w:val="21"/>
                <w:szCs w:val="21"/>
                <w:lang w:val="en-US" w:eastAsia="zh-CN"/>
              </w:rPr>
              <w:t>备注</w:t>
            </w:r>
          </w:p>
        </w:tc>
      </w:tr>
      <w:tr w14:paraId="67784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2A1A6C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917" w:type="pct"/>
            <w:noWrap w:val="0"/>
            <w:vAlign w:val="center"/>
          </w:tcPr>
          <w:p w14:paraId="2273144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五源河上游</w:t>
            </w:r>
            <w:r>
              <w:rPr>
                <w:rFonts w:hint="default" w:ascii="Times New Roman" w:hAnsi="Times New Roman" w:eastAsia="宋体" w:cs="Times New Roman"/>
                <w:sz w:val="21"/>
                <w:szCs w:val="21"/>
                <w:lang w:val="en-US" w:eastAsia="zh-CN"/>
              </w:rPr>
              <w:t>监测点</w:t>
            </w:r>
          </w:p>
        </w:tc>
        <w:tc>
          <w:tcPr>
            <w:tcW w:w="478" w:type="pct"/>
            <w:noWrap w:val="0"/>
            <w:vAlign w:val="center"/>
          </w:tcPr>
          <w:p w14:paraId="2D340BF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457EB43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套</w:t>
            </w:r>
          </w:p>
        </w:tc>
        <w:tc>
          <w:tcPr>
            <w:tcW w:w="703" w:type="pct"/>
            <w:vMerge w:val="restart"/>
            <w:noWrap w:val="0"/>
            <w:vAlign w:val="center"/>
          </w:tcPr>
          <w:p w14:paraId="7353344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五源河国家湿地公园</w:t>
            </w:r>
          </w:p>
        </w:tc>
        <w:tc>
          <w:tcPr>
            <w:tcW w:w="1452" w:type="pct"/>
            <w:noWrap w:val="0"/>
            <w:vAlign w:val="center"/>
          </w:tcPr>
          <w:p w14:paraId="60E52D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kern w:val="0"/>
                <w:sz w:val="21"/>
                <w:szCs w:val="21"/>
              </w:rPr>
            </w:pPr>
            <w:r>
              <w:rPr>
                <w:rFonts w:ascii="Times New Roman" w:hAnsi="Times New Roman" w:cs="Times New Roman"/>
                <w:sz w:val="21"/>
                <w:szCs w:val="21"/>
              </w:rPr>
              <w:t>110.209E</w:t>
            </w:r>
            <w:r>
              <w:rPr>
                <w:rFonts w:hint="eastAsia" w:ascii="Times New Roman" w:hAnsi="Times New Roman" w:cs="Times New Roman"/>
                <w:sz w:val="21"/>
                <w:szCs w:val="21"/>
                <w:lang w:eastAsia="zh-CN"/>
              </w:rPr>
              <w:t>，</w:t>
            </w:r>
            <w:r>
              <w:rPr>
                <w:rFonts w:ascii="Times New Roman" w:hAnsi="Times New Roman" w:cs="Times New Roman"/>
                <w:sz w:val="21"/>
                <w:szCs w:val="21"/>
              </w:rPr>
              <w:t>20.051N</w:t>
            </w:r>
          </w:p>
        </w:tc>
        <w:tc>
          <w:tcPr>
            <w:tcW w:w="589" w:type="pct"/>
            <w:noWrap w:val="0"/>
            <w:vAlign w:val="center"/>
          </w:tcPr>
          <w:p w14:paraId="75A304B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77916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31C7FD5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917" w:type="pct"/>
            <w:noWrap w:val="0"/>
            <w:vAlign w:val="center"/>
          </w:tcPr>
          <w:p w14:paraId="36B464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五源河中游</w:t>
            </w:r>
            <w:r>
              <w:rPr>
                <w:rFonts w:hint="default" w:ascii="Times New Roman" w:hAnsi="Times New Roman" w:eastAsia="宋体" w:cs="Times New Roman"/>
                <w:sz w:val="21"/>
                <w:szCs w:val="21"/>
                <w:lang w:val="en-US" w:eastAsia="zh-CN"/>
              </w:rPr>
              <w:t>监测点</w:t>
            </w:r>
          </w:p>
        </w:tc>
        <w:tc>
          <w:tcPr>
            <w:tcW w:w="478" w:type="pct"/>
            <w:noWrap w:val="0"/>
            <w:vAlign w:val="center"/>
          </w:tcPr>
          <w:p w14:paraId="0711B5D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79D0AF4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7BE489D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14ECEC1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kern w:val="0"/>
                <w:sz w:val="21"/>
                <w:szCs w:val="21"/>
              </w:rPr>
            </w:pPr>
            <w:r>
              <w:rPr>
                <w:rFonts w:ascii="Times New Roman" w:hAnsi="Times New Roman" w:cs="Times New Roman"/>
                <w:sz w:val="21"/>
                <w:szCs w:val="21"/>
              </w:rPr>
              <w:t>110.230E</w:t>
            </w:r>
            <w:r>
              <w:rPr>
                <w:rFonts w:hint="eastAsia" w:ascii="Times New Roman" w:hAnsi="Times New Roman" w:cs="Times New Roman"/>
                <w:sz w:val="21"/>
                <w:szCs w:val="21"/>
                <w:lang w:eastAsia="zh-CN"/>
              </w:rPr>
              <w:t>，</w:t>
            </w:r>
            <w:r>
              <w:rPr>
                <w:rFonts w:ascii="Times New Roman" w:hAnsi="Times New Roman" w:cs="Times New Roman"/>
                <w:sz w:val="21"/>
                <w:szCs w:val="21"/>
              </w:rPr>
              <w:t>20.023N</w:t>
            </w:r>
          </w:p>
        </w:tc>
        <w:tc>
          <w:tcPr>
            <w:tcW w:w="589" w:type="pct"/>
            <w:noWrap w:val="0"/>
            <w:vAlign w:val="center"/>
          </w:tcPr>
          <w:p w14:paraId="6753FFB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79CA8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3B83786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917" w:type="pct"/>
            <w:noWrap w:val="0"/>
            <w:vAlign w:val="center"/>
          </w:tcPr>
          <w:p w14:paraId="19C819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五源河下游</w:t>
            </w:r>
            <w:r>
              <w:rPr>
                <w:rFonts w:hint="default" w:ascii="Times New Roman" w:hAnsi="Times New Roman" w:eastAsia="宋体" w:cs="Times New Roman"/>
                <w:sz w:val="21"/>
                <w:szCs w:val="21"/>
                <w:lang w:val="en-US" w:eastAsia="zh-CN"/>
              </w:rPr>
              <w:t>监测点</w:t>
            </w:r>
          </w:p>
        </w:tc>
        <w:tc>
          <w:tcPr>
            <w:tcW w:w="478" w:type="pct"/>
            <w:noWrap w:val="0"/>
            <w:vAlign w:val="center"/>
          </w:tcPr>
          <w:p w14:paraId="14A1EC8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0A10BCB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53BA4C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104868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kern w:val="0"/>
                <w:sz w:val="21"/>
                <w:szCs w:val="21"/>
              </w:rPr>
            </w:pPr>
            <w:r>
              <w:rPr>
                <w:rFonts w:ascii="Times New Roman" w:hAnsi="Times New Roman" w:cs="Times New Roman"/>
                <w:sz w:val="21"/>
                <w:szCs w:val="21"/>
              </w:rPr>
              <w:t>110.235E</w:t>
            </w:r>
            <w:r>
              <w:rPr>
                <w:rFonts w:hint="eastAsia" w:ascii="Times New Roman" w:hAnsi="Times New Roman" w:cs="Times New Roman"/>
                <w:sz w:val="21"/>
                <w:szCs w:val="21"/>
                <w:lang w:eastAsia="zh-CN"/>
              </w:rPr>
              <w:t>，</w:t>
            </w:r>
            <w:r>
              <w:rPr>
                <w:rFonts w:ascii="Times New Roman" w:hAnsi="Times New Roman" w:cs="Times New Roman"/>
                <w:sz w:val="21"/>
                <w:szCs w:val="21"/>
              </w:rPr>
              <w:t>20.004N</w:t>
            </w:r>
          </w:p>
        </w:tc>
        <w:tc>
          <w:tcPr>
            <w:tcW w:w="589" w:type="pct"/>
            <w:noWrap w:val="0"/>
            <w:vAlign w:val="center"/>
          </w:tcPr>
          <w:p w14:paraId="76BBFAB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5766A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2B803B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917" w:type="pct"/>
            <w:noWrap w:val="0"/>
            <w:vAlign w:val="center"/>
          </w:tcPr>
          <w:p w14:paraId="2E82ED2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美舍河</w:t>
            </w:r>
            <w:r>
              <w:rPr>
                <w:rFonts w:hint="default" w:ascii="Times New Roman" w:hAnsi="Times New Roman" w:eastAsia="宋体" w:cs="Times New Roman"/>
                <w:sz w:val="21"/>
                <w:szCs w:val="21"/>
                <w:lang w:val="en-US" w:eastAsia="zh-CN"/>
              </w:rPr>
              <w:t>上游监测点</w:t>
            </w:r>
          </w:p>
        </w:tc>
        <w:tc>
          <w:tcPr>
            <w:tcW w:w="478" w:type="pct"/>
            <w:noWrap w:val="0"/>
            <w:vAlign w:val="center"/>
          </w:tcPr>
          <w:p w14:paraId="33901F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327835B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restart"/>
            <w:noWrap w:val="0"/>
            <w:vAlign w:val="center"/>
          </w:tcPr>
          <w:p w14:paraId="3913198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美舍河国家湿地公园</w:t>
            </w:r>
          </w:p>
        </w:tc>
        <w:tc>
          <w:tcPr>
            <w:tcW w:w="1452" w:type="pct"/>
            <w:noWrap w:val="0"/>
            <w:vAlign w:val="center"/>
          </w:tcPr>
          <w:p w14:paraId="64D1443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ascii="Times New Roman" w:hAnsi="Times New Roman" w:cs="Times New Roman"/>
                <w:sz w:val="21"/>
                <w:szCs w:val="21"/>
              </w:rPr>
              <w:t>110.356E</w:t>
            </w:r>
            <w:r>
              <w:rPr>
                <w:rFonts w:hint="eastAsia" w:ascii="Times New Roman" w:hAnsi="Times New Roman" w:cs="Times New Roman"/>
                <w:sz w:val="21"/>
                <w:szCs w:val="21"/>
                <w:lang w:eastAsia="zh-CN"/>
              </w:rPr>
              <w:t>，</w:t>
            </w:r>
            <w:r>
              <w:rPr>
                <w:rFonts w:ascii="Times New Roman" w:hAnsi="Times New Roman" w:cs="Times New Roman"/>
                <w:sz w:val="21"/>
                <w:szCs w:val="21"/>
              </w:rPr>
              <w:t>20.045N</w:t>
            </w:r>
          </w:p>
        </w:tc>
        <w:tc>
          <w:tcPr>
            <w:tcW w:w="589" w:type="pct"/>
            <w:noWrap w:val="0"/>
            <w:vAlign w:val="center"/>
          </w:tcPr>
          <w:p w14:paraId="6AE08EF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73BFC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5EFE22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917" w:type="pct"/>
            <w:noWrap w:val="0"/>
            <w:vAlign w:val="center"/>
          </w:tcPr>
          <w:p w14:paraId="44F24B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美舍河</w:t>
            </w:r>
            <w:r>
              <w:rPr>
                <w:rFonts w:hint="default" w:ascii="Times New Roman" w:hAnsi="Times New Roman" w:eastAsia="宋体" w:cs="Times New Roman"/>
                <w:sz w:val="21"/>
                <w:szCs w:val="21"/>
                <w:lang w:val="en-US" w:eastAsia="zh-CN"/>
              </w:rPr>
              <w:t>中游监测点</w:t>
            </w:r>
          </w:p>
        </w:tc>
        <w:tc>
          <w:tcPr>
            <w:tcW w:w="478" w:type="pct"/>
            <w:noWrap w:val="0"/>
            <w:vAlign w:val="center"/>
          </w:tcPr>
          <w:p w14:paraId="473525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24600A8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038D2F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27F068A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ascii="Times New Roman" w:hAnsi="Times New Roman" w:cs="Times New Roman"/>
                <w:sz w:val="21"/>
                <w:szCs w:val="21"/>
              </w:rPr>
              <w:t>110.354E</w:t>
            </w:r>
            <w:r>
              <w:rPr>
                <w:rFonts w:hint="eastAsia" w:ascii="Times New Roman" w:hAnsi="Times New Roman" w:cs="Times New Roman"/>
                <w:sz w:val="21"/>
                <w:szCs w:val="21"/>
                <w:lang w:eastAsia="zh-CN"/>
              </w:rPr>
              <w:t>，</w:t>
            </w:r>
            <w:r>
              <w:rPr>
                <w:rFonts w:ascii="Times New Roman" w:hAnsi="Times New Roman" w:cs="Times New Roman"/>
                <w:sz w:val="21"/>
                <w:szCs w:val="21"/>
              </w:rPr>
              <w:t>19.980N</w:t>
            </w:r>
          </w:p>
        </w:tc>
        <w:tc>
          <w:tcPr>
            <w:tcW w:w="589" w:type="pct"/>
            <w:noWrap w:val="0"/>
            <w:vAlign w:val="center"/>
          </w:tcPr>
          <w:p w14:paraId="64517BF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354F0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18DD8B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917" w:type="pct"/>
            <w:noWrap w:val="0"/>
            <w:vAlign w:val="center"/>
          </w:tcPr>
          <w:p w14:paraId="4A161CB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美舍河</w:t>
            </w:r>
            <w:r>
              <w:rPr>
                <w:rFonts w:hint="default" w:ascii="Times New Roman" w:hAnsi="Times New Roman" w:eastAsia="宋体" w:cs="Times New Roman"/>
                <w:sz w:val="21"/>
                <w:szCs w:val="21"/>
                <w:lang w:val="en-US" w:eastAsia="zh-CN"/>
              </w:rPr>
              <w:t>下游监测点</w:t>
            </w:r>
          </w:p>
        </w:tc>
        <w:tc>
          <w:tcPr>
            <w:tcW w:w="478" w:type="pct"/>
            <w:noWrap w:val="0"/>
            <w:vAlign w:val="center"/>
          </w:tcPr>
          <w:p w14:paraId="61025EB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29BD0EC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76A8671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09AE4D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ascii="Times New Roman" w:hAnsi="Times New Roman" w:cs="Times New Roman"/>
                <w:sz w:val="21"/>
                <w:szCs w:val="21"/>
              </w:rPr>
              <w:t>110.329E</w:t>
            </w:r>
            <w:r>
              <w:rPr>
                <w:rFonts w:hint="eastAsia" w:ascii="Times New Roman" w:hAnsi="Times New Roman" w:cs="Times New Roman"/>
                <w:sz w:val="21"/>
                <w:szCs w:val="21"/>
                <w:lang w:eastAsia="zh-CN"/>
              </w:rPr>
              <w:t>，</w:t>
            </w:r>
            <w:r>
              <w:rPr>
                <w:rFonts w:ascii="Times New Roman" w:hAnsi="Times New Roman" w:cs="Times New Roman"/>
                <w:sz w:val="21"/>
                <w:szCs w:val="21"/>
              </w:rPr>
              <w:t>19.953N</w:t>
            </w:r>
          </w:p>
        </w:tc>
        <w:tc>
          <w:tcPr>
            <w:tcW w:w="589" w:type="pct"/>
            <w:noWrap w:val="0"/>
            <w:vAlign w:val="center"/>
          </w:tcPr>
          <w:p w14:paraId="46F2288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6C9C8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22D3E0C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w:t>
            </w:r>
          </w:p>
        </w:tc>
        <w:tc>
          <w:tcPr>
            <w:tcW w:w="917" w:type="pct"/>
            <w:shd w:val="clear" w:color="auto" w:fill="auto"/>
            <w:noWrap w:val="0"/>
            <w:vAlign w:val="center"/>
          </w:tcPr>
          <w:p w14:paraId="3680F9B4">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迈雅河监测点</w:t>
            </w:r>
          </w:p>
        </w:tc>
        <w:tc>
          <w:tcPr>
            <w:tcW w:w="478" w:type="pct"/>
            <w:shd w:val="clear" w:color="auto" w:fill="auto"/>
            <w:noWrap w:val="0"/>
            <w:vAlign w:val="center"/>
          </w:tcPr>
          <w:p w14:paraId="5395A6DE">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sz w:val="21"/>
                <w:szCs w:val="21"/>
              </w:rPr>
              <w:t>1</w:t>
            </w:r>
          </w:p>
        </w:tc>
        <w:tc>
          <w:tcPr>
            <w:tcW w:w="555" w:type="pct"/>
            <w:noWrap w:val="0"/>
            <w:vAlign w:val="center"/>
          </w:tcPr>
          <w:p w14:paraId="7FAA810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套</w:t>
            </w:r>
          </w:p>
        </w:tc>
        <w:tc>
          <w:tcPr>
            <w:tcW w:w="703" w:type="pct"/>
            <w:vMerge w:val="restart"/>
            <w:noWrap w:val="0"/>
            <w:vAlign w:val="center"/>
          </w:tcPr>
          <w:p w14:paraId="09C950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江东新区</w:t>
            </w:r>
          </w:p>
        </w:tc>
        <w:tc>
          <w:tcPr>
            <w:tcW w:w="1452" w:type="pct"/>
            <w:shd w:val="clear" w:color="auto" w:fill="auto"/>
            <w:noWrap w:val="0"/>
            <w:vAlign w:val="center"/>
          </w:tcPr>
          <w:p w14:paraId="1752F79E">
            <w:pPr>
              <w:pStyle w:val="11"/>
              <w:keepNext w:val="0"/>
              <w:keepLines w:val="0"/>
              <w:pageBreakBefore w:val="0"/>
              <w:widowControl w:val="0"/>
              <w:kinsoku/>
              <w:wordWrap/>
              <w:overflowPunct/>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110.438E，20.036N</w:t>
            </w:r>
          </w:p>
        </w:tc>
        <w:tc>
          <w:tcPr>
            <w:tcW w:w="589" w:type="pct"/>
            <w:noWrap w:val="0"/>
            <w:vAlign w:val="center"/>
          </w:tcPr>
          <w:p w14:paraId="7E449A3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377CD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5386036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w:t>
            </w:r>
          </w:p>
        </w:tc>
        <w:tc>
          <w:tcPr>
            <w:tcW w:w="917" w:type="pct"/>
            <w:shd w:val="clear" w:color="auto" w:fill="auto"/>
            <w:noWrap w:val="0"/>
            <w:vAlign w:val="center"/>
          </w:tcPr>
          <w:p w14:paraId="6ADBDBFF">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道孟河监测点</w:t>
            </w:r>
          </w:p>
        </w:tc>
        <w:tc>
          <w:tcPr>
            <w:tcW w:w="478" w:type="pct"/>
            <w:shd w:val="clear" w:color="auto" w:fill="auto"/>
            <w:noWrap w:val="0"/>
            <w:vAlign w:val="center"/>
          </w:tcPr>
          <w:p w14:paraId="0B17321E">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sz w:val="21"/>
                <w:szCs w:val="21"/>
              </w:rPr>
              <w:t>1</w:t>
            </w:r>
          </w:p>
        </w:tc>
        <w:tc>
          <w:tcPr>
            <w:tcW w:w="555" w:type="pct"/>
            <w:noWrap w:val="0"/>
            <w:vAlign w:val="center"/>
          </w:tcPr>
          <w:p w14:paraId="32F575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1DC4587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shd w:val="clear" w:color="auto" w:fill="auto"/>
            <w:noWrap w:val="0"/>
            <w:vAlign w:val="center"/>
          </w:tcPr>
          <w:p w14:paraId="6E108611">
            <w:pPr>
              <w:pStyle w:val="11"/>
              <w:keepNext w:val="0"/>
              <w:keepLines w:val="0"/>
              <w:pageBreakBefore w:val="0"/>
              <w:widowControl w:val="0"/>
              <w:kinsoku/>
              <w:wordWrap/>
              <w:overflowPunct/>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110.460E，20.031N</w:t>
            </w:r>
          </w:p>
        </w:tc>
        <w:tc>
          <w:tcPr>
            <w:tcW w:w="589" w:type="pct"/>
            <w:noWrap w:val="0"/>
            <w:vAlign w:val="center"/>
          </w:tcPr>
          <w:p w14:paraId="7A0738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4C6D4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06D505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w:t>
            </w:r>
          </w:p>
        </w:tc>
        <w:tc>
          <w:tcPr>
            <w:tcW w:w="917" w:type="pct"/>
            <w:shd w:val="clear" w:color="auto" w:fill="auto"/>
            <w:noWrap w:val="0"/>
            <w:vAlign w:val="center"/>
          </w:tcPr>
          <w:p w14:paraId="52935F9B">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芙蓉河监测点</w:t>
            </w:r>
          </w:p>
        </w:tc>
        <w:tc>
          <w:tcPr>
            <w:tcW w:w="478" w:type="pct"/>
            <w:shd w:val="clear" w:color="auto" w:fill="auto"/>
            <w:noWrap w:val="0"/>
            <w:vAlign w:val="center"/>
          </w:tcPr>
          <w:p w14:paraId="3A3B4A3D">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sz w:val="21"/>
                <w:szCs w:val="21"/>
              </w:rPr>
              <w:t>1</w:t>
            </w:r>
          </w:p>
        </w:tc>
        <w:tc>
          <w:tcPr>
            <w:tcW w:w="555" w:type="pct"/>
            <w:noWrap w:val="0"/>
            <w:vAlign w:val="center"/>
          </w:tcPr>
          <w:p w14:paraId="0309E6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67C4697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shd w:val="clear" w:color="auto" w:fill="auto"/>
            <w:noWrap w:val="0"/>
            <w:vAlign w:val="center"/>
          </w:tcPr>
          <w:p w14:paraId="7FF50E65">
            <w:pPr>
              <w:pStyle w:val="11"/>
              <w:keepNext w:val="0"/>
              <w:keepLines w:val="0"/>
              <w:pageBreakBefore w:val="0"/>
              <w:widowControl w:val="0"/>
              <w:kinsoku/>
              <w:wordWrap/>
              <w:overflowPunct/>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110.487E，20.022N</w:t>
            </w:r>
          </w:p>
        </w:tc>
        <w:tc>
          <w:tcPr>
            <w:tcW w:w="589" w:type="pct"/>
            <w:noWrap w:val="0"/>
            <w:vAlign w:val="center"/>
          </w:tcPr>
          <w:p w14:paraId="380412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7D8B8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3C5BA8C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w:t>
            </w:r>
          </w:p>
        </w:tc>
        <w:tc>
          <w:tcPr>
            <w:tcW w:w="917" w:type="pct"/>
            <w:shd w:val="clear" w:color="auto" w:fill="auto"/>
            <w:noWrap w:val="0"/>
            <w:vAlign w:val="center"/>
          </w:tcPr>
          <w:p w14:paraId="6A78B781">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下塘水鸟监测点</w:t>
            </w:r>
          </w:p>
        </w:tc>
        <w:tc>
          <w:tcPr>
            <w:tcW w:w="478" w:type="pct"/>
            <w:shd w:val="clear" w:color="auto" w:fill="auto"/>
            <w:noWrap w:val="0"/>
            <w:vAlign w:val="center"/>
          </w:tcPr>
          <w:p w14:paraId="384EF982">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sz w:val="21"/>
                <w:szCs w:val="21"/>
              </w:rPr>
              <w:t>1</w:t>
            </w:r>
          </w:p>
        </w:tc>
        <w:tc>
          <w:tcPr>
            <w:tcW w:w="555" w:type="pct"/>
            <w:noWrap w:val="0"/>
            <w:vAlign w:val="center"/>
          </w:tcPr>
          <w:p w14:paraId="7F27B5B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52D7DD8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shd w:val="clear" w:color="auto" w:fill="auto"/>
            <w:noWrap w:val="0"/>
            <w:vAlign w:val="center"/>
          </w:tcPr>
          <w:p w14:paraId="34F0DAFA">
            <w:pPr>
              <w:pStyle w:val="11"/>
              <w:keepNext w:val="0"/>
              <w:keepLines w:val="0"/>
              <w:pageBreakBefore w:val="0"/>
              <w:widowControl w:val="0"/>
              <w:kinsoku/>
              <w:wordWrap/>
              <w:overflowPunct/>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110.583E，19.959N</w:t>
            </w:r>
          </w:p>
        </w:tc>
        <w:tc>
          <w:tcPr>
            <w:tcW w:w="589" w:type="pct"/>
            <w:noWrap w:val="0"/>
            <w:vAlign w:val="center"/>
          </w:tcPr>
          <w:p w14:paraId="1080B7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7DFA3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2A49766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w:t>
            </w:r>
          </w:p>
        </w:tc>
        <w:tc>
          <w:tcPr>
            <w:tcW w:w="917" w:type="pct"/>
            <w:shd w:val="clear" w:color="auto" w:fill="auto"/>
            <w:noWrap w:val="0"/>
            <w:vAlign w:val="center"/>
          </w:tcPr>
          <w:p w14:paraId="7C079B34">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罗豆监测点</w:t>
            </w:r>
          </w:p>
        </w:tc>
        <w:tc>
          <w:tcPr>
            <w:tcW w:w="478" w:type="pct"/>
            <w:shd w:val="clear" w:color="auto" w:fill="auto"/>
            <w:noWrap w:val="0"/>
            <w:vAlign w:val="center"/>
          </w:tcPr>
          <w:p w14:paraId="05F295A6">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sz w:val="21"/>
                <w:szCs w:val="21"/>
              </w:rPr>
              <w:t>1</w:t>
            </w:r>
          </w:p>
        </w:tc>
        <w:tc>
          <w:tcPr>
            <w:tcW w:w="555" w:type="pct"/>
            <w:noWrap w:val="0"/>
            <w:vAlign w:val="center"/>
          </w:tcPr>
          <w:p w14:paraId="5837745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20F6474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shd w:val="clear" w:color="auto" w:fill="auto"/>
            <w:noWrap w:val="0"/>
            <w:vAlign w:val="center"/>
          </w:tcPr>
          <w:p w14:paraId="606B1A82">
            <w:pPr>
              <w:pStyle w:val="11"/>
              <w:keepNext w:val="0"/>
              <w:keepLines w:val="0"/>
              <w:pageBreakBefore w:val="0"/>
              <w:widowControl w:val="0"/>
              <w:kinsoku/>
              <w:wordWrap/>
              <w:overflowPunct/>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110.627E，19.961 N</w:t>
            </w:r>
          </w:p>
        </w:tc>
        <w:tc>
          <w:tcPr>
            <w:tcW w:w="589" w:type="pct"/>
            <w:noWrap w:val="0"/>
            <w:vAlign w:val="center"/>
          </w:tcPr>
          <w:p w14:paraId="5EC0F34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2F737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1C35324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w:t>
            </w:r>
          </w:p>
        </w:tc>
        <w:tc>
          <w:tcPr>
            <w:tcW w:w="917" w:type="pct"/>
            <w:shd w:val="clear" w:color="auto" w:fill="auto"/>
            <w:noWrap w:val="0"/>
            <w:vAlign w:val="center"/>
          </w:tcPr>
          <w:p w14:paraId="029DA361">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林市村监测点</w:t>
            </w:r>
          </w:p>
        </w:tc>
        <w:tc>
          <w:tcPr>
            <w:tcW w:w="478" w:type="pct"/>
            <w:shd w:val="clear" w:color="auto" w:fill="auto"/>
            <w:noWrap w:val="0"/>
            <w:vAlign w:val="center"/>
          </w:tcPr>
          <w:p w14:paraId="13AD4A54">
            <w:pPr>
              <w:pStyle w:val="11"/>
              <w:ind w:firstLine="0" w:firstLineChars="0"/>
              <w:contextualSpacing/>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sz w:val="21"/>
                <w:szCs w:val="21"/>
              </w:rPr>
              <w:t>1</w:t>
            </w:r>
          </w:p>
        </w:tc>
        <w:tc>
          <w:tcPr>
            <w:tcW w:w="555" w:type="pct"/>
            <w:noWrap w:val="0"/>
            <w:vAlign w:val="center"/>
          </w:tcPr>
          <w:p w14:paraId="75D6797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1EC7EF3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shd w:val="clear" w:color="auto" w:fill="auto"/>
            <w:noWrap w:val="0"/>
            <w:vAlign w:val="center"/>
          </w:tcPr>
          <w:p w14:paraId="50007407">
            <w:pPr>
              <w:pStyle w:val="11"/>
              <w:keepNext w:val="0"/>
              <w:keepLines w:val="0"/>
              <w:pageBreakBefore w:val="0"/>
              <w:widowControl w:val="0"/>
              <w:kinsoku/>
              <w:wordWrap/>
              <w:overflowPunct/>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000000"/>
                <w:kern w:val="0"/>
                <w:sz w:val="21"/>
                <w:szCs w:val="21"/>
              </w:rPr>
              <w:t>110.571E，19.991N</w:t>
            </w:r>
          </w:p>
        </w:tc>
        <w:tc>
          <w:tcPr>
            <w:tcW w:w="589" w:type="pct"/>
            <w:noWrap w:val="0"/>
            <w:vAlign w:val="center"/>
          </w:tcPr>
          <w:p w14:paraId="5C9ECBF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0E81A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7237BEA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w:t>
            </w:r>
          </w:p>
        </w:tc>
        <w:tc>
          <w:tcPr>
            <w:tcW w:w="917" w:type="pct"/>
            <w:shd w:val="clear" w:color="auto" w:fill="auto"/>
            <w:noWrap w:val="0"/>
            <w:vAlign w:val="center"/>
          </w:tcPr>
          <w:p w14:paraId="3FEF5491">
            <w:pPr>
              <w:pStyle w:val="11"/>
              <w:ind w:firstLine="0" w:firstLineChars="0"/>
              <w:contextualSpacing/>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溪头码头</w:t>
            </w:r>
            <w:r>
              <w:rPr>
                <w:rFonts w:hint="default" w:ascii="Times New Roman" w:hAnsi="Times New Roman" w:eastAsia="宋体" w:cs="Times New Roman"/>
                <w:color w:val="000000"/>
                <w:kern w:val="0"/>
                <w:sz w:val="21"/>
                <w:szCs w:val="21"/>
              </w:rPr>
              <w:t>监测点</w:t>
            </w:r>
          </w:p>
        </w:tc>
        <w:tc>
          <w:tcPr>
            <w:tcW w:w="478" w:type="pct"/>
            <w:shd w:val="clear" w:color="auto" w:fill="auto"/>
            <w:noWrap w:val="0"/>
            <w:vAlign w:val="center"/>
          </w:tcPr>
          <w:p w14:paraId="6C89D6C5">
            <w:pPr>
              <w:pStyle w:val="11"/>
              <w:ind w:firstLine="0" w:firstLineChars="0"/>
              <w:contextualSpacing/>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sz w:val="21"/>
                <w:szCs w:val="21"/>
              </w:rPr>
              <w:t>1</w:t>
            </w:r>
          </w:p>
        </w:tc>
        <w:tc>
          <w:tcPr>
            <w:tcW w:w="555" w:type="pct"/>
            <w:noWrap w:val="0"/>
            <w:vAlign w:val="center"/>
          </w:tcPr>
          <w:p w14:paraId="3D8171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595FE1A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shd w:val="clear" w:color="auto" w:fill="auto"/>
            <w:noWrap w:val="0"/>
            <w:vAlign w:val="center"/>
          </w:tcPr>
          <w:p w14:paraId="65B54EF9">
            <w:pPr>
              <w:pStyle w:val="11"/>
              <w:keepNext w:val="0"/>
              <w:keepLines w:val="0"/>
              <w:pageBreakBefore w:val="0"/>
              <w:widowControl w:val="0"/>
              <w:kinsoku/>
              <w:wordWrap/>
              <w:overflowPunct/>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110.602E，19.904N</w:t>
            </w:r>
          </w:p>
        </w:tc>
        <w:tc>
          <w:tcPr>
            <w:tcW w:w="589" w:type="pct"/>
            <w:noWrap w:val="0"/>
            <w:vAlign w:val="center"/>
          </w:tcPr>
          <w:p w14:paraId="506D8A0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564C6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04" w:type="pct"/>
            <w:noWrap w:val="0"/>
            <w:vAlign w:val="center"/>
          </w:tcPr>
          <w:p w14:paraId="18C8C6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w:t>
            </w:r>
          </w:p>
        </w:tc>
        <w:tc>
          <w:tcPr>
            <w:tcW w:w="917" w:type="pct"/>
            <w:noWrap w:val="0"/>
            <w:vAlign w:val="center"/>
          </w:tcPr>
          <w:p w14:paraId="2164BAC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塔市监测点</w:t>
            </w:r>
          </w:p>
        </w:tc>
        <w:tc>
          <w:tcPr>
            <w:tcW w:w="478" w:type="pct"/>
            <w:noWrap w:val="0"/>
            <w:vAlign w:val="center"/>
          </w:tcPr>
          <w:p w14:paraId="630C148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10CDF0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3E0BAB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4D19DAB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rPr>
              <w:t>110.541</w:t>
            </w:r>
            <w:r>
              <w:rPr>
                <w:rFonts w:hint="eastAsia" w:ascii="Times New Roman" w:hAnsi="Times New Roman" w:eastAsia="宋体" w:cs="Times New Roman"/>
                <w:color w:val="000000"/>
                <w:kern w:val="0"/>
                <w:sz w:val="21"/>
                <w:szCs w:val="21"/>
                <w:lang w:val="en-US" w:eastAsia="zh-CN"/>
              </w:rPr>
              <w:t>E</w:t>
            </w:r>
            <w:r>
              <w:rPr>
                <w:rFonts w:hint="eastAsia" w:ascii="Times New Roman" w:hAnsi="Times New Roman" w:eastAsia="宋体" w:cs="Times New Roman"/>
                <w:color w:val="000000"/>
                <w:kern w:val="0"/>
                <w:sz w:val="21"/>
                <w:szCs w:val="21"/>
                <w:lang w:eastAsia="zh-CN"/>
              </w:rPr>
              <w:t>，20.006</w:t>
            </w:r>
            <w:r>
              <w:rPr>
                <w:rFonts w:hint="eastAsia" w:ascii="Times New Roman" w:hAnsi="Times New Roman" w:eastAsia="宋体" w:cs="Times New Roman"/>
                <w:color w:val="000000"/>
                <w:kern w:val="0"/>
                <w:sz w:val="21"/>
                <w:szCs w:val="21"/>
                <w:lang w:val="en-US" w:eastAsia="zh-CN"/>
              </w:rPr>
              <w:t>N</w:t>
            </w:r>
          </w:p>
        </w:tc>
        <w:tc>
          <w:tcPr>
            <w:tcW w:w="589" w:type="pct"/>
            <w:noWrap w:val="0"/>
            <w:vAlign w:val="center"/>
          </w:tcPr>
          <w:p w14:paraId="2D1935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6242A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04C914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15</w:t>
            </w:r>
          </w:p>
        </w:tc>
        <w:tc>
          <w:tcPr>
            <w:tcW w:w="917" w:type="pct"/>
            <w:noWrap w:val="0"/>
            <w:vAlign w:val="center"/>
          </w:tcPr>
          <w:p w14:paraId="334B53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潭览河监测点</w:t>
            </w:r>
          </w:p>
        </w:tc>
        <w:tc>
          <w:tcPr>
            <w:tcW w:w="478" w:type="pct"/>
            <w:noWrap w:val="0"/>
            <w:vAlign w:val="center"/>
          </w:tcPr>
          <w:p w14:paraId="591414F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1579B9F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5E9438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50732F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rPr>
              <w:t>110.389</w:t>
            </w:r>
            <w:r>
              <w:rPr>
                <w:rFonts w:hint="eastAsia" w:ascii="Times New Roman" w:hAnsi="Times New Roman" w:eastAsia="宋体" w:cs="Times New Roman"/>
                <w:color w:val="000000"/>
                <w:kern w:val="0"/>
                <w:sz w:val="21"/>
                <w:szCs w:val="21"/>
                <w:lang w:val="en-US" w:eastAsia="zh-CN"/>
              </w:rPr>
              <w:t>E</w:t>
            </w:r>
            <w:r>
              <w:rPr>
                <w:rFonts w:hint="eastAsia" w:ascii="Times New Roman" w:hAnsi="Times New Roman" w:eastAsia="宋体" w:cs="Times New Roman"/>
                <w:color w:val="000000"/>
                <w:kern w:val="0"/>
                <w:sz w:val="21"/>
                <w:szCs w:val="21"/>
                <w:lang w:eastAsia="zh-CN"/>
              </w:rPr>
              <w:t>，20.071</w:t>
            </w:r>
            <w:r>
              <w:rPr>
                <w:rFonts w:hint="eastAsia" w:ascii="Times New Roman" w:hAnsi="Times New Roman" w:eastAsia="宋体" w:cs="Times New Roman"/>
                <w:color w:val="000000"/>
                <w:kern w:val="0"/>
                <w:sz w:val="21"/>
                <w:szCs w:val="21"/>
                <w:lang w:val="en-US" w:eastAsia="zh-CN"/>
              </w:rPr>
              <w:t>N</w:t>
            </w:r>
          </w:p>
        </w:tc>
        <w:tc>
          <w:tcPr>
            <w:tcW w:w="589" w:type="pct"/>
            <w:noWrap w:val="0"/>
            <w:vAlign w:val="center"/>
          </w:tcPr>
          <w:p w14:paraId="235552F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44A83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4AE9E1C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16</w:t>
            </w:r>
          </w:p>
        </w:tc>
        <w:tc>
          <w:tcPr>
            <w:tcW w:w="917" w:type="pct"/>
            <w:noWrap w:val="0"/>
            <w:vAlign w:val="center"/>
          </w:tcPr>
          <w:p w14:paraId="693D9A7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道学监测点</w:t>
            </w:r>
          </w:p>
        </w:tc>
        <w:tc>
          <w:tcPr>
            <w:tcW w:w="478" w:type="pct"/>
            <w:noWrap w:val="0"/>
            <w:vAlign w:val="center"/>
          </w:tcPr>
          <w:p w14:paraId="3C656C3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22BAE91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6F361DA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7A9FA86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kern w:val="0"/>
                <w:sz w:val="21"/>
                <w:szCs w:val="21"/>
                <w:lang w:eastAsia="zh-CN"/>
              </w:rPr>
            </w:pPr>
            <w:r>
              <w:rPr>
                <w:rFonts w:hint="default" w:ascii="Times New Roman" w:hAnsi="Times New Roman" w:eastAsia="宋体" w:cs="Times New Roman"/>
                <w:color w:val="000000"/>
                <w:kern w:val="0"/>
                <w:sz w:val="21"/>
                <w:szCs w:val="21"/>
              </w:rPr>
              <w:t>110.6</w:t>
            </w:r>
            <w:r>
              <w:rPr>
                <w:rFonts w:hint="eastAsia" w:ascii="Times New Roman" w:hAnsi="Times New Roman" w:eastAsia="宋体" w:cs="Times New Roman"/>
                <w:color w:val="000000"/>
                <w:kern w:val="0"/>
                <w:sz w:val="21"/>
                <w:szCs w:val="21"/>
                <w:lang w:val="en-US" w:eastAsia="zh-CN"/>
              </w:rPr>
              <w:t>05</w:t>
            </w:r>
            <w:r>
              <w:rPr>
                <w:rFonts w:hint="default" w:ascii="Times New Roman" w:hAnsi="Times New Roman" w:eastAsia="宋体" w:cs="Times New Roman"/>
                <w:color w:val="000000"/>
                <w:kern w:val="0"/>
                <w:sz w:val="21"/>
                <w:szCs w:val="21"/>
              </w:rPr>
              <w:t>E</w:t>
            </w:r>
            <w:r>
              <w:rPr>
                <w:rFonts w:hint="eastAsia" w:ascii="Times New Roman" w:hAnsi="Times New Roman" w:eastAsia="宋体" w:cs="Times New Roman"/>
                <w:color w:val="000000"/>
                <w:kern w:val="0"/>
                <w:sz w:val="21"/>
                <w:szCs w:val="21"/>
                <w:lang w:eastAsia="zh-CN"/>
              </w:rPr>
              <w:t>，</w:t>
            </w:r>
            <w:r>
              <w:rPr>
                <w:rFonts w:hint="default" w:ascii="Times New Roman" w:hAnsi="Times New Roman" w:eastAsia="宋体" w:cs="Times New Roman"/>
                <w:kern w:val="0"/>
                <w:sz w:val="21"/>
                <w:szCs w:val="21"/>
              </w:rPr>
              <w:t>19.9</w:t>
            </w:r>
            <w:r>
              <w:rPr>
                <w:rFonts w:hint="eastAsia" w:ascii="Times New Roman" w:hAnsi="Times New Roman" w:eastAsia="宋体" w:cs="Times New Roman"/>
                <w:kern w:val="0"/>
                <w:sz w:val="21"/>
                <w:szCs w:val="21"/>
                <w:lang w:val="en-US" w:eastAsia="zh-CN"/>
              </w:rPr>
              <w:t>29</w:t>
            </w:r>
            <w:r>
              <w:rPr>
                <w:rFonts w:hint="default" w:ascii="Times New Roman" w:hAnsi="Times New Roman" w:eastAsia="宋体" w:cs="Times New Roman"/>
                <w:kern w:val="0"/>
                <w:sz w:val="21"/>
                <w:szCs w:val="21"/>
              </w:rPr>
              <w:t>N</w:t>
            </w:r>
          </w:p>
        </w:tc>
        <w:tc>
          <w:tcPr>
            <w:tcW w:w="589" w:type="pct"/>
            <w:noWrap w:val="0"/>
            <w:vAlign w:val="center"/>
          </w:tcPr>
          <w:p w14:paraId="324BDAB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58EAD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61C458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17</w:t>
            </w:r>
          </w:p>
        </w:tc>
        <w:tc>
          <w:tcPr>
            <w:tcW w:w="917" w:type="pct"/>
            <w:noWrap w:val="0"/>
            <w:vAlign w:val="center"/>
          </w:tcPr>
          <w:p w14:paraId="78CD75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南洋水库监测点</w:t>
            </w:r>
          </w:p>
        </w:tc>
        <w:tc>
          <w:tcPr>
            <w:tcW w:w="478" w:type="pct"/>
            <w:noWrap w:val="0"/>
            <w:vAlign w:val="center"/>
          </w:tcPr>
          <w:p w14:paraId="62DE8F3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2DB43C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035C78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619031D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rPr>
              <w:t>110.659</w:t>
            </w:r>
            <w:r>
              <w:rPr>
                <w:rFonts w:hint="eastAsia" w:ascii="Times New Roman" w:hAnsi="Times New Roman" w:eastAsia="宋体" w:cs="Times New Roman"/>
                <w:color w:val="000000"/>
                <w:kern w:val="0"/>
                <w:sz w:val="21"/>
                <w:szCs w:val="21"/>
                <w:lang w:val="en-US" w:eastAsia="zh-CN"/>
              </w:rPr>
              <w:t>E</w:t>
            </w:r>
            <w:r>
              <w:rPr>
                <w:rFonts w:hint="eastAsia" w:ascii="Times New Roman" w:hAnsi="Times New Roman" w:eastAsia="宋体" w:cs="Times New Roman"/>
                <w:color w:val="000000"/>
                <w:kern w:val="0"/>
                <w:sz w:val="21"/>
                <w:szCs w:val="21"/>
                <w:lang w:eastAsia="zh-CN"/>
              </w:rPr>
              <w:t>，19.893</w:t>
            </w:r>
            <w:r>
              <w:rPr>
                <w:rFonts w:hint="eastAsia" w:ascii="Times New Roman" w:hAnsi="Times New Roman" w:eastAsia="宋体" w:cs="Times New Roman"/>
                <w:color w:val="000000"/>
                <w:kern w:val="0"/>
                <w:sz w:val="21"/>
                <w:szCs w:val="21"/>
                <w:lang w:val="en-US" w:eastAsia="zh-CN"/>
              </w:rPr>
              <w:t>N</w:t>
            </w:r>
          </w:p>
        </w:tc>
        <w:tc>
          <w:tcPr>
            <w:tcW w:w="589" w:type="pct"/>
            <w:noWrap w:val="0"/>
            <w:vAlign w:val="center"/>
          </w:tcPr>
          <w:p w14:paraId="7B6EF4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7ACD6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39C6F50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w:t>
            </w:r>
          </w:p>
        </w:tc>
        <w:tc>
          <w:tcPr>
            <w:tcW w:w="917" w:type="pct"/>
            <w:noWrap w:val="0"/>
            <w:vAlign w:val="center"/>
          </w:tcPr>
          <w:p w14:paraId="011312C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宋体" w:hAnsi="宋体" w:eastAsia="宋体" w:cs="宋体"/>
                <w:b w:val="0"/>
                <w:bCs w:val="0"/>
                <w:i w:val="0"/>
                <w:iCs w:val="0"/>
                <w:color w:val="000000"/>
                <w:kern w:val="0"/>
                <w:sz w:val="21"/>
                <w:szCs w:val="21"/>
                <w:u w:val="none"/>
                <w:lang w:val="en-US" w:eastAsia="zh-CN" w:bidi="ar"/>
              </w:rPr>
              <w:t>三江大坝监测点</w:t>
            </w:r>
          </w:p>
        </w:tc>
        <w:tc>
          <w:tcPr>
            <w:tcW w:w="478" w:type="pct"/>
            <w:noWrap w:val="0"/>
            <w:vAlign w:val="center"/>
          </w:tcPr>
          <w:p w14:paraId="1E85874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1052658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3B06E26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72BE434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rPr>
              <w:t>110.619</w:t>
            </w:r>
            <w:r>
              <w:rPr>
                <w:rFonts w:hint="eastAsia" w:ascii="Times New Roman" w:hAnsi="Times New Roman" w:eastAsia="宋体" w:cs="Times New Roman"/>
                <w:color w:val="000000"/>
                <w:kern w:val="0"/>
                <w:sz w:val="21"/>
                <w:szCs w:val="21"/>
                <w:lang w:val="en-US" w:eastAsia="zh-CN"/>
              </w:rPr>
              <w:t>E</w:t>
            </w:r>
            <w:r>
              <w:rPr>
                <w:rFonts w:hint="eastAsia" w:ascii="Times New Roman" w:hAnsi="Times New Roman" w:eastAsia="宋体" w:cs="Times New Roman"/>
                <w:color w:val="000000"/>
                <w:kern w:val="0"/>
                <w:sz w:val="21"/>
                <w:szCs w:val="21"/>
                <w:lang w:eastAsia="zh-CN"/>
              </w:rPr>
              <w:t>，19.919</w:t>
            </w:r>
            <w:r>
              <w:rPr>
                <w:rFonts w:hint="eastAsia" w:ascii="Times New Roman" w:hAnsi="Times New Roman" w:eastAsia="宋体" w:cs="Times New Roman"/>
                <w:color w:val="000000"/>
                <w:kern w:val="0"/>
                <w:sz w:val="21"/>
                <w:szCs w:val="21"/>
                <w:lang w:val="en-US" w:eastAsia="zh-CN"/>
              </w:rPr>
              <w:t>N</w:t>
            </w:r>
          </w:p>
        </w:tc>
        <w:tc>
          <w:tcPr>
            <w:tcW w:w="589" w:type="pct"/>
            <w:noWrap w:val="0"/>
            <w:vAlign w:val="center"/>
          </w:tcPr>
          <w:p w14:paraId="0ED116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r w14:paraId="65355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4" w:type="pct"/>
            <w:noWrap w:val="0"/>
            <w:vAlign w:val="center"/>
          </w:tcPr>
          <w:p w14:paraId="41756C0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19</w:t>
            </w:r>
          </w:p>
        </w:tc>
        <w:tc>
          <w:tcPr>
            <w:tcW w:w="917" w:type="pct"/>
            <w:noWrap w:val="0"/>
            <w:vAlign w:val="center"/>
          </w:tcPr>
          <w:p w14:paraId="2A72D1D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管理局监测点</w:t>
            </w:r>
          </w:p>
        </w:tc>
        <w:tc>
          <w:tcPr>
            <w:tcW w:w="478" w:type="pct"/>
            <w:noWrap w:val="0"/>
            <w:vAlign w:val="center"/>
          </w:tcPr>
          <w:p w14:paraId="157D43A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555" w:type="pct"/>
            <w:noWrap w:val="0"/>
            <w:vAlign w:val="center"/>
          </w:tcPr>
          <w:p w14:paraId="635B342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套</w:t>
            </w:r>
          </w:p>
        </w:tc>
        <w:tc>
          <w:tcPr>
            <w:tcW w:w="703" w:type="pct"/>
            <w:vMerge w:val="continue"/>
            <w:noWrap w:val="0"/>
            <w:vAlign w:val="center"/>
          </w:tcPr>
          <w:p w14:paraId="0D1A9F1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1452" w:type="pct"/>
            <w:noWrap w:val="0"/>
            <w:vAlign w:val="center"/>
          </w:tcPr>
          <w:p w14:paraId="0F5E3C6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rPr>
              <w:t>110.581</w:t>
            </w:r>
            <w:r>
              <w:rPr>
                <w:rFonts w:hint="eastAsia" w:ascii="Times New Roman" w:hAnsi="Times New Roman" w:eastAsia="宋体" w:cs="Times New Roman"/>
                <w:color w:val="000000"/>
                <w:kern w:val="0"/>
                <w:sz w:val="21"/>
                <w:szCs w:val="21"/>
                <w:lang w:val="en-US" w:eastAsia="zh-CN"/>
              </w:rPr>
              <w:t>E</w:t>
            </w:r>
            <w:r>
              <w:rPr>
                <w:rFonts w:hint="eastAsia" w:ascii="Times New Roman" w:hAnsi="Times New Roman" w:eastAsia="宋体" w:cs="Times New Roman"/>
                <w:color w:val="000000"/>
                <w:kern w:val="0"/>
                <w:sz w:val="21"/>
                <w:szCs w:val="21"/>
                <w:lang w:eastAsia="zh-CN"/>
              </w:rPr>
              <w:t>，19.950</w:t>
            </w:r>
            <w:r>
              <w:rPr>
                <w:rFonts w:hint="eastAsia" w:ascii="Times New Roman" w:hAnsi="Times New Roman" w:eastAsia="宋体" w:cs="Times New Roman"/>
                <w:color w:val="000000"/>
                <w:kern w:val="0"/>
                <w:sz w:val="21"/>
                <w:szCs w:val="21"/>
                <w:lang w:val="en-US" w:eastAsia="zh-CN"/>
              </w:rPr>
              <w:t>N</w:t>
            </w:r>
          </w:p>
        </w:tc>
        <w:tc>
          <w:tcPr>
            <w:tcW w:w="589" w:type="pct"/>
            <w:noWrap w:val="0"/>
            <w:vAlign w:val="center"/>
          </w:tcPr>
          <w:p w14:paraId="047BF92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r>
    </w:tbl>
    <w:p w14:paraId="3C79E865">
      <w:pPr>
        <w:ind w:left="0" w:leftChars="0" w:firstLine="0" w:firstLineChars="0"/>
        <w:rPr>
          <w:rFonts w:hint="eastAsia" w:eastAsiaTheme="minorEastAsia"/>
          <w:lang w:eastAsia="zh-CN"/>
        </w:rPr>
        <w:sectPr>
          <w:pgSz w:w="11906" w:h="16838"/>
          <w:pgMar w:top="1440" w:right="1800" w:bottom="1440" w:left="1800" w:header="851" w:footer="992" w:gutter="0"/>
          <w:pgNumType w:fmt="decimal"/>
          <w:cols w:space="425" w:num="1"/>
          <w:docGrid w:type="lines" w:linePitch="312" w:charSpace="0"/>
        </w:sectPr>
      </w:pPr>
    </w:p>
    <w:p w14:paraId="00F01287">
      <w:pPr>
        <w:ind w:left="0" w:leftChars="0" w:firstLine="0" w:firstLineChars="0"/>
      </w:pPr>
      <w:r>
        <w:drawing>
          <wp:inline distT="0" distB="0" distL="114300" distR="114300">
            <wp:extent cx="6119495" cy="5192395"/>
            <wp:effectExtent l="0" t="0" r="14605" b="825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27"/>
                    <a:stretch>
                      <a:fillRect/>
                    </a:stretch>
                  </pic:blipFill>
                  <pic:spPr>
                    <a:xfrm>
                      <a:off x="0" y="0"/>
                      <a:ext cx="6119495" cy="5192395"/>
                    </a:xfrm>
                    <a:prstGeom prst="rect">
                      <a:avLst/>
                    </a:prstGeom>
                    <a:noFill/>
                    <a:ln>
                      <a:noFill/>
                    </a:ln>
                  </pic:spPr>
                </pic:pic>
              </a:graphicData>
            </a:graphic>
          </wp:inline>
        </w:drawing>
      </w:r>
    </w:p>
    <w:p w14:paraId="01599D98">
      <w:pPr>
        <w:pStyle w:val="8"/>
        <w:ind w:left="0" w:leftChars="0" w:firstLine="0" w:firstLineChars="0"/>
        <w:jc w:val="center"/>
        <w:rPr>
          <w:rFonts w:hint="default" w:eastAsia="黑体"/>
          <w:lang w:val="en-US" w:eastAsia="zh-CN"/>
        </w:rP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3</w:t>
      </w:r>
      <w:r>
        <w:fldChar w:fldCharType="end"/>
      </w:r>
      <w:r>
        <w:rPr>
          <w:rFonts w:hint="eastAsia"/>
          <w:lang w:val="en-US" w:eastAsia="zh-CN"/>
        </w:rPr>
        <w:t>气象与空气质量监测点位</w:t>
      </w:r>
    </w:p>
    <w:p w14:paraId="2D6B4544">
      <w:pPr>
        <w:pStyle w:val="2"/>
        <w:ind w:left="0" w:leftChars="0" w:firstLine="0" w:firstLineChars="0"/>
      </w:pPr>
    </w:p>
    <w:p w14:paraId="3EA002A5">
      <w:pPr>
        <w:pStyle w:val="5"/>
        <w:numPr>
          <w:ilvl w:val="2"/>
          <w:numId w:val="3"/>
        </w:numPr>
        <w:bidi w:val="0"/>
        <w:ind w:left="575" w:leftChars="0" w:hanging="575" w:firstLineChars="0"/>
        <w:rPr>
          <w:rFonts w:hint="eastAsia"/>
        </w:rPr>
      </w:pPr>
      <w:r>
        <w:rPr>
          <w:rFonts w:hint="eastAsia"/>
        </w:rPr>
        <w:t>生态视频监控体系建设</w:t>
      </w:r>
    </w:p>
    <w:p w14:paraId="585D7B42">
      <w:pPr>
        <w:pStyle w:val="6"/>
        <w:numPr>
          <w:ilvl w:val="3"/>
          <w:numId w:val="3"/>
        </w:numPr>
        <w:bidi w:val="0"/>
        <w:ind w:left="720" w:leftChars="0" w:hanging="720" w:firstLineChars="0"/>
        <w:rPr>
          <w:rFonts w:hint="eastAsia"/>
        </w:rPr>
      </w:pPr>
      <w:r>
        <w:rPr>
          <w:rFonts w:hint="eastAsia"/>
        </w:rPr>
        <w:t>视频监控设备</w:t>
      </w:r>
    </w:p>
    <w:p w14:paraId="32A1CBC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zh-CN" w:eastAsia="zh-CN"/>
        </w:rPr>
        <w:t>五源河国家湿地公园与美舍河国家湿地公园各配备3套视频监控设备。</w:t>
      </w:r>
      <w:r>
        <w:rPr>
          <w:rFonts w:hint="eastAsia"/>
          <w:sz w:val="24"/>
          <w:szCs w:val="24"/>
          <w:lang w:val="en-US" w:eastAsia="zh-CN"/>
        </w:rPr>
        <w:t>由于视频监控设备受台风影响已损坏，需在原监测点位的基础上重新采购新的设备进行安装调试。</w:t>
      </w:r>
    </w:p>
    <w:p w14:paraId="0F9D1EE7">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sz w:val="24"/>
          <w:szCs w:val="24"/>
          <w:lang w:val="en-US" w:eastAsia="zh-CN"/>
        </w:rPr>
      </w:pPr>
      <w:r>
        <w:rPr>
          <w:rFonts w:hint="eastAsia"/>
          <w:sz w:val="24"/>
          <w:szCs w:val="24"/>
          <w:lang w:val="en-US" w:eastAsia="zh-CN"/>
        </w:rPr>
        <w:t>视频监控设备技术参数如下所示：</w:t>
      </w:r>
    </w:p>
    <w:p w14:paraId="1DB3EFAF">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1）37倍光学变倍或以上高清摄像头</w:t>
      </w:r>
    </w:p>
    <w:p w14:paraId="11E860B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2)支持绊线入侵、区域入侵、穿越围栏侦测</w:t>
      </w:r>
    </w:p>
    <w:p w14:paraId="0BE4EA0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3）支持超星光级超低照度</w:t>
      </w:r>
    </w:p>
    <w:p w14:paraId="4CB140BF">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 xml:space="preserve">4）16倍或以上数字变倍 </w:t>
      </w:r>
    </w:p>
    <w:p w14:paraId="7F54D182">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5）视频压缩：支持H.265/H.264/MJPEG</w:t>
      </w:r>
    </w:p>
    <w:p w14:paraId="67C0322D">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6）工作温度和湿度：-40℃-70℃；湿度小于90%</w:t>
      </w:r>
    </w:p>
    <w:p w14:paraId="79A9A18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pPr>
      <w:r>
        <w:rPr>
          <w:rFonts w:hint="eastAsia"/>
          <w:sz w:val="24"/>
          <w:szCs w:val="24"/>
          <w:lang w:val="en-US" w:eastAsia="zh-CN"/>
        </w:rPr>
        <w:t>7）防护等级：IP66或以上</w:t>
      </w:r>
    </w:p>
    <w:p w14:paraId="286BE647">
      <w:pPr>
        <w:pStyle w:val="6"/>
        <w:numPr>
          <w:ilvl w:val="3"/>
          <w:numId w:val="3"/>
        </w:numPr>
        <w:bidi w:val="0"/>
        <w:ind w:left="720" w:leftChars="0" w:hanging="720" w:firstLineChars="0"/>
      </w:pPr>
      <w:r>
        <w:rPr>
          <w:rFonts w:hint="eastAsia"/>
        </w:rPr>
        <w:t>安装方式及要求</w:t>
      </w:r>
    </w:p>
    <w:p w14:paraId="24E62B31">
      <w:pPr>
        <w:pStyle w:val="12"/>
        <w:keepNext w:val="0"/>
        <w:keepLines w:val="0"/>
        <w:pageBreakBefore w:val="0"/>
        <w:widowControl/>
        <w:kinsoku/>
        <w:wordWrap/>
        <w:overflowPunct/>
        <w:topLinePunct w:val="0"/>
        <w:autoSpaceDE/>
        <w:autoSpaceDN/>
        <w:bidi w:val="0"/>
        <w:adjustRightInd/>
        <w:snapToGrid/>
        <w:spacing w:line="360" w:lineRule="auto"/>
        <w:textAlignment w:val="auto"/>
        <w:rPr>
          <w:rFonts w:hint="eastAsia"/>
          <w:color w:val="000000"/>
          <w:szCs w:val="22"/>
          <w:lang w:val="en-US" w:eastAsia="zh-CN"/>
        </w:rPr>
      </w:pPr>
      <w:r>
        <w:rPr>
          <w:rFonts w:hint="eastAsia"/>
          <w:color w:val="000000"/>
          <w:szCs w:val="22"/>
        </w:rPr>
        <w:t>本项目的视频监控安装于</w:t>
      </w:r>
      <w:r>
        <w:rPr>
          <w:rFonts w:hint="eastAsia"/>
          <w:b/>
          <w:bCs/>
          <w:lang w:val="en-US" w:eastAsia="zh-CN"/>
        </w:rPr>
        <w:t>海南海口五源河和美舍河国家湿地公园验收工作项目（A包）</w:t>
      </w:r>
      <w:r>
        <w:rPr>
          <w:rFonts w:hint="eastAsia"/>
          <w:b w:val="0"/>
          <w:bCs w:val="0"/>
          <w:lang w:val="en-US" w:eastAsia="zh-CN"/>
        </w:rPr>
        <w:t>已建设的</w:t>
      </w:r>
      <w:r>
        <w:rPr>
          <w:rFonts w:hint="eastAsia"/>
          <w:color w:val="000000"/>
          <w:szCs w:val="22"/>
        </w:rPr>
        <w:t>6米立杆上。</w:t>
      </w:r>
      <w:r>
        <w:rPr>
          <w:rFonts w:hint="eastAsia"/>
          <w:color w:val="000000"/>
          <w:szCs w:val="22"/>
          <w:lang w:val="en-US" w:eastAsia="zh-CN"/>
        </w:rPr>
        <w:t>监测点位分布情况如下所示：</w:t>
      </w:r>
    </w:p>
    <w:p w14:paraId="1356EF02">
      <w:pPr>
        <w:pStyle w:val="8"/>
        <w:jc w:val="center"/>
        <w:rPr>
          <w:rFonts w:hint="default" w:eastAsia="黑体"/>
          <w:lang w:val="en-US" w:eastAsia="zh-CN"/>
        </w:rPr>
      </w:pPr>
      <w:r>
        <w:t xml:space="preserve">表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表 \* ARABIC \s 1 </w:instrText>
      </w:r>
      <w:r>
        <w:fldChar w:fldCharType="separate"/>
      </w:r>
      <w:r>
        <w:t>3</w:t>
      </w:r>
      <w:r>
        <w:fldChar w:fldCharType="end"/>
      </w:r>
      <w:r>
        <w:rPr>
          <w:rFonts w:hint="eastAsia"/>
        </w:rPr>
        <w:t>微型水质自动监测站点</w:t>
      </w:r>
      <w:r>
        <w:rPr>
          <w:rFonts w:hint="eastAsia"/>
          <w:lang w:val="en-US" w:eastAsia="zh-CN"/>
        </w:rPr>
        <w:t>分布情况。</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
        <w:gridCol w:w="2243"/>
        <w:gridCol w:w="584"/>
        <w:gridCol w:w="1437"/>
        <w:gridCol w:w="2510"/>
        <w:gridCol w:w="1225"/>
      </w:tblGrid>
      <w:tr w14:paraId="23A50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523" w:type="dxa"/>
            <w:noWrap w:val="0"/>
            <w:vAlign w:val="center"/>
          </w:tcPr>
          <w:p w14:paraId="25DF7B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b/>
                <w:sz w:val="24"/>
              </w:rPr>
            </w:pPr>
            <w:r>
              <w:rPr>
                <w:rFonts w:hint="eastAsia" w:ascii="宋体" w:hAnsi="宋体"/>
                <w:b/>
                <w:sz w:val="24"/>
              </w:rPr>
              <w:t>序号</w:t>
            </w:r>
          </w:p>
        </w:tc>
        <w:tc>
          <w:tcPr>
            <w:tcW w:w="2243" w:type="dxa"/>
            <w:noWrap w:val="0"/>
            <w:vAlign w:val="center"/>
          </w:tcPr>
          <w:p w14:paraId="5CE13A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b/>
                <w:sz w:val="24"/>
              </w:rPr>
            </w:pPr>
            <w:r>
              <w:rPr>
                <w:rFonts w:hint="eastAsia" w:ascii="宋体" w:hAnsi="宋体"/>
                <w:b/>
                <w:sz w:val="24"/>
              </w:rPr>
              <w:t>位置</w:t>
            </w:r>
          </w:p>
        </w:tc>
        <w:tc>
          <w:tcPr>
            <w:tcW w:w="584" w:type="dxa"/>
            <w:noWrap w:val="0"/>
            <w:vAlign w:val="center"/>
          </w:tcPr>
          <w:p w14:paraId="2FF2F13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b/>
                <w:sz w:val="24"/>
              </w:rPr>
            </w:pPr>
            <w:r>
              <w:rPr>
                <w:rFonts w:hint="eastAsia" w:ascii="宋体" w:hAnsi="宋体"/>
                <w:b/>
                <w:sz w:val="24"/>
              </w:rPr>
              <w:t>数量</w:t>
            </w:r>
          </w:p>
        </w:tc>
        <w:tc>
          <w:tcPr>
            <w:tcW w:w="1437" w:type="dxa"/>
            <w:noWrap w:val="0"/>
            <w:vAlign w:val="center"/>
          </w:tcPr>
          <w:p w14:paraId="1670EE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b/>
                <w:sz w:val="24"/>
              </w:rPr>
            </w:pPr>
            <w:r>
              <w:rPr>
                <w:rFonts w:hint="eastAsia" w:ascii="宋体" w:hAnsi="宋体"/>
                <w:b/>
                <w:sz w:val="24"/>
              </w:rPr>
              <w:t>所属范围</w:t>
            </w:r>
          </w:p>
        </w:tc>
        <w:tc>
          <w:tcPr>
            <w:tcW w:w="2510" w:type="dxa"/>
            <w:noWrap w:val="0"/>
            <w:vAlign w:val="center"/>
          </w:tcPr>
          <w:p w14:paraId="1D50366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b/>
                <w:sz w:val="24"/>
              </w:rPr>
            </w:pPr>
            <w:r>
              <w:rPr>
                <w:rFonts w:hint="eastAsia" w:ascii="宋体" w:hAnsi="宋体"/>
                <w:b/>
                <w:sz w:val="24"/>
              </w:rPr>
              <w:t>坐标</w:t>
            </w:r>
          </w:p>
        </w:tc>
        <w:tc>
          <w:tcPr>
            <w:tcW w:w="1225" w:type="dxa"/>
            <w:noWrap w:val="0"/>
            <w:vAlign w:val="center"/>
          </w:tcPr>
          <w:p w14:paraId="1AE5AFD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宋体" w:hAnsi="宋体" w:eastAsiaTheme="minorEastAsia"/>
                <w:b/>
                <w:sz w:val="24"/>
                <w:lang w:val="en-US" w:eastAsia="zh-CN"/>
              </w:rPr>
            </w:pPr>
            <w:r>
              <w:rPr>
                <w:rFonts w:hint="eastAsia" w:ascii="宋体" w:hAnsi="宋体"/>
                <w:b/>
                <w:sz w:val="24"/>
                <w:lang w:val="en-US" w:eastAsia="zh-CN"/>
              </w:rPr>
              <w:t>备注</w:t>
            </w:r>
          </w:p>
        </w:tc>
      </w:tr>
      <w:tr w14:paraId="47543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2330D69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1</w:t>
            </w:r>
          </w:p>
        </w:tc>
        <w:tc>
          <w:tcPr>
            <w:tcW w:w="2243" w:type="dxa"/>
            <w:noWrap w:val="0"/>
            <w:vAlign w:val="center"/>
          </w:tcPr>
          <w:p w14:paraId="23738DC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五源河上游</w:t>
            </w:r>
            <w:r>
              <w:rPr>
                <w:rFonts w:hint="default" w:ascii="Times New Roman" w:hAnsi="Times New Roman" w:eastAsia="宋体" w:cs="Times New Roman"/>
                <w:sz w:val="24"/>
                <w:lang w:val="en-US" w:eastAsia="zh-CN"/>
              </w:rPr>
              <w:t>监测点</w:t>
            </w:r>
          </w:p>
        </w:tc>
        <w:tc>
          <w:tcPr>
            <w:tcW w:w="584" w:type="dxa"/>
            <w:noWrap w:val="0"/>
            <w:vAlign w:val="center"/>
          </w:tcPr>
          <w:p w14:paraId="2F7E2F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restart"/>
            <w:noWrap w:val="0"/>
            <w:vAlign w:val="center"/>
          </w:tcPr>
          <w:p w14:paraId="1D9502A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五源河国家湿地公园</w:t>
            </w:r>
          </w:p>
        </w:tc>
        <w:tc>
          <w:tcPr>
            <w:tcW w:w="2510" w:type="dxa"/>
            <w:noWrap w:val="0"/>
            <w:vAlign w:val="center"/>
          </w:tcPr>
          <w:p w14:paraId="3EEE15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olor w:val="000000"/>
                <w:kern w:val="0"/>
                <w:sz w:val="24"/>
              </w:rPr>
            </w:pPr>
            <w:r>
              <w:rPr>
                <w:rFonts w:ascii="Times New Roman" w:hAnsi="Times New Roman" w:cs="Times New Roman"/>
                <w:sz w:val="24"/>
                <w:szCs w:val="24"/>
              </w:rPr>
              <w:t>110.209E</w:t>
            </w:r>
            <w:r>
              <w:rPr>
                <w:rFonts w:hint="eastAsia" w:ascii="Times New Roman" w:hAnsi="Times New Roman" w:cs="Times New Roman"/>
                <w:sz w:val="24"/>
                <w:szCs w:val="24"/>
                <w:lang w:eastAsia="zh-CN"/>
              </w:rPr>
              <w:t>，</w:t>
            </w:r>
            <w:r>
              <w:rPr>
                <w:rFonts w:ascii="Times New Roman" w:hAnsi="Times New Roman" w:cs="Times New Roman"/>
                <w:sz w:val="24"/>
                <w:szCs w:val="24"/>
              </w:rPr>
              <w:t>20.051N</w:t>
            </w:r>
          </w:p>
        </w:tc>
        <w:tc>
          <w:tcPr>
            <w:tcW w:w="1225" w:type="dxa"/>
            <w:noWrap w:val="0"/>
            <w:vAlign w:val="center"/>
          </w:tcPr>
          <w:p w14:paraId="7D705A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50D3C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60BA372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2</w:t>
            </w:r>
          </w:p>
        </w:tc>
        <w:tc>
          <w:tcPr>
            <w:tcW w:w="2243" w:type="dxa"/>
            <w:noWrap w:val="0"/>
            <w:vAlign w:val="center"/>
          </w:tcPr>
          <w:p w14:paraId="1CCF560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default" w:ascii="Times New Roman" w:hAnsi="Times New Roman" w:eastAsia="宋体" w:cs="Times New Roman"/>
                <w:sz w:val="24"/>
              </w:rPr>
              <w:t>五源河中游</w:t>
            </w:r>
            <w:r>
              <w:rPr>
                <w:rFonts w:hint="default" w:ascii="Times New Roman" w:hAnsi="Times New Roman" w:eastAsia="宋体" w:cs="Times New Roman"/>
                <w:sz w:val="24"/>
                <w:lang w:val="en-US" w:eastAsia="zh-CN"/>
              </w:rPr>
              <w:t>监测点</w:t>
            </w:r>
          </w:p>
        </w:tc>
        <w:tc>
          <w:tcPr>
            <w:tcW w:w="584" w:type="dxa"/>
            <w:noWrap w:val="0"/>
            <w:vAlign w:val="center"/>
          </w:tcPr>
          <w:p w14:paraId="0F01E4C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continue"/>
            <w:noWrap w:val="0"/>
            <w:vAlign w:val="center"/>
          </w:tcPr>
          <w:p w14:paraId="0EB6649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c>
          <w:tcPr>
            <w:tcW w:w="2510" w:type="dxa"/>
            <w:noWrap w:val="0"/>
            <w:vAlign w:val="center"/>
          </w:tcPr>
          <w:p w14:paraId="013A985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olor w:val="000000"/>
                <w:kern w:val="0"/>
                <w:sz w:val="24"/>
              </w:rPr>
            </w:pPr>
            <w:r>
              <w:rPr>
                <w:rFonts w:ascii="Times New Roman" w:hAnsi="Times New Roman" w:cs="Times New Roman"/>
                <w:sz w:val="24"/>
                <w:szCs w:val="24"/>
              </w:rPr>
              <w:t>110.230E</w:t>
            </w:r>
            <w:r>
              <w:rPr>
                <w:rFonts w:hint="eastAsia" w:ascii="Times New Roman" w:hAnsi="Times New Roman" w:cs="Times New Roman"/>
                <w:sz w:val="24"/>
                <w:szCs w:val="24"/>
                <w:lang w:eastAsia="zh-CN"/>
              </w:rPr>
              <w:t>，</w:t>
            </w:r>
            <w:r>
              <w:rPr>
                <w:rFonts w:ascii="Times New Roman" w:hAnsi="Times New Roman" w:cs="Times New Roman"/>
                <w:sz w:val="24"/>
                <w:szCs w:val="24"/>
              </w:rPr>
              <w:t>20.023N</w:t>
            </w:r>
          </w:p>
        </w:tc>
        <w:tc>
          <w:tcPr>
            <w:tcW w:w="1225" w:type="dxa"/>
            <w:noWrap w:val="0"/>
            <w:vAlign w:val="center"/>
          </w:tcPr>
          <w:p w14:paraId="09167D5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15B8B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08F7BF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3</w:t>
            </w:r>
          </w:p>
        </w:tc>
        <w:tc>
          <w:tcPr>
            <w:tcW w:w="2243" w:type="dxa"/>
            <w:noWrap w:val="0"/>
            <w:vAlign w:val="center"/>
          </w:tcPr>
          <w:p w14:paraId="3A18D4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五源河下游</w:t>
            </w:r>
            <w:r>
              <w:rPr>
                <w:rFonts w:hint="default" w:ascii="Times New Roman" w:hAnsi="Times New Roman" w:eastAsia="宋体" w:cs="Times New Roman"/>
                <w:sz w:val="24"/>
                <w:lang w:val="en-US" w:eastAsia="zh-CN"/>
              </w:rPr>
              <w:t>监测点</w:t>
            </w:r>
          </w:p>
        </w:tc>
        <w:tc>
          <w:tcPr>
            <w:tcW w:w="584" w:type="dxa"/>
            <w:noWrap w:val="0"/>
            <w:vAlign w:val="center"/>
          </w:tcPr>
          <w:p w14:paraId="77D5B5F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continue"/>
            <w:noWrap w:val="0"/>
            <w:vAlign w:val="center"/>
          </w:tcPr>
          <w:p w14:paraId="7432AE5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c>
          <w:tcPr>
            <w:tcW w:w="2510" w:type="dxa"/>
            <w:noWrap w:val="0"/>
            <w:vAlign w:val="center"/>
          </w:tcPr>
          <w:p w14:paraId="22311A5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olor w:val="000000"/>
                <w:kern w:val="0"/>
                <w:sz w:val="24"/>
              </w:rPr>
            </w:pPr>
            <w:r>
              <w:rPr>
                <w:rFonts w:ascii="Times New Roman" w:hAnsi="Times New Roman" w:cs="Times New Roman"/>
                <w:sz w:val="24"/>
                <w:szCs w:val="24"/>
              </w:rPr>
              <w:t>110.235E</w:t>
            </w:r>
            <w:r>
              <w:rPr>
                <w:rFonts w:hint="eastAsia" w:ascii="Times New Roman" w:hAnsi="Times New Roman" w:cs="Times New Roman"/>
                <w:sz w:val="24"/>
                <w:szCs w:val="24"/>
                <w:lang w:eastAsia="zh-CN"/>
              </w:rPr>
              <w:t>，</w:t>
            </w:r>
            <w:r>
              <w:rPr>
                <w:rFonts w:ascii="Times New Roman" w:hAnsi="Times New Roman" w:cs="Times New Roman"/>
                <w:sz w:val="24"/>
                <w:szCs w:val="24"/>
              </w:rPr>
              <w:t>20.004N</w:t>
            </w:r>
          </w:p>
        </w:tc>
        <w:tc>
          <w:tcPr>
            <w:tcW w:w="1225" w:type="dxa"/>
            <w:noWrap w:val="0"/>
            <w:vAlign w:val="center"/>
          </w:tcPr>
          <w:p w14:paraId="13A875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12D95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6E29215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4</w:t>
            </w:r>
          </w:p>
        </w:tc>
        <w:tc>
          <w:tcPr>
            <w:tcW w:w="2243" w:type="dxa"/>
            <w:noWrap w:val="0"/>
            <w:vAlign w:val="center"/>
          </w:tcPr>
          <w:p w14:paraId="11971B2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美舍河</w:t>
            </w:r>
            <w:r>
              <w:rPr>
                <w:rFonts w:hint="default" w:ascii="Times New Roman" w:hAnsi="Times New Roman" w:eastAsia="宋体" w:cs="Times New Roman"/>
                <w:sz w:val="24"/>
                <w:lang w:val="en-US" w:eastAsia="zh-CN"/>
              </w:rPr>
              <w:t>上游监测点</w:t>
            </w:r>
          </w:p>
        </w:tc>
        <w:tc>
          <w:tcPr>
            <w:tcW w:w="584" w:type="dxa"/>
            <w:noWrap w:val="0"/>
            <w:vAlign w:val="center"/>
          </w:tcPr>
          <w:p w14:paraId="10BE8D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restart"/>
            <w:noWrap w:val="0"/>
            <w:vAlign w:val="center"/>
          </w:tcPr>
          <w:p w14:paraId="3C4DFDC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default" w:ascii="Times New Roman" w:hAnsi="Times New Roman" w:eastAsia="宋体" w:cs="Times New Roman"/>
                <w:sz w:val="24"/>
              </w:rPr>
              <w:t>美舍河国家湿地公园</w:t>
            </w:r>
          </w:p>
        </w:tc>
        <w:tc>
          <w:tcPr>
            <w:tcW w:w="2510" w:type="dxa"/>
            <w:noWrap w:val="0"/>
            <w:vAlign w:val="center"/>
          </w:tcPr>
          <w:p w14:paraId="38E5E82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ascii="Times New Roman" w:hAnsi="Times New Roman" w:cs="Times New Roman"/>
                <w:sz w:val="24"/>
                <w:szCs w:val="24"/>
              </w:rPr>
              <w:t>110.356E</w:t>
            </w:r>
            <w:r>
              <w:rPr>
                <w:rFonts w:hint="eastAsia" w:ascii="Times New Roman" w:hAnsi="Times New Roman" w:cs="Times New Roman"/>
                <w:sz w:val="24"/>
                <w:szCs w:val="24"/>
                <w:lang w:eastAsia="zh-CN"/>
              </w:rPr>
              <w:t>，</w:t>
            </w:r>
            <w:r>
              <w:rPr>
                <w:rFonts w:ascii="Times New Roman" w:hAnsi="Times New Roman" w:cs="Times New Roman"/>
                <w:sz w:val="24"/>
                <w:szCs w:val="24"/>
              </w:rPr>
              <w:t>20.045N</w:t>
            </w:r>
          </w:p>
        </w:tc>
        <w:tc>
          <w:tcPr>
            <w:tcW w:w="1225" w:type="dxa"/>
            <w:noWrap w:val="0"/>
            <w:vAlign w:val="center"/>
          </w:tcPr>
          <w:p w14:paraId="7B340C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20544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2846896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eastAsia" w:ascii="宋体" w:hAnsi="宋体"/>
                <w:sz w:val="24"/>
              </w:rPr>
              <w:t>5</w:t>
            </w:r>
          </w:p>
        </w:tc>
        <w:tc>
          <w:tcPr>
            <w:tcW w:w="2243" w:type="dxa"/>
            <w:noWrap w:val="0"/>
            <w:vAlign w:val="center"/>
          </w:tcPr>
          <w:p w14:paraId="2170F49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美舍河</w:t>
            </w:r>
            <w:r>
              <w:rPr>
                <w:rFonts w:hint="default" w:ascii="Times New Roman" w:hAnsi="Times New Roman" w:eastAsia="宋体" w:cs="Times New Roman"/>
                <w:sz w:val="24"/>
                <w:lang w:val="en-US" w:eastAsia="zh-CN"/>
              </w:rPr>
              <w:t>中游监测点</w:t>
            </w:r>
          </w:p>
        </w:tc>
        <w:tc>
          <w:tcPr>
            <w:tcW w:w="584" w:type="dxa"/>
            <w:noWrap w:val="0"/>
            <w:vAlign w:val="center"/>
          </w:tcPr>
          <w:p w14:paraId="38ECCE3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r>
              <w:rPr>
                <w:rFonts w:hint="default" w:ascii="Times New Roman" w:hAnsi="Times New Roman" w:eastAsia="宋体" w:cs="Times New Roman"/>
                <w:sz w:val="24"/>
              </w:rPr>
              <w:t>1</w:t>
            </w:r>
          </w:p>
        </w:tc>
        <w:tc>
          <w:tcPr>
            <w:tcW w:w="1437" w:type="dxa"/>
            <w:vMerge w:val="continue"/>
            <w:noWrap w:val="0"/>
            <w:vAlign w:val="center"/>
          </w:tcPr>
          <w:p w14:paraId="60C258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c>
          <w:tcPr>
            <w:tcW w:w="2510" w:type="dxa"/>
            <w:noWrap w:val="0"/>
            <w:vAlign w:val="center"/>
          </w:tcPr>
          <w:p w14:paraId="1F5EB5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ascii="Times New Roman" w:hAnsi="Times New Roman" w:cs="Times New Roman"/>
                <w:sz w:val="24"/>
                <w:szCs w:val="24"/>
              </w:rPr>
              <w:t>110.354E</w:t>
            </w:r>
            <w:r>
              <w:rPr>
                <w:rFonts w:hint="eastAsia" w:ascii="Times New Roman" w:hAnsi="Times New Roman" w:cs="Times New Roman"/>
                <w:sz w:val="24"/>
                <w:szCs w:val="24"/>
                <w:lang w:eastAsia="zh-CN"/>
              </w:rPr>
              <w:t>，</w:t>
            </w:r>
            <w:r>
              <w:rPr>
                <w:rFonts w:ascii="Times New Roman" w:hAnsi="Times New Roman" w:cs="Times New Roman"/>
                <w:sz w:val="24"/>
                <w:szCs w:val="24"/>
              </w:rPr>
              <w:t>19.980N</w:t>
            </w:r>
          </w:p>
        </w:tc>
        <w:tc>
          <w:tcPr>
            <w:tcW w:w="1225" w:type="dxa"/>
            <w:noWrap w:val="0"/>
            <w:vAlign w:val="center"/>
          </w:tcPr>
          <w:p w14:paraId="44F611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r w14:paraId="37272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 w:type="dxa"/>
            <w:noWrap w:val="0"/>
            <w:vAlign w:val="center"/>
          </w:tcPr>
          <w:p w14:paraId="533640D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eastAsia" w:ascii="宋体" w:hAnsi="宋体"/>
                <w:sz w:val="24"/>
              </w:rPr>
              <w:t>6</w:t>
            </w:r>
          </w:p>
        </w:tc>
        <w:tc>
          <w:tcPr>
            <w:tcW w:w="2243" w:type="dxa"/>
            <w:noWrap w:val="0"/>
            <w:vAlign w:val="center"/>
          </w:tcPr>
          <w:p w14:paraId="401DA32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default" w:ascii="Times New Roman" w:hAnsi="Times New Roman" w:eastAsia="宋体" w:cs="Times New Roman"/>
                <w:sz w:val="24"/>
              </w:rPr>
              <w:t>美舍河</w:t>
            </w:r>
            <w:r>
              <w:rPr>
                <w:rFonts w:hint="default" w:ascii="Times New Roman" w:hAnsi="Times New Roman" w:eastAsia="宋体" w:cs="Times New Roman"/>
                <w:sz w:val="24"/>
                <w:lang w:val="en-US" w:eastAsia="zh-CN"/>
              </w:rPr>
              <w:t>下游监测点</w:t>
            </w:r>
          </w:p>
        </w:tc>
        <w:tc>
          <w:tcPr>
            <w:tcW w:w="584" w:type="dxa"/>
            <w:noWrap w:val="0"/>
            <w:vAlign w:val="center"/>
          </w:tcPr>
          <w:p w14:paraId="4B4A65F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hint="default" w:ascii="Times New Roman" w:hAnsi="Times New Roman" w:eastAsia="宋体" w:cs="Times New Roman"/>
                <w:sz w:val="24"/>
              </w:rPr>
              <w:t>1</w:t>
            </w:r>
          </w:p>
        </w:tc>
        <w:tc>
          <w:tcPr>
            <w:tcW w:w="1437" w:type="dxa"/>
            <w:vMerge w:val="continue"/>
            <w:noWrap w:val="0"/>
            <w:vAlign w:val="center"/>
          </w:tcPr>
          <w:p w14:paraId="7DA6B7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p>
        </w:tc>
        <w:tc>
          <w:tcPr>
            <w:tcW w:w="2510" w:type="dxa"/>
            <w:noWrap w:val="0"/>
            <w:vAlign w:val="center"/>
          </w:tcPr>
          <w:p w14:paraId="316113E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sz w:val="24"/>
              </w:rPr>
            </w:pPr>
            <w:r>
              <w:rPr>
                <w:rFonts w:ascii="Times New Roman" w:hAnsi="Times New Roman" w:cs="Times New Roman"/>
                <w:sz w:val="24"/>
                <w:szCs w:val="24"/>
              </w:rPr>
              <w:t>110.329E</w:t>
            </w:r>
            <w:r>
              <w:rPr>
                <w:rFonts w:hint="eastAsia" w:ascii="Times New Roman" w:hAnsi="Times New Roman" w:cs="Times New Roman"/>
                <w:sz w:val="24"/>
                <w:szCs w:val="24"/>
                <w:lang w:eastAsia="zh-CN"/>
              </w:rPr>
              <w:t>，</w:t>
            </w:r>
            <w:r>
              <w:rPr>
                <w:rFonts w:ascii="Times New Roman" w:hAnsi="Times New Roman" w:cs="Times New Roman"/>
                <w:sz w:val="24"/>
                <w:szCs w:val="24"/>
              </w:rPr>
              <w:t>19.953N</w:t>
            </w:r>
          </w:p>
        </w:tc>
        <w:tc>
          <w:tcPr>
            <w:tcW w:w="1225" w:type="dxa"/>
            <w:noWrap w:val="0"/>
            <w:vAlign w:val="center"/>
          </w:tcPr>
          <w:p w14:paraId="37B5A6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sz w:val="24"/>
              </w:rPr>
            </w:pPr>
          </w:p>
        </w:tc>
      </w:tr>
    </w:tbl>
    <w:p w14:paraId="1140A573">
      <w:pPr>
        <w:ind w:left="0" w:leftChars="0" w:firstLine="0" w:firstLineChars="0"/>
      </w:pPr>
      <w:r>
        <w:drawing>
          <wp:inline distT="0" distB="0" distL="114300" distR="114300">
            <wp:extent cx="6141085" cy="3449955"/>
            <wp:effectExtent l="0" t="0" r="12065" b="1714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4"/>
                    <a:stretch>
                      <a:fillRect/>
                    </a:stretch>
                  </pic:blipFill>
                  <pic:spPr>
                    <a:xfrm>
                      <a:off x="0" y="0"/>
                      <a:ext cx="6141085" cy="3449955"/>
                    </a:xfrm>
                    <a:prstGeom prst="rect">
                      <a:avLst/>
                    </a:prstGeom>
                    <a:noFill/>
                    <a:ln>
                      <a:noFill/>
                    </a:ln>
                  </pic:spPr>
                </pic:pic>
              </a:graphicData>
            </a:graphic>
          </wp:inline>
        </w:drawing>
      </w:r>
    </w:p>
    <w:p w14:paraId="2E755B80">
      <w:pPr>
        <w:pStyle w:val="8"/>
        <w:ind w:left="0" w:leftChars="0" w:firstLine="0" w:firstLineChars="0"/>
        <w:jc w:val="center"/>
        <w:rPr>
          <w:rFonts w:hint="eastAsia"/>
          <w:color w:val="000000"/>
          <w:szCs w:val="22"/>
        </w:rP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4</w:t>
      </w:r>
      <w:r>
        <w:fldChar w:fldCharType="end"/>
      </w:r>
      <w:r>
        <w:rPr>
          <w:rFonts w:hint="eastAsia"/>
          <w:lang w:val="en-US" w:eastAsia="zh-CN"/>
        </w:rPr>
        <w:t>五源河与美舍河生态监测点位</w:t>
      </w:r>
    </w:p>
    <w:p w14:paraId="77675B8E">
      <w:pPr>
        <w:pStyle w:val="2"/>
        <w:ind w:left="0" w:leftChars="0" w:firstLine="0" w:firstLineChars="0"/>
        <w:sectPr>
          <w:pgSz w:w="11906" w:h="16838"/>
          <w:pgMar w:top="1440" w:right="1223" w:bottom="1440" w:left="1083" w:header="851" w:footer="992" w:gutter="0"/>
          <w:pgNumType w:fmt="decimal"/>
          <w:cols w:space="0" w:num="1"/>
          <w:rtlGutter w:val="0"/>
          <w:docGrid w:type="lines" w:linePitch="332" w:charSpace="0"/>
        </w:sectPr>
      </w:pPr>
    </w:p>
    <w:p w14:paraId="3A1E996B">
      <w:pPr>
        <w:pStyle w:val="7"/>
        <w:numPr>
          <w:ilvl w:val="4"/>
          <w:numId w:val="3"/>
        </w:numPr>
        <w:bidi w:val="0"/>
        <w:ind w:left="864" w:leftChars="0" w:hanging="864" w:firstLineChars="0"/>
      </w:pPr>
      <w:r>
        <w:rPr>
          <w:rFonts w:hint="eastAsia"/>
        </w:rPr>
        <w:t>存储系统设计</w:t>
      </w:r>
    </w:p>
    <w:p w14:paraId="1C628486">
      <w:pPr>
        <w:pStyle w:val="12"/>
        <w:keepNext w:val="0"/>
        <w:keepLines w:val="0"/>
        <w:pageBreakBefore w:val="0"/>
        <w:widowControl/>
        <w:kinsoku/>
        <w:wordWrap/>
        <w:overflowPunct/>
        <w:topLinePunct w:val="0"/>
        <w:autoSpaceDE/>
        <w:autoSpaceDN/>
        <w:bidi w:val="0"/>
        <w:adjustRightInd/>
        <w:snapToGrid/>
        <w:spacing w:line="360" w:lineRule="auto"/>
        <w:textAlignment w:val="auto"/>
        <w:rPr>
          <w:rFonts w:hint="eastAsia"/>
          <w:color w:val="000000"/>
          <w:szCs w:val="22"/>
        </w:rPr>
      </w:pPr>
      <w:r>
        <w:rPr>
          <w:rFonts w:hint="eastAsia"/>
          <w:color w:val="000000"/>
          <w:szCs w:val="22"/>
        </w:rPr>
        <w:t>本项目配备监控</w:t>
      </w:r>
      <w:r>
        <w:rPr>
          <w:color w:val="000000"/>
          <w:szCs w:val="22"/>
        </w:rPr>
        <w:t>NVR设备及监控级硬盘</w:t>
      </w:r>
      <w:r>
        <w:rPr>
          <w:rFonts w:hint="eastAsia"/>
          <w:color w:val="000000"/>
          <w:szCs w:val="22"/>
        </w:rPr>
        <w:t>，用于对监控视频的采集与存储，最大的储存应满足</w:t>
      </w:r>
      <w:r>
        <w:rPr>
          <w:rFonts w:hint="eastAsia"/>
          <w:color w:val="000000"/>
        </w:rPr>
        <w:t>365天的视频储存量。</w:t>
      </w:r>
      <w:r>
        <w:rPr>
          <w:rFonts w:hint="eastAsia"/>
          <w:color w:val="000000"/>
          <w:szCs w:val="22"/>
        </w:rPr>
        <w:t>监控</w:t>
      </w:r>
      <w:r>
        <w:rPr>
          <w:color w:val="000000"/>
          <w:szCs w:val="22"/>
        </w:rPr>
        <w:t>NVR设备及监控级硬盘</w:t>
      </w:r>
      <w:r>
        <w:rPr>
          <w:rFonts w:hint="eastAsia"/>
          <w:color w:val="000000"/>
          <w:szCs w:val="22"/>
        </w:rPr>
        <w:t>安装于水质监测微型站的机柜内。</w:t>
      </w:r>
    </w:p>
    <w:p w14:paraId="637ECB9F">
      <w:pPr>
        <w:pStyle w:val="5"/>
        <w:numPr>
          <w:ilvl w:val="2"/>
          <w:numId w:val="3"/>
        </w:numPr>
        <w:bidi w:val="0"/>
        <w:ind w:left="575" w:leftChars="0" w:hanging="575" w:firstLineChars="0"/>
        <w:rPr>
          <w:rFonts w:hint="eastAsia"/>
          <w:lang w:val="en-US" w:eastAsia="zh-CN"/>
        </w:rPr>
      </w:pPr>
      <w:r>
        <w:rPr>
          <w:rFonts w:hint="eastAsia"/>
          <w:lang w:val="en-US" w:eastAsia="zh-CN"/>
        </w:rPr>
        <w:t>监控中心</w:t>
      </w:r>
    </w:p>
    <w:p w14:paraId="65961061">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default"/>
          <w:sz w:val="24"/>
          <w:szCs w:val="24"/>
          <w:lang w:val="en-US" w:eastAsia="zh-CN"/>
        </w:rPr>
      </w:pPr>
      <w:r>
        <w:rPr>
          <w:rFonts w:hint="eastAsia"/>
          <w:sz w:val="24"/>
          <w:szCs w:val="24"/>
          <w:lang w:val="en-US" w:eastAsia="zh-CN"/>
        </w:rPr>
        <w:t>由于监控中心的大屏由9块小屏拼接而成，其中1块LED屏与视频综合平台已损坏，需对已损坏的设1块LED屏以及视频综合平台进行更换。</w:t>
      </w:r>
    </w:p>
    <w:p w14:paraId="1966CA0E">
      <w:pPr>
        <w:pStyle w:val="12"/>
        <w:keepNext w:val="0"/>
        <w:keepLines w:val="0"/>
        <w:pageBreakBefore w:val="0"/>
        <w:widowControl/>
        <w:numPr>
          <w:ilvl w:val="0"/>
          <w:numId w:val="6"/>
        </w:numPr>
        <w:kinsoku/>
        <w:wordWrap/>
        <w:overflowPunct/>
        <w:topLinePunct w:val="0"/>
        <w:autoSpaceDE/>
        <w:autoSpaceDN/>
        <w:bidi w:val="0"/>
        <w:adjustRightInd/>
        <w:snapToGrid/>
        <w:spacing w:line="360" w:lineRule="auto"/>
        <w:ind w:firstLineChars="0"/>
        <w:textAlignment w:val="auto"/>
        <w:rPr>
          <w:b/>
          <w:sz w:val="24"/>
          <w:szCs w:val="24"/>
          <w:lang w:eastAsia="zh-CN"/>
        </w:rPr>
      </w:pPr>
      <w:r>
        <w:rPr>
          <w:b/>
          <w:sz w:val="24"/>
          <w:szCs w:val="24"/>
          <w:lang w:eastAsia="zh-CN"/>
        </w:rPr>
        <w:t>46寸液晶拼接单元技术指标</w:t>
      </w:r>
    </w:p>
    <w:p w14:paraId="0E9E30A4">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屏幕尺寸：46英寸</w:t>
      </w:r>
    </w:p>
    <w:p w14:paraId="70D3AF10">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外形尺寸：1020×574.6×265</w:t>
      </w:r>
    </w:p>
    <w:p w14:paraId="458C7905">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屏幕比例：16：9</w:t>
      </w:r>
    </w:p>
    <w:p w14:paraId="72E1C3AB">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分辨率：1920×1080</w:t>
      </w:r>
    </w:p>
    <w:p w14:paraId="5DC33F1B">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静态对比度：3500:1</w:t>
      </w:r>
    </w:p>
    <w:p w14:paraId="5E4DC68A">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屏幕寿命：≥60000小时</w:t>
      </w:r>
    </w:p>
    <w:p w14:paraId="68331E85">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背光类型：LED</w:t>
      </w:r>
    </w:p>
    <w:p w14:paraId="6B973FE5">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物理拼缝：双边拼缝1.7mm</w:t>
      </w:r>
    </w:p>
    <w:p w14:paraId="50219D8A">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亮度：≥700cd/㎡</w:t>
      </w:r>
    </w:p>
    <w:p w14:paraId="36E4995E">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显示色彩：8bit</w:t>
      </w:r>
    </w:p>
    <w:p w14:paraId="3619C3A9">
      <w:pPr>
        <w:pStyle w:val="12"/>
        <w:keepNext w:val="0"/>
        <w:keepLines w:val="0"/>
        <w:pageBreakBefore w:val="0"/>
        <w:widowControl/>
        <w:numPr>
          <w:ilvl w:val="0"/>
          <w:numId w:val="6"/>
        </w:numPr>
        <w:kinsoku/>
        <w:wordWrap/>
        <w:overflowPunct/>
        <w:topLinePunct w:val="0"/>
        <w:autoSpaceDE/>
        <w:autoSpaceDN/>
        <w:bidi w:val="0"/>
        <w:adjustRightInd/>
        <w:snapToGrid/>
        <w:spacing w:line="360" w:lineRule="auto"/>
        <w:ind w:firstLineChars="0"/>
        <w:textAlignment w:val="auto"/>
        <w:rPr>
          <w:b/>
          <w:sz w:val="24"/>
          <w:szCs w:val="24"/>
          <w:lang w:eastAsia="zh-CN"/>
        </w:rPr>
      </w:pPr>
      <w:r>
        <w:rPr>
          <w:b/>
          <w:sz w:val="24"/>
          <w:szCs w:val="24"/>
          <w:lang w:eastAsia="zh-CN"/>
        </w:rPr>
        <w:t>视频综合平台技术指标</w:t>
      </w:r>
    </w:p>
    <w:p w14:paraId="7E6883B9">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相对环境湿度：5%~ 75%。</w:t>
      </w:r>
    </w:p>
    <w:p w14:paraId="7FBE1021">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 xml:space="preserve"> 19"机架尺寸，≤5U高度机箱，提供12个板卡插槽，嵌入式系统，模块化设计，整机最大支持60路HDMI视频输出接口。</w:t>
      </w:r>
    </w:p>
    <w:p w14:paraId="27C55093">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支持双电源冗余。具有2组风扇，每组6个风扇（支持热插拔、冗余；支持吹和抽两种模式同时工作)。</w:t>
      </w:r>
    </w:p>
    <w:p w14:paraId="138C4FB2">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支持多网口绑定，无需NAT功能，整机通过一个IP地址即可完成IP设备、模拟设备、SDI设备视音频数据的接入、转发和存储；具有容错网络模式、多址网络模式、负载均衡网络模式、链路聚合网络模式。</w:t>
      </w:r>
    </w:p>
    <w:p w14:paraId="7611A4C0">
      <w:pPr>
        <w:pStyle w:val="11"/>
        <w:keepNext w:val="0"/>
        <w:keepLines w:val="0"/>
        <w:pageBreakBefore w:val="0"/>
        <w:widowControl/>
        <w:numPr>
          <w:ilvl w:val="0"/>
          <w:numId w:val="7"/>
        </w:numPr>
        <w:kinsoku/>
        <w:wordWrap/>
        <w:overflowPunct/>
        <w:topLinePunct w:val="0"/>
        <w:autoSpaceDE/>
        <w:autoSpaceDN/>
        <w:bidi w:val="0"/>
        <w:adjustRightInd/>
        <w:snapToGrid/>
        <w:spacing w:line="360" w:lineRule="auto"/>
        <w:ind w:firstLineChars="0"/>
        <w:textAlignment w:val="auto"/>
        <w:rPr>
          <w:rFonts w:ascii="Times New Roman" w:hAnsi="Times New Roman" w:eastAsia="宋体"/>
          <w:sz w:val="24"/>
          <w:szCs w:val="24"/>
        </w:rPr>
      </w:pPr>
      <w:r>
        <w:rPr>
          <w:rFonts w:ascii="Times New Roman" w:hAnsi="Times New Roman" w:eastAsia="宋体"/>
          <w:sz w:val="24"/>
          <w:szCs w:val="24"/>
        </w:rPr>
        <w:t>支持60个显示屏的任意拼接</w:t>
      </w:r>
    </w:p>
    <w:p w14:paraId="54649D69">
      <w:pPr>
        <w:pStyle w:val="2"/>
        <w:ind w:left="0" w:leftChars="0" w:firstLine="0" w:firstLineChars="0"/>
      </w:pPr>
    </w:p>
    <w:p w14:paraId="1EB582D4">
      <w:pPr>
        <w:pStyle w:val="2"/>
        <w:sectPr>
          <w:pgSz w:w="11906" w:h="16838"/>
          <w:pgMar w:top="1440" w:right="1800" w:bottom="1440" w:left="1800" w:header="851" w:footer="992" w:gutter="0"/>
          <w:cols w:space="425" w:num="1"/>
          <w:docGrid w:type="lines" w:linePitch="312" w:charSpace="0"/>
        </w:sectPr>
      </w:pPr>
    </w:p>
    <w:p w14:paraId="42DC98E6">
      <w:pPr>
        <w:pStyle w:val="3"/>
        <w:bidi w:val="0"/>
        <w:jc w:val="center"/>
      </w:pPr>
      <w:bookmarkStart w:id="50" w:name="_Toc19308"/>
      <w:r>
        <w:rPr>
          <w:rFonts w:hint="default"/>
          <w:lang w:val="en-US" w:eastAsia="zh-CN"/>
        </w:rPr>
        <w:t>海口湿地生态监测系统重建</w:t>
      </w:r>
      <w:bookmarkEnd w:id="50"/>
      <w:r>
        <w:rPr>
          <w:rFonts w:hint="eastAsia"/>
          <w:lang w:val="en-US" w:eastAsia="zh-CN"/>
        </w:rPr>
        <w:t>用户需求书</w:t>
      </w:r>
    </w:p>
    <w:tbl>
      <w:tblPr>
        <w:tblStyle w:val="9"/>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09"/>
        <w:gridCol w:w="1334"/>
        <w:gridCol w:w="3548"/>
        <w:gridCol w:w="875"/>
        <w:gridCol w:w="875"/>
        <w:gridCol w:w="875"/>
      </w:tblGrid>
      <w:tr w14:paraId="6C6B7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blHeader/>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83A9">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B26E4">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设备名称</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7A9C5">
            <w:pPr>
              <w:keepNext w:val="0"/>
              <w:keepLines w:val="0"/>
              <w:widowControl/>
              <w:suppressLineNumbers w:val="0"/>
              <w:jc w:val="center"/>
              <w:textAlignment w:val="center"/>
              <w:rPr>
                <w:rFonts w:hint="default" w:ascii="宋体" w:hAnsi="宋体" w:eastAsia="宋体" w:cs="宋体"/>
                <w:b/>
                <w:bCs/>
                <w:i w:val="0"/>
                <w:iCs w:val="0"/>
                <w:color w:val="000000"/>
                <w:kern w:val="0"/>
                <w:sz w:val="20"/>
                <w:szCs w:val="20"/>
                <w:u w:val="none"/>
                <w:lang w:val="en-US" w:eastAsia="zh-CN" w:bidi="ar"/>
              </w:rPr>
            </w:pPr>
            <w:r>
              <w:rPr>
                <w:rFonts w:hint="eastAsia" w:ascii="宋体" w:hAnsi="宋体" w:cs="宋体"/>
                <w:b/>
                <w:bCs/>
                <w:i w:val="0"/>
                <w:iCs w:val="0"/>
                <w:color w:val="000000"/>
                <w:kern w:val="0"/>
                <w:sz w:val="20"/>
                <w:szCs w:val="20"/>
                <w:u w:val="none"/>
                <w:lang w:val="en-US" w:eastAsia="zh-CN" w:bidi="ar"/>
              </w:rPr>
              <w:t>技术参数</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DD623">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FECCD">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1BCB8">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72DAFC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A0E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1</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FBA3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湿地环境实时监测终端</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C9461">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1)六种气象要素一体化高度集成设计，可同时测量气温、湿度、风向、风速、气压、雨量、负氧离子；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2)气温：量程：-40℃ － +80℃，分辨率：0.1℃，准确度：±1℃；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3)湿度：量程：0－100%RH，分辨率：0.1%RH，准确度：±2％；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4)气压：量程：150－1100hPa，分辨率：0.1hpa，准确度：±1 hPa；</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5)风向：0 －359°（无死角），分辨率：1°，准确度：＜3°；</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6)风速：0 － 60m/s，分辨率：0.01 m/s，准确度：2%；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7)雨量：0-200mm/hour，分辨率：0.1mm；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8)蒸发传感器：测量范围：0～1000mm，±0.5%（0～+50℃）分辨率：  0.1mm；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9)负氧离子传感器：10-2000000／cm3空气流速：200CM3／秒 可测量正，负离子 线性速度：40CM／秒 离子显示：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10)至少支持RS485接口,双线连接方式；</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0EC81">
            <w:pPr>
              <w:keepNext w:val="0"/>
              <w:keepLines w:val="0"/>
              <w:widowControl/>
              <w:suppressLineNumbers w:val="0"/>
              <w:jc w:val="center"/>
              <w:textAlignment w:val="center"/>
              <w:rPr>
                <w:rFonts w:hint="default" w:ascii="宋体" w:hAnsi="宋体" w:eastAsia="宋体" w:cs="宋体"/>
                <w:i w:val="0"/>
                <w:iCs w:val="0"/>
                <w:color w:val="000000"/>
                <w:sz w:val="20"/>
                <w:szCs w:val="20"/>
                <w:u w:val="none"/>
                <w:lang w:val="en-US"/>
              </w:rPr>
            </w:pPr>
            <w:r>
              <w:rPr>
                <w:rFonts w:hint="eastAsia" w:ascii="宋体" w:hAnsi="宋体" w:eastAsia="宋体" w:cs="宋体"/>
                <w:i w:val="0"/>
                <w:iCs w:val="0"/>
                <w:color w:val="000000"/>
                <w:kern w:val="0"/>
                <w:sz w:val="20"/>
                <w:szCs w:val="20"/>
                <w:u w:val="none"/>
                <w:lang w:val="en-US" w:eastAsia="zh-CN" w:bidi="ar"/>
              </w:rPr>
              <w:t>1</w:t>
            </w:r>
            <w:r>
              <w:rPr>
                <w:rFonts w:hint="eastAsia" w:ascii="宋体" w:hAnsi="宋体" w:cs="宋体"/>
                <w:i w:val="0"/>
                <w:iCs w:val="0"/>
                <w:color w:val="000000"/>
                <w:kern w:val="0"/>
                <w:sz w:val="20"/>
                <w:szCs w:val="20"/>
                <w:u w:val="none"/>
                <w:lang w:val="en-US" w:eastAsia="zh-CN" w:bidi="ar"/>
              </w:rPr>
              <w:t>3</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521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44D36F56">
            <w:pPr>
              <w:rPr>
                <w:rFonts w:hint="eastAsia" w:ascii="等线" w:hAnsi="等线" w:eastAsia="等线" w:cs="等线"/>
                <w:i w:val="0"/>
                <w:iCs w:val="0"/>
                <w:color w:val="000000"/>
                <w:sz w:val="22"/>
                <w:szCs w:val="22"/>
                <w:u w:val="none"/>
              </w:rPr>
            </w:pPr>
          </w:p>
        </w:tc>
      </w:tr>
      <w:tr w14:paraId="561F8D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4AC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2</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D6AE0">
            <w:pPr>
              <w:keepNext w:val="0"/>
              <w:keepLines w:val="0"/>
              <w:widowControl/>
              <w:suppressLineNumbers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监控中心</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9DE62C">
            <w:pPr>
              <w:keepNext w:val="0"/>
              <w:keepLines w:val="0"/>
              <w:widowControl/>
              <w:suppressLineNumbers w:val="0"/>
              <w:jc w:val="left"/>
              <w:textAlignment w:val="center"/>
              <w:rPr>
                <w:rFonts w:hint="eastAsia" w:ascii="宋体" w:hAnsi="宋体" w:eastAsia="宋体" w:cs="宋体"/>
                <w:b/>
                <w:bCs/>
                <w:i w:val="0"/>
                <w:iCs w:val="0"/>
                <w:color w:val="000000"/>
                <w:kern w:val="0"/>
                <w:sz w:val="20"/>
                <w:szCs w:val="20"/>
                <w:u w:val="none"/>
                <w:lang w:val="en-US" w:eastAsia="zh-CN"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012D4">
            <w:pPr>
              <w:rPr>
                <w:rFonts w:hint="eastAsia" w:ascii="宋体" w:hAnsi="宋体" w:eastAsia="宋体" w:cs="宋体"/>
                <w:b/>
                <w:bCs/>
                <w:i w:val="0"/>
                <w:iCs w:val="0"/>
                <w:color w:val="000000"/>
                <w:sz w:val="20"/>
                <w:szCs w:val="20"/>
                <w:u w:val="none"/>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6D66A">
            <w:pPr>
              <w:rPr>
                <w:rFonts w:hint="eastAsia" w:ascii="宋体" w:hAnsi="宋体" w:eastAsia="宋体" w:cs="宋体"/>
                <w:b/>
                <w:bCs/>
                <w:i w:val="0"/>
                <w:iCs w:val="0"/>
                <w:color w:val="000000"/>
                <w:sz w:val="20"/>
                <w:szCs w:val="20"/>
                <w:u w:val="none"/>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037EA599">
            <w:pPr>
              <w:rPr>
                <w:rFonts w:hint="eastAsia" w:ascii="等线" w:hAnsi="等线" w:eastAsia="等线" w:cs="等线"/>
                <w:i w:val="0"/>
                <w:iCs w:val="0"/>
                <w:color w:val="000000"/>
                <w:sz w:val="22"/>
                <w:szCs w:val="22"/>
                <w:u w:val="none"/>
              </w:rPr>
            </w:pPr>
          </w:p>
        </w:tc>
      </w:tr>
      <w:tr w14:paraId="5DF53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4BC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.1</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160D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46英寸LED液晶拼接单元</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C6C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1、屏幕尺寸：46英寸</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2、外形尺寸：1020×574.6×265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3、屏幕比例：16：9</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4、分辨率：1920×1080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5、静态对比度：3500:1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6、屏幕寿命：≥60000小时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7、背光类型：LED</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8、物理拼缝：双边拼缝1.7mm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9、亮度：≥700cd/㎡</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10、显示色彩：8bit</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012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AF3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块</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D97347A">
            <w:pPr>
              <w:rPr>
                <w:rFonts w:hint="eastAsia" w:ascii="等线" w:hAnsi="等线" w:eastAsia="等线" w:cs="等线"/>
                <w:i w:val="0"/>
                <w:iCs w:val="0"/>
                <w:color w:val="000000"/>
                <w:sz w:val="22"/>
                <w:szCs w:val="22"/>
                <w:u w:val="none"/>
              </w:rPr>
            </w:pPr>
          </w:p>
        </w:tc>
      </w:tr>
      <w:tr w14:paraId="13EFC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B43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.2</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4715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视频综合平台</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BA2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1、相对环境湿度：5%~ 75%。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 19"机架尺寸，≤5U高度机箱，提供12个板卡插槽，嵌入式系统，模块化设计，整机最大支持60路HDMI视频输出接口。</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3、支持双电源冗余。具有2组风扇，每组6个风扇（支持热插拔、冗余；支持吹和抽两种模式同时工作)。</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4、支持多网口绑定，无需NAT功能，整机通过一个IP地址即可完成IP设备、模拟设备、SDI设备视音频数据的接入、转发和存储；具有容错网络模式、多址网络模式、负载均衡网络模式、链路聚合网络模式。</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5、支持60个显示屏的任意拼接</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41A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9B9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B7A00BE">
            <w:pPr>
              <w:rPr>
                <w:rFonts w:hint="eastAsia" w:ascii="等线" w:hAnsi="等线" w:eastAsia="等线" w:cs="等线"/>
                <w:i w:val="0"/>
                <w:iCs w:val="0"/>
                <w:color w:val="000000"/>
                <w:sz w:val="22"/>
                <w:szCs w:val="22"/>
                <w:u w:val="none"/>
              </w:rPr>
            </w:pPr>
          </w:p>
        </w:tc>
      </w:tr>
      <w:tr w14:paraId="2755E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3A1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3</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FD9B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微型水质自动监测站</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5FC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1.pH技术指标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 量程：0～14pH</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 分辨率：0.01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3）准确度：±0.1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2.溶解氧技术指标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 量程：0～20 mg/L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 分辨率：0.01 mg/L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3）准确度：±3%</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3.浊度技术指标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 量程：：0-1000mg/L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2）分辨率：0.1 mg/L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3）准确度：±3%F.S</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 电导率技术指标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 量程：0-15ms/cm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2）分辨率：0.01ms/cm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3）准确度：±5%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5.COD技术指标</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 测量范围：0-400mg/L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2）分辨率：0.01mg/L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3）准确度：＜5%</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6.氨氮在线分析仪</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 量程：0-200mg/L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2)分辨率：0.01mg/L</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3)准确度：±3%F.S</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A87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6</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CEA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57757D0">
            <w:pPr>
              <w:rPr>
                <w:rFonts w:hint="eastAsia" w:ascii="等线" w:hAnsi="等线" w:eastAsia="等线" w:cs="等线"/>
                <w:i w:val="0"/>
                <w:iCs w:val="0"/>
                <w:color w:val="000000"/>
                <w:sz w:val="22"/>
                <w:szCs w:val="22"/>
                <w:u w:val="none"/>
              </w:rPr>
            </w:pPr>
          </w:p>
        </w:tc>
      </w:tr>
      <w:tr w14:paraId="4C35E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3F7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4</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7A8B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气象、空气环境在线监测终端</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410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1)六种气象要素一体化高度集成设计，可同时测量气温、湿度、风向、风速、气压、雨量、负氧离子；</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2)气温：量程：-40℃ － +80℃，分辨率：0.1℃，准确度：±1℃；</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3)湿度：量程：0－100%RH，分辨率：0.1%RH，准确度：±2％；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4)气压：量程：150－1100hPa，分辨率：0.1hpa，准确度：±1 hPa；</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5)风向：0 －359°（无死角），分辨率：1°，准确度：＜3°；</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6)风速：0 － 60m/s，分辨率：0.01 m/s，准确度：2%；</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7)雨量：0-200mm/hour，分辨率：0.1mm；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8)蒸发传感器：测量范围：0～1000mm，±0.5%（0～+50℃）分辨率：  0.1mm；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9)负氧离子传感器：10-2000000／cm3空气流速：200CM3／秒 可测量正，负离子 线性速度：40CM／秒 离子显示：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10)至少支持RS485接口,双线连接方式；</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9A7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6</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F1F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58AF004">
            <w:pPr>
              <w:rPr>
                <w:rFonts w:hint="eastAsia" w:ascii="等线" w:hAnsi="等线" w:eastAsia="等线" w:cs="等线"/>
                <w:i w:val="0"/>
                <w:iCs w:val="0"/>
                <w:color w:val="000000"/>
                <w:sz w:val="22"/>
                <w:szCs w:val="22"/>
                <w:u w:val="none"/>
              </w:rPr>
            </w:pPr>
          </w:p>
        </w:tc>
      </w:tr>
      <w:tr w14:paraId="40574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4E8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5</w:t>
            </w:r>
          </w:p>
        </w:tc>
        <w:tc>
          <w:tcPr>
            <w:tcW w:w="7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811E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生态视频监控</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B0A68">
            <w:pPr>
              <w:keepNext w:val="0"/>
              <w:keepLines w:val="0"/>
              <w:pageBreakBefore w:val="0"/>
              <w:widowControl/>
              <w:kinsoku/>
              <w:wordWrap/>
              <w:overflowPunct/>
              <w:topLinePunct w:val="0"/>
              <w:autoSpaceDE/>
              <w:autoSpaceDN/>
              <w:bidi w:val="0"/>
              <w:adjustRightInd/>
              <w:snapToGrid/>
              <w:spacing w:line="240" w:lineRule="auto"/>
              <w:ind w:firstLine="0" w:firstLineChars="0"/>
              <w:jc w:val="left"/>
              <w:rPr>
                <w:rFonts w:hint="eastAsia" w:ascii="宋体" w:hAnsi="宋体" w:eastAsia="宋体" w:cs="宋体"/>
                <w:i w:val="0"/>
                <w:iCs w:val="0"/>
                <w:color w:val="000000"/>
                <w:sz w:val="20"/>
                <w:szCs w:val="20"/>
                <w:u w:val="none"/>
                <w:lang w:val="en-US" w:eastAsia="zh-CN" w:bidi="ar-SA"/>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84DAE">
            <w:pPr>
              <w:jc w:val="center"/>
              <w:rPr>
                <w:rFonts w:hint="eastAsia" w:ascii="宋体" w:hAnsi="宋体" w:eastAsia="宋体" w:cs="宋体"/>
                <w:i w:val="0"/>
                <w:iCs w:val="0"/>
                <w:color w:val="000000"/>
                <w:sz w:val="20"/>
                <w:szCs w:val="20"/>
                <w:u w:val="none"/>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5F5F2">
            <w:pPr>
              <w:jc w:val="center"/>
              <w:rPr>
                <w:rFonts w:hint="eastAsia" w:ascii="宋体" w:hAnsi="宋体" w:eastAsia="宋体" w:cs="宋体"/>
                <w:i w:val="0"/>
                <w:iCs w:val="0"/>
                <w:color w:val="000000"/>
                <w:sz w:val="20"/>
                <w:szCs w:val="20"/>
                <w:u w:val="none"/>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19267DF2">
            <w:pPr>
              <w:rPr>
                <w:rFonts w:hint="eastAsia" w:ascii="等线" w:hAnsi="等线" w:eastAsia="等线" w:cs="等线"/>
                <w:i w:val="0"/>
                <w:iCs w:val="0"/>
                <w:color w:val="000000"/>
                <w:sz w:val="22"/>
                <w:szCs w:val="22"/>
                <w:u w:val="none"/>
              </w:rPr>
            </w:pPr>
          </w:p>
        </w:tc>
      </w:tr>
      <w:tr w14:paraId="76B45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015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.1</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495D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视频监控设备</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FA1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1）37倍光学变倍或以上高清摄像头</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2)支持绊线入侵、区域入侵、穿越围栏侦测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3）支持超星光级超低照度</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4）16倍或以上数字变倍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5）视频压缩：支持H.265/H.264/MJPEG</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6）工作温度和湿度：-40℃-70℃；湿度小于90%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7）防护等级：IP66或以上</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B1A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6</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AF5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1C5F7CC4">
            <w:pPr>
              <w:rPr>
                <w:rFonts w:hint="eastAsia" w:ascii="等线" w:hAnsi="等线" w:eastAsia="等线" w:cs="等线"/>
                <w:i w:val="0"/>
                <w:iCs w:val="0"/>
                <w:color w:val="000000"/>
                <w:sz w:val="22"/>
                <w:szCs w:val="22"/>
                <w:u w:val="none"/>
              </w:rPr>
            </w:pPr>
          </w:p>
        </w:tc>
      </w:tr>
      <w:tr w14:paraId="0645F1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4DA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.2</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C9C5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监控NVR设备及监控级硬盘</w:t>
            </w:r>
          </w:p>
        </w:tc>
        <w:tc>
          <w:tcPr>
            <w:tcW w:w="20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642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用于对监控视频的采集与存储，最大的储存应满足365天的视频储存量。监控NVR设备及监控级硬盘安装于水质监测微型站的机柜内。</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5BB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bidi="ar"/>
              </w:rPr>
              <w:t>6</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221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5918CC14">
            <w:pPr>
              <w:rPr>
                <w:rFonts w:hint="eastAsia" w:ascii="等线" w:hAnsi="等线" w:eastAsia="等线" w:cs="等线"/>
                <w:i w:val="0"/>
                <w:iCs w:val="0"/>
                <w:color w:val="000000"/>
                <w:sz w:val="22"/>
                <w:szCs w:val="22"/>
                <w:u w:val="none"/>
              </w:rPr>
            </w:pPr>
          </w:p>
        </w:tc>
      </w:tr>
    </w:tbl>
    <w:p w14:paraId="46F8E2A2">
      <w:pPr>
        <w:pStyle w:val="3"/>
        <w:bidi w:val="0"/>
      </w:pPr>
      <w:r>
        <w:t>商务要求</w:t>
      </w:r>
    </w:p>
    <w:p w14:paraId="25B3579B">
      <w:pPr>
        <w:pStyle w:val="4"/>
        <w:bidi w:val="0"/>
        <w:rPr>
          <w:rFonts w:hint="eastAsia"/>
        </w:rPr>
      </w:pPr>
      <w:r>
        <w:rPr>
          <w:rFonts w:hint="eastAsia"/>
          <w:lang w:eastAsia="zh-CN"/>
        </w:rPr>
        <w:t>合同履行期限</w:t>
      </w:r>
      <w:r>
        <w:rPr>
          <w:rFonts w:hint="eastAsia"/>
        </w:rPr>
        <w:t>：</w:t>
      </w:r>
      <w:r>
        <w:rPr>
          <w:rFonts w:hint="eastAsia"/>
          <w:lang w:val="en-US" w:eastAsia="zh-CN"/>
        </w:rPr>
        <w:t>180</w:t>
      </w:r>
      <w:r>
        <w:rPr>
          <w:rFonts w:hint="eastAsia"/>
        </w:rPr>
        <w:t>天内交付完成。</w:t>
      </w:r>
    </w:p>
    <w:p w14:paraId="3D7D8B45">
      <w:pPr>
        <w:pStyle w:val="4"/>
        <w:bidi w:val="0"/>
        <w:rPr>
          <w:rFonts w:hint="eastAsia" w:ascii="Times New Roman"/>
          <w:b/>
          <w:szCs w:val="28"/>
        </w:rPr>
      </w:pPr>
      <w:r>
        <w:rPr>
          <w:rFonts w:hint="eastAsia"/>
        </w:rPr>
        <w:t>付款方式（具体以合同约定为准）</w:t>
      </w:r>
    </w:p>
    <w:p w14:paraId="19AE50D4">
      <w:pPr>
        <w:pStyle w:val="2"/>
        <w:wordWrap/>
        <w:snapToGrid w:val="0"/>
        <w:spacing w:line="360" w:lineRule="auto"/>
        <w:ind w:left="0" w:firstLine="480" w:firstLineChars="200"/>
        <w:rPr>
          <w:rFonts w:hint="eastAsia" w:ascii="宋体" w:hAnsi="宋体" w:eastAsia="宋体" w:cs="宋体"/>
          <w:sz w:val="24"/>
          <w:szCs w:val="24"/>
        </w:rPr>
      </w:pPr>
      <w:r>
        <w:rPr>
          <w:rFonts w:hint="eastAsia" w:ascii="宋体" w:hAnsi="宋体" w:eastAsia="宋体" w:cs="宋体"/>
          <w:sz w:val="24"/>
          <w:szCs w:val="24"/>
        </w:rPr>
        <w:t>合同生效后</w:t>
      </w:r>
      <w:r>
        <w:rPr>
          <w:rFonts w:hint="eastAsia" w:ascii="宋体" w:hAnsi="宋体" w:cs="宋体"/>
          <w:sz w:val="24"/>
          <w:szCs w:val="24"/>
          <w:lang w:val="en-US" w:eastAsia="zh-CN"/>
        </w:rPr>
        <w:t>5</w:t>
      </w:r>
      <w:r>
        <w:rPr>
          <w:rFonts w:hint="eastAsia" w:ascii="宋体" w:hAnsi="宋体" w:eastAsia="宋体" w:cs="宋体"/>
          <w:sz w:val="24"/>
          <w:szCs w:val="24"/>
        </w:rPr>
        <w:t>个工作日内支付合同总额</w:t>
      </w:r>
      <w:r>
        <w:rPr>
          <w:rFonts w:hint="eastAsia" w:ascii="宋体" w:hAnsi="宋体" w:eastAsia="宋体" w:cs="宋体"/>
          <w:sz w:val="24"/>
          <w:szCs w:val="24"/>
          <w:lang w:val="en-US" w:eastAsia="zh-CN"/>
        </w:rPr>
        <w:t>3</w:t>
      </w:r>
      <w:r>
        <w:rPr>
          <w:rFonts w:hint="eastAsia" w:ascii="宋体" w:hAnsi="宋体" w:eastAsia="宋体" w:cs="宋体"/>
          <w:sz w:val="24"/>
          <w:szCs w:val="24"/>
        </w:rPr>
        <w:t>0%，设备到货并签署设备到货单后</w:t>
      </w:r>
      <w:r>
        <w:rPr>
          <w:rFonts w:hint="eastAsia" w:ascii="宋体" w:hAnsi="宋体" w:cs="宋体"/>
          <w:sz w:val="24"/>
          <w:szCs w:val="24"/>
          <w:lang w:val="en-US" w:eastAsia="zh-CN"/>
        </w:rPr>
        <w:t>5</w:t>
      </w:r>
      <w:r>
        <w:rPr>
          <w:rFonts w:hint="eastAsia" w:ascii="宋体" w:hAnsi="宋体" w:eastAsia="宋体" w:cs="宋体"/>
          <w:sz w:val="24"/>
          <w:szCs w:val="24"/>
        </w:rPr>
        <w:t>个工作日内支付合同总额30%，集成完成并签署安装调试报告后</w:t>
      </w:r>
      <w:r>
        <w:rPr>
          <w:rFonts w:hint="eastAsia" w:ascii="宋体" w:hAnsi="宋体" w:cs="宋体"/>
          <w:sz w:val="24"/>
          <w:szCs w:val="24"/>
          <w:lang w:val="en-US" w:eastAsia="zh-CN"/>
        </w:rPr>
        <w:t>5</w:t>
      </w:r>
      <w:r>
        <w:rPr>
          <w:rFonts w:hint="eastAsia" w:ascii="宋体" w:hAnsi="宋体" w:eastAsia="宋体" w:cs="宋体"/>
          <w:sz w:val="24"/>
          <w:szCs w:val="24"/>
        </w:rPr>
        <w:t>个工作日内支付合同总额</w:t>
      </w:r>
      <w:r>
        <w:rPr>
          <w:rFonts w:hint="eastAsia" w:ascii="宋体" w:hAnsi="宋体" w:eastAsia="宋体" w:cs="宋体"/>
          <w:sz w:val="24"/>
          <w:szCs w:val="24"/>
          <w:lang w:val="en-US" w:eastAsia="zh-CN"/>
        </w:rPr>
        <w:t>20</w:t>
      </w:r>
      <w:r>
        <w:rPr>
          <w:rFonts w:hint="eastAsia" w:ascii="宋体" w:hAnsi="宋体" w:eastAsia="宋体" w:cs="宋体"/>
          <w:sz w:val="24"/>
          <w:szCs w:val="24"/>
        </w:rPr>
        <w:t>%，项目通过验收合格后</w:t>
      </w:r>
      <w:r>
        <w:rPr>
          <w:rFonts w:hint="eastAsia" w:ascii="宋体" w:hAnsi="宋体" w:cs="宋体"/>
          <w:sz w:val="24"/>
          <w:szCs w:val="24"/>
          <w:lang w:val="en-US" w:eastAsia="zh-CN"/>
        </w:rPr>
        <w:t>5</w:t>
      </w:r>
      <w:r>
        <w:rPr>
          <w:rFonts w:hint="eastAsia" w:ascii="宋体" w:hAnsi="宋体" w:eastAsia="宋体" w:cs="宋体"/>
          <w:sz w:val="24"/>
          <w:szCs w:val="24"/>
        </w:rPr>
        <w:t>个工作日内支付合同总额</w:t>
      </w:r>
      <w:r>
        <w:rPr>
          <w:rFonts w:hint="eastAsia" w:ascii="宋体" w:hAnsi="宋体" w:cs="宋体"/>
          <w:sz w:val="24"/>
          <w:szCs w:val="24"/>
          <w:lang w:val="en-US" w:eastAsia="zh-CN"/>
        </w:rPr>
        <w:t>20</w:t>
      </w:r>
      <w:r>
        <w:rPr>
          <w:rFonts w:hint="eastAsia" w:ascii="宋体" w:hAnsi="宋体" w:eastAsia="宋体" w:cs="宋体"/>
          <w:sz w:val="24"/>
          <w:szCs w:val="24"/>
        </w:rPr>
        <w:t>%，</w:t>
      </w:r>
    </w:p>
    <w:p w14:paraId="49E3382E">
      <w:pPr>
        <w:pStyle w:val="4"/>
        <w:bidi w:val="0"/>
        <w:rPr>
          <w:rFonts w:hint="eastAsia"/>
        </w:rPr>
      </w:pPr>
      <w:bookmarkStart w:id="51" w:name="_Toc474521381"/>
      <w:r>
        <w:rPr>
          <w:rFonts w:hint="eastAsia"/>
        </w:rPr>
        <w:t>货物安装、调试与验收要求</w:t>
      </w:r>
      <w:bookmarkEnd w:id="51"/>
    </w:p>
    <w:p w14:paraId="2FC40B6B">
      <w:pPr>
        <w:pStyle w:val="5"/>
        <w:bidi w:val="0"/>
      </w:pPr>
      <w:r>
        <w:rPr>
          <w:rFonts w:hint="eastAsia"/>
        </w:rPr>
        <w:t>货物安装、调试要求</w:t>
      </w:r>
    </w:p>
    <w:p w14:paraId="7F81E949">
      <w:pPr>
        <w:widowControl w:val="0"/>
        <w:snapToGrid w:val="0"/>
        <w:spacing w:line="360" w:lineRule="auto"/>
        <w:ind w:firstLine="480"/>
        <w:jc w:val="both"/>
        <w:rPr>
          <w:rFonts w:ascii="Times New Roman"/>
          <w:kern w:val="2"/>
          <w:sz w:val="24"/>
          <w:szCs w:val="24"/>
          <w:highlight w:val="yellow"/>
        </w:rPr>
      </w:pPr>
      <w:r>
        <w:rPr>
          <w:rFonts w:hint="eastAsia" w:ascii="Times New Roman"/>
          <w:kern w:val="2"/>
          <w:sz w:val="24"/>
          <w:szCs w:val="24"/>
          <w:highlight w:val="yellow"/>
        </w:rPr>
        <w:t>自</w:t>
      </w:r>
      <w:r>
        <w:rPr>
          <w:rFonts w:hint="eastAsia" w:ascii="Times New Roman"/>
          <w:kern w:val="2"/>
          <w:sz w:val="24"/>
          <w:szCs w:val="24"/>
          <w:highlight w:val="yellow"/>
          <w:lang w:val="en-US" w:eastAsia="zh-CN"/>
        </w:rPr>
        <w:t>项目</w:t>
      </w:r>
      <w:r>
        <w:rPr>
          <w:rFonts w:hint="eastAsia" w:ascii="Times New Roman"/>
          <w:kern w:val="2"/>
          <w:sz w:val="24"/>
          <w:szCs w:val="24"/>
          <w:highlight w:val="yellow"/>
        </w:rPr>
        <w:t>验收合格之日起，中标人应免费提供</w:t>
      </w:r>
      <w:r>
        <w:rPr>
          <w:rFonts w:ascii="Times New Roman"/>
          <w:kern w:val="2"/>
          <w:sz w:val="24"/>
          <w:szCs w:val="24"/>
          <w:highlight w:val="yellow"/>
        </w:rPr>
        <w:t>2</w:t>
      </w:r>
      <w:r>
        <w:rPr>
          <w:rFonts w:hint="eastAsia" w:ascii="Times New Roman"/>
          <w:kern w:val="2"/>
          <w:sz w:val="24"/>
          <w:szCs w:val="24"/>
          <w:highlight w:val="yellow"/>
        </w:rPr>
        <w:t>年的质保服务。</w:t>
      </w:r>
    </w:p>
    <w:p w14:paraId="377149E7">
      <w:pPr>
        <w:pStyle w:val="5"/>
        <w:bidi w:val="0"/>
      </w:pPr>
      <w:r>
        <w:rPr>
          <w:rFonts w:hint="eastAsia"/>
        </w:rPr>
        <w:t>验收要求</w:t>
      </w:r>
    </w:p>
    <w:p w14:paraId="3F8BD3FE">
      <w:pPr>
        <w:widowControl w:val="0"/>
        <w:snapToGrid w:val="0"/>
        <w:spacing w:line="360" w:lineRule="auto"/>
        <w:ind w:firstLine="480"/>
        <w:jc w:val="both"/>
        <w:rPr>
          <w:rFonts w:ascii="Times New Roman"/>
          <w:kern w:val="2"/>
          <w:sz w:val="24"/>
          <w:szCs w:val="24"/>
        </w:rPr>
      </w:pPr>
      <w:r>
        <w:rPr>
          <w:rFonts w:hint="eastAsia" w:ascii="Times New Roman"/>
          <w:kern w:val="2"/>
          <w:sz w:val="24"/>
          <w:szCs w:val="24"/>
        </w:rPr>
        <w:t>（</w:t>
      </w:r>
      <w:r>
        <w:rPr>
          <w:rFonts w:hint="eastAsia" w:ascii="Times New Roman"/>
          <w:kern w:val="2"/>
          <w:sz w:val="24"/>
          <w:szCs w:val="24"/>
          <w:lang w:val="en-US" w:eastAsia="zh-CN"/>
        </w:rPr>
        <w:t>1</w:t>
      </w:r>
      <w:r>
        <w:rPr>
          <w:rFonts w:hint="eastAsia" w:ascii="Times New Roman"/>
          <w:kern w:val="2"/>
          <w:sz w:val="24"/>
          <w:szCs w:val="24"/>
        </w:rPr>
        <w:t>）</w:t>
      </w:r>
      <w:r>
        <w:rPr>
          <w:rFonts w:ascii="Times New Roman"/>
          <w:kern w:val="2"/>
          <w:sz w:val="24"/>
          <w:szCs w:val="24"/>
        </w:rPr>
        <w:t xml:space="preserve"> </w:t>
      </w:r>
      <w:r>
        <w:rPr>
          <w:rFonts w:hint="eastAsia" w:ascii="Times New Roman"/>
          <w:kern w:val="2"/>
          <w:sz w:val="24"/>
          <w:szCs w:val="24"/>
        </w:rPr>
        <w:t>招标人</w:t>
      </w:r>
      <w:r>
        <w:rPr>
          <w:rFonts w:ascii="Times New Roman"/>
          <w:kern w:val="2"/>
          <w:sz w:val="24"/>
          <w:szCs w:val="24"/>
        </w:rPr>
        <w:t>拥有对货物运到项目现场以后进行检验、试验和拒收的权利，在开箱检查、验收、试验过程中，如发现有任何</w:t>
      </w:r>
      <w:r>
        <w:rPr>
          <w:rFonts w:hint="eastAsia" w:ascii="Times New Roman"/>
          <w:kern w:val="2"/>
          <w:sz w:val="24"/>
          <w:szCs w:val="24"/>
        </w:rPr>
        <w:t>设备</w:t>
      </w:r>
      <w:r>
        <w:rPr>
          <w:rFonts w:ascii="Times New Roman"/>
          <w:kern w:val="2"/>
          <w:sz w:val="24"/>
          <w:szCs w:val="24"/>
        </w:rPr>
        <w:t>性能指标与</w:t>
      </w:r>
      <w:r>
        <w:rPr>
          <w:rFonts w:hint="eastAsia" w:ascii="Times New Roman"/>
          <w:kern w:val="2"/>
          <w:sz w:val="24"/>
          <w:szCs w:val="24"/>
        </w:rPr>
        <w:t>招标人</w:t>
      </w:r>
      <w:r>
        <w:rPr>
          <w:rFonts w:ascii="Times New Roman"/>
          <w:kern w:val="2"/>
          <w:sz w:val="24"/>
          <w:szCs w:val="24"/>
        </w:rPr>
        <w:t>要求不符，</w:t>
      </w:r>
      <w:r>
        <w:rPr>
          <w:rFonts w:hint="eastAsia" w:ascii="Times New Roman"/>
          <w:kern w:val="2"/>
          <w:sz w:val="24"/>
          <w:szCs w:val="24"/>
        </w:rPr>
        <w:t>中标人</w:t>
      </w:r>
      <w:r>
        <w:rPr>
          <w:rFonts w:ascii="Times New Roman"/>
          <w:kern w:val="2"/>
          <w:sz w:val="24"/>
          <w:szCs w:val="24"/>
        </w:rPr>
        <w:t>应及时更换</w:t>
      </w:r>
      <w:r>
        <w:rPr>
          <w:rFonts w:hint="eastAsia" w:ascii="Times New Roman"/>
          <w:kern w:val="2"/>
          <w:sz w:val="24"/>
          <w:szCs w:val="24"/>
        </w:rPr>
        <w:t>设备</w:t>
      </w:r>
      <w:r>
        <w:rPr>
          <w:rFonts w:ascii="Times New Roman"/>
          <w:kern w:val="2"/>
          <w:sz w:val="24"/>
          <w:szCs w:val="24"/>
        </w:rPr>
        <w:t>组件。</w:t>
      </w:r>
    </w:p>
    <w:p w14:paraId="75D332A3">
      <w:pPr>
        <w:widowControl w:val="0"/>
        <w:snapToGrid w:val="0"/>
        <w:spacing w:line="360" w:lineRule="auto"/>
        <w:ind w:firstLine="480"/>
        <w:jc w:val="both"/>
        <w:rPr>
          <w:rFonts w:ascii="Times New Roman"/>
          <w:kern w:val="2"/>
          <w:sz w:val="24"/>
          <w:szCs w:val="24"/>
        </w:rPr>
      </w:pPr>
      <w:r>
        <w:rPr>
          <w:rFonts w:hint="eastAsia" w:ascii="Times New Roman"/>
          <w:kern w:val="2"/>
          <w:sz w:val="24"/>
          <w:szCs w:val="24"/>
        </w:rPr>
        <w:t>（</w:t>
      </w:r>
      <w:r>
        <w:rPr>
          <w:rFonts w:hint="eastAsia" w:ascii="Times New Roman"/>
          <w:kern w:val="2"/>
          <w:sz w:val="24"/>
          <w:szCs w:val="24"/>
          <w:lang w:val="en-US" w:eastAsia="zh-CN"/>
        </w:rPr>
        <w:t>2</w:t>
      </w:r>
      <w:r>
        <w:rPr>
          <w:rFonts w:hint="eastAsia" w:ascii="Times New Roman"/>
          <w:kern w:val="2"/>
          <w:sz w:val="24"/>
          <w:szCs w:val="24"/>
        </w:rPr>
        <w:t>）</w:t>
      </w:r>
      <w:r>
        <w:rPr>
          <w:rFonts w:ascii="Times New Roman"/>
          <w:kern w:val="2"/>
          <w:sz w:val="24"/>
          <w:szCs w:val="24"/>
        </w:rPr>
        <w:t>现场检测</w:t>
      </w:r>
    </w:p>
    <w:p w14:paraId="59D2B6D0">
      <w:pPr>
        <w:widowControl w:val="0"/>
        <w:snapToGrid w:val="0"/>
        <w:spacing w:line="360" w:lineRule="auto"/>
        <w:ind w:firstLine="480"/>
        <w:jc w:val="both"/>
        <w:rPr>
          <w:rFonts w:ascii="Times New Roman"/>
          <w:kern w:val="2"/>
          <w:sz w:val="24"/>
          <w:szCs w:val="24"/>
        </w:rPr>
      </w:pPr>
      <w:r>
        <w:rPr>
          <w:rFonts w:hint="eastAsia" w:ascii="Times New Roman"/>
          <w:kern w:val="2"/>
          <w:sz w:val="24"/>
          <w:szCs w:val="24"/>
        </w:rPr>
        <w:t>1）</w:t>
      </w:r>
      <w:r>
        <w:rPr>
          <w:rFonts w:ascii="Times New Roman"/>
          <w:kern w:val="2"/>
          <w:sz w:val="24"/>
          <w:szCs w:val="24"/>
        </w:rPr>
        <w:t>根据合同要求，验收</w:t>
      </w:r>
      <w:r>
        <w:rPr>
          <w:rFonts w:hint="eastAsia" w:ascii="Times New Roman"/>
          <w:kern w:val="2"/>
          <w:sz w:val="24"/>
          <w:szCs w:val="24"/>
        </w:rPr>
        <w:t>设备</w:t>
      </w:r>
      <w:r>
        <w:rPr>
          <w:rFonts w:ascii="Times New Roman"/>
          <w:kern w:val="2"/>
          <w:sz w:val="24"/>
          <w:szCs w:val="24"/>
        </w:rPr>
        <w:t>。首先清点箱数，检查</w:t>
      </w:r>
      <w:r>
        <w:rPr>
          <w:rFonts w:hint="eastAsia" w:ascii="Times New Roman"/>
          <w:kern w:val="2"/>
          <w:sz w:val="24"/>
          <w:szCs w:val="24"/>
        </w:rPr>
        <w:t>设备</w:t>
      </w:r>
      <w:r>
        <w:rPr>
          <w:rFonts w:ascii="Times New Roman"/>
          <w:kern w:val="2"/>
          <w:sz w:val="24"/>
          <w:szCs w:val="24"/>
        </w:rPr>
        <w:t>总数和型号是否与合同及发货单一致</w:t>
      </w:r>
      <w:r>
        <w:rPr>
          <w:rFonts w:hint="eastAsia" w:ascii="Times New Roman"/>
          <w:kern w:val="2"/>
          <w:sz w:val="24"/>
          <w:szCs w:val="24"/>
        </w:rPr>
        <w:t>；</w:t>
      </w:r>
    </w:p>
    <w:p w14:paraId="5C37CA90">
      <w:pPr>
        <w:widowControl w:val="0"/>
        <w:snapToGrid w:val="0"/>
        <w:spacing w:line="360" w:lineRule="auto"/>
        <w:ind w:firstLine="480"/>
        <w:jc w:val="both"/>
        <w:rPr>
          <w:rFonts w:ascii="Times New Roman"/>
          <w:kern w:val="2"/>
          <w:sz w:val="24"/>
          <w:szCs w:val="24"/>
        </w:rPr>
      </w:pPr>
      <w:r>
        <w:rPr>
          <w:rFonts w:hint="eastAsia" w:ascii="Times New Roman"/>
          <w:kern w:val="2"/>
          <w:sz w:val="24"/>
          <w:szCs w:val="24"/>
        </w:rPr>
        <w:t>2）</w:t>
      </w:r>
      <w:r>
        <w:rPr>
          <w:rFonts w:ascii="Times New Roman"/>
          <w:kern w:val="2"/>
          <w:sz w:val="24"/>
          <w:szCs w:val="24"/>
        </w:rPr>
        <w:t>看外包装是否有破损或遗失，如有破损或遗失，尽快与</w:t>
      </w:r>
      <w:r>
        <w:rPr>
          <w:rFonts w:hint="eastAsia" w:ascii="Times New Roman"/>
          <w:kern w:val="2"/>
          <w:sz w:val="24"/>
          <w:szCs w:val="24"/>
        </w:rPr>
        <w:t>招标人</w:t>
      </w:r>
      <w:r>
        <w:rPr>
          <w:rFonts w:ascii="Times New Roman"/>
          <w:kern w:val="2"/>
          <w:sz w:val="24"/>
          <w:szCs w:val="24"/>
        </w:rPr>
        <w:t>讨论是否认为可以接受</w:t>
      </w:r>
      <w:r>
        <w:rPr>
          <w:rFonts w:hint="eastAsia" w:ascii="Times New Roman"/>
          <w:kern w:val="2"/>
          <w:sz w:val="24"/>
          <w:szCs w:val="24"/>
        </w:rPr>
        <w:t>；</w:t>
      </w:r>
    </w:p>
    <w:p w14:paraId="5EFB87F7">
      <w:pPr>
        <w:widowControl w:val="0"/>
        <w:snapToGrid w:val="0"/>
        <w:spacing w:line="360" w:lineRule="auto"/>
        <w:ind w:firstLine="480"/>
        <w:jc w:val="both"/>
        <w:rPr>
          <w:rFonts w:ascii="Times New Roman"/>
          <w:kern w:val="2"/>
          <w:sz w:val="24"/>
          <w:szCs w:val="24"/>
        </w:rPr>
      </w:pPr>
      <w:r>
        <w:rPr>
          <w:rFonts w:hint="eastAsia" w:ascii="Times New Roman"/>
          <w:kern w:val="2"/>
          <w:sz w:val="24"/>
          <w:szCs w:val="24"/>
        </w:rPr>
        <w:t>3）</w:t>
      </w:r>
      <w:r>
        <w:rPr>
          <w:rFonts w:ascii="Times New Roman"/>
          <w:kern w:val="2"/>
          <w:sz w:val="24"/>
          <w:szCs w:val="24"/>
        </w:rPr>
        <w:t>按照标准要求或业主要求抽样做检查。抽取的样品尽量取自不同的包装箱</w:t>
      </w:r>
      <w:r>
        <w:rPr>
          <w:rFonts w:hint="eastAsia" w:ascii="Times New Roman"/>
          <w:kern w:val="2"/>
          <w:sz w:val="24"/>
          <w:szCs w:val="24"/>
        </w:rPr>
        <w:t>；</w:t>
      </w:r>
    </w:p>
    <w:p w14:paraId="3C6F8039">
      <w:pPr>
        <w:widowControl w:val="0"/>
        <w:snapToGrid w:val="0"/>
        <w:spacing w:line="360" w:lineRule="auto"/>
        <w:ind w:firstLine="480"/>
        <w:jc w:val="both"/>
        <w:rPr>
          <w:rFonts w:ascii="Times New Roman"/>
          <w:kern w:val="2"/>
          <w:sz w:val="24"/>
          <w:szCs w:val="24"/>
        </w:rPr>
      </w:pPr>
      <w:r>
        <w:rPr>
          <w:rFonts w:hint="eastAsia" w:ascii="Times New Roman"/>
          <w:kern w:val="2"/>
          <w:sz w:val="24"/>
          <w:szCs w:val="24"/>
        </w:rPr>
        <w:t>4）</w:t>
      </w:r>
      <w:r>
        <w:rPr>
          <w:rFonts w:ascii="Times New Roman"/>
          <w:kern w:val="2"/>
          <w:sz w:val="24"/>
          <w:szCs w:val="24"/>
        </w:rPr>
        <w:t>按照外观检查标准和现场实际情况逐一检查样品</w:t>
      </w:r>
      <w:r>
        <w:rPr>
          <w:rFonts w:hint="eastAsia" w:ascii="Times New Roman"/>
          <w:kern w:val="2"/>
          <w:sz w:val="24"/>
          <w:szCs w:val="24"/>
        </w:rPr>
        <w:t>；</w:t>
      </w:r>
    </w:p>
    <w:p w14:paraId="22FBE0FA">
      <w:pPr>
        <w:widowControl w:val="0"/>
        <w:snapToGrid w:val="0"/>
        <w:spacing w:line="360" w:lineRule="auto"/>
        <w:ind w:firstLine="480"/>
        <w:jc w:val="both"/>
        <w:rPr>
          <w:rFonts w:ascii="Times New Roman"/>
          <w:kern w:val="2"/>
          <w:sz w:val="24"/>
          <w:szCs w:val="24"/>
        </w:rPr>
      </w:pPr>
      <w:r>
        <w:rPr>
          <w:rFonts w:hint="eastAsia" w:ascii="Times New Roman"/>
          <w:kern w:val="2"/>
          <w:sz w:val="24"/>
          <w:szCs w:val="24"/>
        </w:rPr>
        <w:t>5）</w:t>
      </w:r>
      <w:r>
        <w:rPr>
          <w:rFonts w:ascii="Times New Roman"/>
          <w:kern w:val="2"/>
          <w:sz w:val="24"/>
          <w:szCs w:val="24"/>
        </w:rPr>
        <w:t>如有需求且条件许可，可进行</w:t>
      </w:r>
      <w:r>
        <w:rPr>
          <w:rFonts w:hint="eastAsia" w:ascii="Times New Roman"/>
          <w:kern w:val="2"/>
          <w:sz w:val="24"/>
          <w:szCs w:val="24"/>
        </w:rPr>
        <w:t>设备</w:t>
      </w:r>
      <w:r>
        <w:rPr>
          <w:rFonts w:ascii="Times New Roman"/>
          <w:kern w:val="2"/>
          <w:sz w:val="24"/>
          <w:szCs w:val="24"/>
        </w:rPr>
        <w:t>性能测试并作以记录</w:t>
      </w:r>
      <w:r>
        <w:rPr>
          <w:rFonts w:hint="eastAsia" w:ascii="Times New Roman"/>
          <w:kern w:val="2"/>
          <w:sz w:val="24"/>
          <w:szCs w:val="24"/>
        </w:rPr>
        <w:t>；</w:t>
      </w:r>
    </w:p>
    <w:p w14:paraId="0F0D7CB4">
      <w:pPr>
        <w:widowControl w:val="0"/>
        <w:snapToGrid w:val="0"/>
        <w:spacing w:line="360" w:lineRule="auto"/>
        <w:ind w:firstLine="480"/>
        <w:jc w:val="both"/>
        <w:rPr>
          <w:rFonts w:ascii="Times New Roman"/>
          <w:kern w:val="2"/>
          <w:sz w:val="24"/>
          <w:szCs w:val="24"/>
        </w:rPr>
      </w:pPr>
      <w:r>
        <w:rPr>
          <w:rFonts w:hint="eastAsia" w:ascii="Times New Roman"/>
          <w:kern w:val="2"/>
          <w:sz w:val="24"/>
          <w:szCs w:val="24"/>
        </w:rPr>
        <w:t>6）</w:t>
      </w:r>
      <w:r>
        <w:rPr>
          <w:rFonts w:ascii="Times New Roman"/>
          <w:kern w:val="2"/>
          <w:sz w:val="24"/>
          <w:szCs w:val="24"/>
        </w:rPr>
        <w:t>对不合格的组件或存在缺陷的位置拍照，并用文字详细描述</w:t>
      </w:r>
      <w:r>
        <w:rPr>
          <w:rFonts w:hint="eastAsia" w:ascii="Times New Roman"/>
          <w:kern w:val="2"/>
          <w:sz w:val="24"/>
          <w:szCs w:val="24"/>
        </w:rPr>
        <w:t>；</w:t>
      </w:r>
    </w:p>
    <w:p w14:paraId="2357E995">
      <w:pPr>
        <w:widowControl w:val="0"/>
        <w:spacing w:line="360" w:lineRule="auto"/>
        <w:ind w:firstLine="480" w:firstLineChars="200"/>
        <w:jc w:val="both"/>
        <w:rPr>
          <w:rFonts w:ascii="Times New Roman"/>
          <w:kern w:val="2"/>
          <w:sz w:val="21"/>
          <w:szCs w:val="21"/>
        </w:rPr>
      </w:pPr>
      <w:r>
        <w:rPr>
          <w:rFonts w:hint="eastAsia" w:ascii="Times New Roman"/>
          <w:kern w:val="2"/>
          <w:sz w:val="24"/>
          <w:szCs w:val="24"/>
        </w:rPr>
        <w:t>7）</w:t>
      </w:r>
      <w:r>
        <w:rPr>
          <w:rFonts w:ascii="Times New Roman"/>
          <w:kern w:val="2"/>
          <w:sz w:val="24"/>
          <w:szCs w:val="24"/>
        </w:rPr>
        <w:t>统计不合格样品总数，判断本批货物是否合格，准予接收</w:t>
      </w:r>
      <w:r>
        <w:rPr>
          <w:rFonts w:hint="eastAsia" w:ascii="Times New Roman"/>
          <w:kern w:val="2"/>
          <w:sz w:val="24"/>
          <w:szCs w:val="24"/>
        </w:rPr>
        <w:t>。</w:t>
      </w:r>
    </w:p>
    <w:p w14:paraId="3601E49A">
      <w:pPr>
        <w:pStyle w:val="4"/>
        <w:bidi w:val="0"/>
      </w:pPr>
      <w:bookmarkStart w:id="52" w:name="_Toc474521382"/>
      <w:r>
        <w:rPr>
          <w:rFonts w:hint="eastAsia"/>
        </w:rPr>
        <w:t>售后服务</w:t>
      </w:r>
      <w:bookmarkEnd w:id="52"/>
    </w:p>
    <w:p w14:paraId="708EFC76">
      <w:pPr>
        <w:pStyle w:val="5"/>
        <w:bidi w:val="0"/>
      </w:pPr>
      <w:r>
        <w:rPr>
          <w:rFonts w:hint="eastAsia"/>
        </w:rPr>
        <w:t>售后服务要求</w:t>
      </w:r>
    </w:p>
    <w:p w14:paraId="4EA43777">
      <w:pPr>
        <w:widowControl w:val="0"/>
        <w:spacing w:line="360" w:lineRule="auto"/>
        <w:ind w:firstLine="480" w:firstLineChars="200"/>
        <w:jc w:val="both"/>
        <w:rPr>
          <w:rFonts w:ascii="Times New Roman"/>
          <w:kern w:val="2"/>
          <w:sz w:val="24"/>
          <w:szCs w:val="24"/>
        </w:rPr>
      </w:pPr>
      <w:r>
        <w:rPr>
          <w:rFonts w:hint="eastAsia" w:ascii="Times New Roman"/>
          <w:kern w:val="2"/>
          <w:sz w:val="24"/>
          <w:szCs w:val="24"/>
        </w:rPr>
        <w:t>（1）本项目的产品质量保证期为自项目验收之日起中标人提供</w:t>
      </w:r>
      <w:r>
        <w:rPr>
          <w:rFonts w:ascii="Times New Roman"/>
          <w:kern w:val="2"/>
          <w:sz w:val="24"/>
          <w:szCs w:val="24"/>
        </w:rPr>
        <w:t>2</w:t>
      </w:r>
      <w:r>
        <w:rPr>
          <w:rFonts w:hint="eastAsia" w:ascii="Times New Roman"/>
          <w:kern w:val="2"/>
          <w:sz w:val="24"/>
          <w:szCs w:val="24"/>
        </w:rPr>
        <w:t>年的免费质保服务。中标人须建立稳定的售后服务管理和技术队伍，在质量保证期内提供免费的技术支持和售后服务；</w:t>
      </w:r>
    </w:p>
    <w:p w14:paraId="29B69CC6">
      <w:pPr>
        <w:widowControl w:val="0"/>
        <w:spacing w:line="500" w:lineRule="exact"/>
        <w:ind w:firstLine="480" w:firstLineChars="200"/>
        <w:jc w:val="both"/>
        <w:rPr>
          <w:rFonts w:ascii="宋体" w:hAnsi="宋体" w:cs="宋体"/>
          <w:kern w:val="2"/>
          <w:sz w:val="24"/>
          <w:szCs w:val="24"/>
        </w:rPr>
      </w:pPr>
      <w:r>
        <w:rPr>
          <w:rFonts w:hint="eastAsia" w:ascii="宋体" w:hAnsi="宋体" w:cs="宋体"/>
          <w:kern w:val="2"/>
          <w:sz w:val="24"/>
          <w:szCs w:val="24"/>
        </w:rPr>
        <w:t>（2）安排专业售后服务人员对</w:t>
      </w:r>
      <w:r>
        <w:rPr>
          <w:rFonts w:hint="eastAsia" w:ascii="Times New Roman"/>
          <w:kern w:val="2"/>
          <w:sz w:val="24"/>
          <w:szCs w:val="24"/>
        </w:rPr>
        <w:t>招标人</w:t>
      </w:r>
      <w:r>
        <w:rPr>
          <w:rFonts w:hint="eastAsia" w:ascii="宋体" w:hAnsi="宋体" w:cs="宋体"/>
          <w:kern w:val="2"/>
          <w:sz w:val="24"/>
          <w:szCs w:val="24"/>
        </w:rPr>
        <w:t>的使用情况进行查询和跟踪，对损坏的及时安排更换；</w:t>
      </w:r>
    </w:p>
    <w:p w14:paraId="411D8C2D">
      <w:pPr>
        <w:widowControl w:val="0"/>
        <w:spacing w:line="500" w:lineRule="exact"/>
        <w:ind w:firstLine="480" w:firstLineChars="200"/>
        <w:jc w:val="both"/>
        <w:rPr>
          <w:rFonts w:ascii="宋体" w:hAnsi="宋体" w:cs="宋体"/>
          <w:kern w:val="2"/>
          <w:sz w:val="24"/>
          <w:szCs w:val="24"/>
        </w:rPr>
      </w:pPr>
      <w:r>
        <w:rPr>
          <w:rFonts w:hint="eastAsia" w:ascii="宋体" w:hAnsi="宋体" w:cs="宋体"/>
          <w:kern w:val="2"/>
          <w:sz w:val="24"/>
          <w:szCs w:val="24"/>
          <w:highlight w:val="yellow"/>
        </w:rPr>
        <w:t>（3）提供便捷的售后服务响应，接到问题电话后，</w:t>
      </w:r>
      <w:r>
        <w:rPr>
          <w:rFonts w:hint="eastAsia" w:ascii="宋体" w:hAnsi="宋体" w:cs="宋体"/>
          <w:kern w:val="2"/>
          <w:sz w:val="24"/>
          <w:szCs w:val="24"/>
          <w:highlight w:val="yellow"/>
          <w:lang w:val="en-US" w:eastAsia="zh-CN"/>
        </w:rPr>
        <w:t>4</w:t>
      </w:r>
      <w:r>
        <w:rPr>
          <w:rFonts w:hint="eastAsia" w:ascii="宋体" w:hAnsi="宋体" w:cs="宋体"/>
          <w:kern w:val="2"/>
          <w:sz w:val="24"/>
          <w:szCs w:val="24"/>
          <w:highlight w:val="yellow"/>
        </w:rPr>
        <w:t>小时内响应，</w:t>
      </w:r>
      <w:r>
        <w:rPr>
          <w:rFonts w:hint="eastAsia" w:ascii="宋体" w:hAnsi="宋体" w:cs="宋体"/>
          <w:kern w:val="2"/>
          <w:sz w:val="24"/>
          <w:szCs w:val="24"/>
          <w:highlight w:val="yellow"/>
          <w:lang w:val="en-US" w:eastAsia="zh-CN"/>
        </w:rPr>
        <w:t>24</w:t>
      </w:r>
      <w:r>
        <w:rPr>
          <w:rFonts w:hint="eastAsia" w:ascii="宋体" w:hAnsi="宋体" w:cs="宋体"/>
          <w:kern w:val="2"/>
          <w:sz w:val="24"/>
          <w:szCs w:val="24"/>
          <w:highlight w:val="yellow"/>
        </w:rPr>
        <w:t>小时内赶到现场，</w:t>
      </w:r>
      <w:r>
        <w:rPr>
          <w:rFonts w:hint="eastAsia" w:ascii="宋体" w:hAnsi="宋体" w:cs="宋体"/>
          <w:kern w:val="2"/>
          <w:sz w:val="24"/>
          <w:szCs w:val="24"/>
          <w:highlight w:val="yellow"/>
          <w:lang w:val="en-US" w:eastAsia="zh-CN"/>
        </w:rPr>
        <w:t>48</w:t>
      </w:r>
      <w:r>
        <w:rPr>
          <w:rFonts w:hint="eastAsia" w:ascii="宋体" w:hAnsi="宋体" w:cs="宋体"/>
          <w:kern w:val="2"/>
          <w:sz w:val="24"/>
          <w:szCs w:val="24"/>
          <w:highlight w:val="yellow"/>
        </w:rPr>
        <w:t>小时内排除故障。</w:t>
      </w:r>
    </w:p>
    <w:p w14:paraId="642383DB">
      <w:pPr>
        <w:pStyle w:val="4"/>
        <w:bidi w:val="0"/>
        <w:rPr>
          <w:rFonts w:hint="eastAsia"/>
        </w:rPr>
      </w:pPr>
      <w:r>
        <w:rPr>
          <w:rFonts w:hint="eastAsia"/>
        </w:rPr>
        <w:t>培训要求</w:t>
      </w:r>
    </w:p>
    <w:p w14:paraId="67DEB581">
      <w:pPr>
        <w:widowControl w:val="0"/>
        <w:spacing w:line="360" w:lineRule="auto"/>
        <w:ind w:firstLine="480" w:firstLineChars="200"/>
        <w:jc w:val="both"/>
        <w:rPr>
          <w:rFonts w:ascii="Times New Roman"/>
          <w:kern w:val="2"/>
          <w:sz w:val="24"/>
          <w:szCs w:val="24"/>
        </w:rPr>
      </w:pPr>
      <w:r>
        <w:rPr>
          <w:rFonts w:hint="eastAsia" w:ascii="Times New Roman"/>
          <w:kern w:val="2"/>
          <w:sz w:val="24"/>
          <w:szCs w:val="24"/>
        </w:rPr>
        <w:t>（1）中标人必须满足本部分要求的培训服务；</w:t>
      </w:r>
    </w:p>
    <w:p w14:paraId="10429162">
      <w:pPr>
        <w:widowControl w:val="0"/>
        <w:spacing w:line="360" w:lineRule="auto"/>
        <w:ind w:firstLine="480" w:firstLineChars="200"/>
        <w:jc w:val="both"/>
        <w:rPr>
          <w:rFonts w:ascii="Times New Roman"/>
          <w:kern w:val="2"/>
          <w:sz w:val="24"/>
          <w:szCs w:val="24"/>
        </w:rPr>
      </w:pPr>
      <w:r>
        <w:rPr>
          <w:rFonts w:hint="eastAsia" w:ascii="Times New Roman"/>
          <w:kern w:val="2"/>
          <w:sz w:val="24"/>
          <w:szCs w:val="24"/>
        </w:rPr>
        <w:t>（2）中标人必须为所有被培训人员提供培训用文字资料和讲义等相关用品。所有的资料必须是中文书写；</w:t>
      </w:r>
    </w:p>
    <w:p w14:paraId="6247EB07">
      <w:pPr>
        <w:widowControl w:val="0"/>
        <w:spacing w:line="360" w:lineRule="auto"/>
        <w:ind w:firstLine="480" w:firstLineChars="200"/>
        <w:jc w:val="both"/>
        <w:rPr>
          <w:rFonts w:ascii="Times New Roman"/>
          <w:kern w:val="2"/>
          <w:sz w:val="24"/>
          <w:szCs w:val="24"/>
        </w:rPr>
      </w:pPr>
      <w:r>
        <w:rPr>
          <w:rFonts w:hint="eastAsia" w:ascii="Times New Roman"/>
          <w:kern w:val="2"/>
          <w:sz w:val="24"/>
          <w:szCs w:val="24"/>
        </w:rPr>
        <w:t>（3）中标人必须提供相应的应用软件硬件技术和系统操作等方面的培训。有关软硬件的操作培训课程，培训应该在系统运作前完成；</w:t>
      </w:r>
    </w:p>
    <w:p w14:paraId="244ABB19">
      <w:pPr>
        <w:pStyle w:val="2"/>
      </w:pPr>
      <w:r>
        <w:rPr>
          <w:rFonts w:hint="eastAsia" w:ascii="Times New Roman"/>
          <w:kern w:val="2"/>
          <w:sz w:val="24"/>
          <w:szCs w:val="24"/>
        </w:rPr>
        <w:t>（4）中标人须提供详细的培训计划。</w:t>
      </w:r>
    </w:p>
    <w:bookmarkEnd w:id="6"/>
    <w:bookmarkEnd w:id="7"/>
    <w:p w14:paraId="6BDFF48E">
      <w:bookmarkStart w:id="53" w:name="_GoBack"/>
      <w:bookmarkEnd w:id="53"/>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新宋体">
    <w:panose1 w:val="02010609030101010101"/>
    <w:charset w:val="86"/>
    <w:family w:val="modern"/>
    <w:pitch w:val="default"/>
    <w:sig w:usb0="00000003" w:usb1="288F0000" w:usb2="00000006" w:usb3="00000000" w:csb0="00040001" w:csb1="00000000"/>
  </w:font>
  <w:font w:name="Cambria">
    <w:panose1 w:val="02040503050406030204"/>
    <w:charset w:val="00"/>
    <w:family w:val="roman"/>
    <w:pitch w:val="default"/>
    <w:sig w:usb0="E00002FF" w:usb1="400004FF" w:usb2="00000000" w:usb3="00000000" w:csb0="2000019F" w:csb1="00000000"/>
  </w:font>
  <w:font w:name="仿宋">
    <w:panose1 w:val="02010609060101010101"/>
    <w:charset w:val="86"/>
    <w:family w:val="auto"/>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Gulim">
    <w:panose1 w:val="020B0600000101010101"/>
    <w:charset w:val="81"/>
    <w:family w:val="auto"/>
    <w:pitch w:val="default"/>
    <w:sig w:usb0="B00002AF" w:usb1="69D77CFB" w:usb2="00000030" w:usb3="00000000" w:csb0="4008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1AE4450"/>
    <w:multiLevelType w:val="singleLevel"/>
    <w:tmpl w:val="A1AE4450"/>
    <w:lvl w:ilvl="0" w:tentative="0">
      <w:start w:val="1"/>
      <w:numFmt w:val="bullet"/>
      <w:lvlText w:val=""/>
      <w:lvlJc w:val="left"/>
      <w:pPr>
        <w:ind w:left="420" w:hanging="420"/>
      </w:pPr>
      <w:rPr>
        <w:rFonts w:hint="default" w:ascii="Wingdings" w:hAnsi="Wingdings"/>
      </w:rPr>
    </w:lvl>
  </w:abstractNum>
  <w:abstractNum w:abstractNumId="1">
    <w:nsid w:val="089C5E98"/>
    <w:multiLevelType w:val="multilevel"/>
    <w:tmpl w:val="089C5E98"/>
    <w:lvl w:ilvl="0" w:tentative="0">
      <w:start w:val="1"/>
      <w:numFmt w:val="decimal"/>
      <w:pStyle w:val="3"/>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pStyle w:val="5"/>
      <w:lvlText w:val="%1.%2.%3."/>
      <w:lvlJc w:val="left"/>
      <w:pPr>
        <w:ind w:left="720" w:hanging="720"/>
      </w:pPr>
      <w:rPr>
        <w:rFonts w:hint="default"/>
      </w:rPr>
    </w:lvl>
    <w:lvl w:ilvl="3" w:tentative="0">
      <w:start w:val="1"/>
      <w:numFmt w:val="decimal"/>
      <w:pStyle w:val="6"/>
      <w:lvlText w:val="%1.%2.%3.%4."/>
      <w:lvlJc w:val="left"/>
      <w:pPr>
        <w:ind w:left="864" w:hanging="864"/>
      </w:pPr>
      <w:rPr>
        <w:rFonts w:hint="default"/>
      </w:rPr>
    </w:lvl>
    <w:lvl w:ilvl="4" w:tentative="0">
      <w:start w:val="1"/>
      <w:numFmt w:val="decimal"/>
      <w:pStyle w:val="7"/>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2">
    <w:nsid w:val="08D61838"/>
    <w:multiLevelType w:val="multilevel"/>
    <w:tmpl w:val="08D61838"/>
    <w:lvl w:ilvl="0" w:tentative="0">
      <w:start w:val="1"/>
      <w:numFmt w:val="decimal"/>
      <w:lvlText w:val="第%1章 "/>
      <w:lvlJc w:val="left"/>
      <w:pPr>
        <w:ind w:left="4827" w:hanging="432"/>
      </w:pPr>
      <w:rPr>
        <w:rFonts w:hint="eastAsia"/>
        <w:b/>
        <w:i w:val="0"/>
        <w:sz w:val="30"/>
        <w:szCs w:val="30"/>
      </w:rPr>
    </w:lvl>
    <w:lvl w:ilvl="1" w:tentative="0">
      <w:start w:val="1"/>
      <w:numFmt w:val="decimal"/>
      <w:pStyle w:val="4"/>
      <w:suff w:val="nothing"/>
      <w:lvlText w:val="%1.%2 "/>
      <w:lvlJc w:val="left"/>
      <w:pPr>
        <w:ind w:left="576" w:hanging="576"/>
      </w:pPr>
      <w:rPr>
        <w:rFonts w:hint="eastAsia"/>
        <w:b/>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2" w:tentative="0">
      <w:start w:val="1"/>
      <w:numFmt w:val="decimal"/>
      <w:suff w:val="nothing"/>
      <w:lvlText w:val="%1.%2.%3 "/>
      <w:lvlJc w:val="left"/>
      <w:pPr>
        <w:ind w:left="2280" w:hanging="720"/>
      </w:pPr>
      <w:rPr>
        <w:rFonts w:hint="default" w:ascii="Times New Roman" w:hAnsi="Times New Roman" w:cs="Times New Roman"/>
        <w:b/>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suff w:val="nothing"/>
      <w:lvlText w:val="%1.%2.%3.%4 "/>
      <w:lvlJc w:val="left"/>
      <w:pPr>
        <w:ind w:left="864" w:hanging="864"/>
      </w:pPr>
      <w:rPr>
        <w:rFonts w:hint="default" w:ascii="Times New Roman" w:hAnsi="Times New Roman" w:eastAsia="宋体"/>
        <w:b/>
        <w:i w:val="0"/>
        <w:sz w:val="24"/>
      </w:rPr>
    </w:lvl>
    <w:lvl w:ilvl="4" w:tentative="0">
      <w:start w:val="1"/>
      <w:numFmt w:val="decimal"/>
      <w:suff w:val="nothing"/>
      <w:lvlText w:val="%1.%2.%3.%4.%5 "/>
      <w:lvlJc w:val="left"/>
      <w:pPr>
        <w:ind w:left="1008" w:hanging="1008"/>
      </w:pPr>
      <w:rPr>
        <w:rFonts w:hint="default" w:ascii="Times New Roman" w:hAnsi="Times New Roman" w:eastAsia="宋体"/>
        <w:b/>
        <w:i w:val="0"/>
        <w:sz w:val="24"/>
      </w:rPr>
    </w:lvl>
    <w:lvl w:ilvl="5" w:tentative="0">
      <w:start w:val="1"/>
      <w:numFmt w:val="decimal"/>
      <w:suff w:val="nothing"/>
      <w:lvlText w:val="%1.%2.%3.%4.%5.%6 "/>
      <w:lvlJc w:val="left"/>
      <w:pPr>
        <w:ind w:left="3846" w:hanging="1152"/>
      </w:pPr>
      <w:rPr>
        <w:rFonts w:hint="default" w:ascii="Times New Roman" w:hAnsi="Times New Roman" w:eastAsia="宋体"/>
        <w:b/>
        <w:i w:val="0"/>
        <w:sz w:val="24"/>
      </w:rPr>
    </w:lvl>
    <w:lvl w:ilvl="6" w:tentative="0">
      <w:start w:val="1"/>
      <w:numFmt w:val="decimal"/>
      <w:suff w:val="nothing"/>
      <w:lvlText w:val="%1.%2.%3.%4.%5.%6.%7 "/>
      <w:lvlJc w:val="left"/>
      <w:pPr>
        <w:ind w:left="1296" w:hanging="1296"/>
      </w:pPr>
      <w:rPr>
        <w:rFonts w:hint="default" w:ascii="Times New Roman" w:hAnsi="Times New Roman" w:eastAsia="宋体"/>
        <w:b/>
        <w:i w:val="0"/>
      </w:rPr>
    </w:lvl>
    <w:lvl w:ilvl="7" w:tentative="0">
      <w:start w:val="1"/>
      <w:numFmt w:val="decimal"/>
      <w:suff w:val="nothing"/>
      <w:lvlText w:val="%1.%2.%3.%4.%5.%6.%7.%8 "/>
      <w:lvlJc w:val="left"/>
      <w:pPr>
        <w:ind w:left="2291" w:hanging="1440"/>
      </w:pPr>
      <w:rPr>
        <w:rFonts w:hint="default" w:ascii="Times New Roman" w:hAnsi="Times New Roman" w:eastAsia="宋体"/>
        <w:b/>
        <w:i w:val="0"/>
        <w:sz w:val="24"/>
      </w:rPr>
    </w:lvl>
    <w:lvl w:ilvl="8" w:tentative="0">
      <w:start w:val="1"/>
      <w:numFmt w:val="decimal"/>
      <w:suff w:val="nothing"/>
      <w:lvlText w:val="%1.%2.%3.%4.%5.%6.%7.%8.%9 "/>
      <w:lvlJc w:val="left"/>
      <w:pPr>
        <w:ind w:left="1584" w:hanging="1584"/>
      </w:pPr>
      <w:rPr>
        <w:rFonts w:hint="default" w:ascii="Times New Roman" w:hAnsi="Times New Roman" w:eastAsia="宋体"/>
        <w:b/>
        <w:i w:val="0"/>
        <w:sz w:val="24"/>
      </w:rPr>
    </w:lvl>
  </w:abstractNum>
  <w:abstractNum w:abstractNumId="3">
    <w:nsid w:val="175F49BE"/>
    <w:multiLevelType w:val="multilevel"/>
    <w:tmpl w:val="175F49BE"/>
    <w:lvl w:ilvl="0" w:tentative="0">
      <w:start w:val="1"/>
      <w:numFmt w:val="decimal"/>
      <w:lvlText w:val="%1、"/>
      <w:lvlJc w:val="left"/>
      <w:pPr>
        <w:ind w:left="902" w:hanging="4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4">
    <w:nsid w:val="3C8173B3"/>
    <w:multiLevelType w:val="multilevel"/>
    <w:tmpl w:val="3C8173B3"/>
    <w:lvl w:ilvl="0" w:tentative="0">
      <w:start w:val="1"/>
      <w:numFmt w:val="bullet"/>
      <w:suff w:val="space"/>
      <w:lvlText w:val=""/>
      <w:lvlJc w:val="left"/>
      <w:pPr>
        <w:ind w:left="900" w:hanging="420"/>
      </w:pPr>
      <w:rPr>
        <w:rFonts w:hint="default" w:ascii="Wingdings" w:hAnsi="Wingding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543B48F8"/>
    <w:multiLevelType w:val="singleLevel"/>
    <w:tmpl w:val="543B48F8"/>
    <w:lvl w:ilvl="0" w:tentative="0">
      <w:start w:val="1"/>
      <w:numFmt w:val="bullet"/>
      <w:lvlText w:val=""/>
      <w:lvlJc w:val="left"/>
      <w:pPr>
        <w:tabs>
          <w:tab w:val="left" w:pos="420"/>
        </w:tabs>
        <w:ind w:left="420" w:hanging="420"/>
      </w:pPr>
      <w:rPr>
        <w:rFonts w:hint="default" w:ascii="Wingdings" w:hAnsi="Wingdings"/>
      </w:rPr>
    </w:lvl>
  </w:abstractNum>
  <w:num w:numId="1">
    <w:abstractNumId w:val="1"/>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0"/>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7F6C6E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仿宋_GB2312" w:hAnsi="新宋体" w:eastAsia="仿宋_GB2312" w:cs="Times New Roman"/>
      <w:kern w:val="2"/>
      <w:sz w:val="32"/>
      <w:szCs w:val="24"/>
      <w:lang w:val="en-US" w:eastAsia="zh-CN" w:bidi="ar-SA"/>
    </w:rPr>
  </w:style>
  <w:style w:type="paragraph" w:styleId="3">
    <w:name w:val="heading 1"/>
    <w:basedOn w:val="1"/>
    <w:next w:val="1"/>
    <w:qFormat/>
    <w:uiPriority w:val="0"/>
    <w:pPr>
      <w:widowControl w:val="0"/>
      <w:numPr>
        <w:ilvl w:val="0"/>
        <w:numId w:val="1"/>
      </w:numPr>
      <w:spacing w:line="360" w:lineRule="auto"/>
      <w:ind w:left="432" w:hanging="432"/>
      <w:jc w:val="both"/>
      <w:outlineLvl w:val="0"/>
    </w:pPr>
    <w:rPr>
      <w:rFonts w:ascii="Times New Roman"/>
      <w:b/>
      <w:sz w:val="32"/>
    </w:rPr>
  </w:style>
  <w:style w:type="paragraph" w:styleId="4">
    <w:name w:val="heading 2"/>
    <w:basedOn w:val="1"/>
    <w:next w:val="1"/>
    <w:qFormat/>
    <w:uiPriority w:val="0"/>
    <w:pPr>
      <w:keepNext/>
      <w:keepLines/>
      <w:numPr>
        <w:ilvl w:val="1"/>
        <w:numId w:val="2"/>
      </w:numPr>
      <w:outlineLvl w:val="1"/>
    </w:pPr>
    <w:rPr>
      <w:b/>
      <w:bCs/>
    </w:rPr>
  </w:style>
  <w:style w:type="paragraph" w:styleId="5">
    <w:name w:val="heading 3"/>
    <w:basedOn w:val="1"/>
    <w:next w:val="1"/>
    <w:unhideWhenUsed/>
    <w:qFormat/>
    <w:uiPriority w:val="0"/>
    <w:pPr>
      <w:keepNext/>
      <w:keepLines/>
      <w:numPr>
        <w:ilvl w:val="2"/>
        <w:numId w:val="1"/>
      </w:numPr>
      <w:spacing w:before="260" w:beforeLines="0" w:beforeAutospacing="0" w:after="260" w:afterLines="0" w:afterAutospacing="0" w:line="413" w:lineRule="auto"/>
      <w:ind w:left="720" w:hanging="720" w:firstLineChars="0"/>
      <w:outlineLvl w:val="2"/>
    </w:pPr>
    <w:rPr>
      <w:b/>
      <w:sz w:val="32"/>
    </w:rPr>
  </w:style>
  <w:style w:type="paragraph" w:styleId="6">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firstLineChars="0"/>
      <w:outlineLvl w:val="3"/>
    </w:pPr>
    <w:rPr>
      <w:rFonts w:ascii="Arial" w:hAnsi="Arial" w:eastAsia="黑体"/>
      <w:b/>
      <w:sz w:val="28"/>
    </w:rPr>
  </w:style>
  <w:style w:type="paragraph" w:styleId="7">
    <w:name w:val="heading 5"/>
    <w:basedOn w:val="1"/>
    <w:next w:val="1"/>
    <w:unhideWhenUsed/>
    <w:qFormat/>
    <w:uiPriority w:val="0"/>
    <w:pPr>
      <w:keepNext/>
      <w:keepLines/>
      <w:numPr>
        <w:ilvl w:val="4"/>
        <w:numId w:val="1"/>
      </w:numPr>
      <w:spacing w:before="280" w:beforeLines="0" w:beforeAutospacing="0" w:after="290" w:afterLines="0" w:afterAutospacing="0" w:line="372" w:lineRule="auto"/>
      <w:ind w:left="1008" w:hanging="1008" w:firstLineChars="0"/>
      <w:outlineLvl w:val="4"/>
    </w:pPr>
    <w:rPr>
      <w:b/>
      <w:sz w:val="28"/>
    </w:rPr>
  </w:style>
  <w:style w:type="character" w:default="1" w:styleId="10">
    <w:name w:val="Default Paragraph Font"/>
    <w:semiHidden/>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2">
    <w:name w:val="Normal Indent"/>
    <w:basedOn w:val="1"/>
    <w:qFormat/>
    <w:uiPriority w:val="0"/>
    <w:pPr>
      <w:ind w:firstLine="420"/>
    </w:pPr>
    <w:rPr>
      <w:szCs w:val="20"/>
    </w:rPr>
  </w:style>
  <w:style w:type="paragraph" w:styleId="8">
    <w:name w:val="caption"/>
    <w:basedOn w:val="1"/>
    <w:next w:val="1"/>
    <w:qFormat/>
    <w:uiPriority w:val="0"/>
    <w:pPr>
      <w:widowControl w:val="0"/>
      <w:spacing w:line="360" w:lineRule="auto"/>
      <w:jc w:val="center"/>
    </w:pPr>
    <w:rPr>
      <w:rFonts w:ascii="Cambria" w:hAnsi="Cambria" w:eastAsia="黑体"/>
      <w:sz w:val="24"/>
    </w:rPr>
  </w:style>
  <w:style w:type="paragraph" w:styleId="11">
    <w:name w:val="List Paragraph"/>
    <w:basedOn w:val="1"/>
    <w:autoRedefine/>
    <w:qFormat/>
    <w:uiPriority w:val="34"/>
    <w:pPr>
      <w:ind w:firstLine="420" w:firstLineChars="200"/>
    </w:pPr>
    <w:rPr>
      <w:rFonts w:eastAsia="仿宋"/>
      <w:sz w:val="28"/>
      <w:szCs w:val="22"/>
    </w:rPr>
  </w:style>
  <w:style w:type="paragraph" w:customStyle="1" w:styleId="12">
    <w:name w:val="my正文"/>
    <w:basedOn w:val="1"/>
    <w:qFormat/>
    <w:uiPriority w:val="0"/>
    <w:pPr>
      <w:spacing w:line="360" w:lineRule="auto"/>
      <w:ind w:firstLine="480" w:firstLineChars="200"/>
    </w:pPr>
    <w:rPr>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image" Target="media/image23.png"/><Relationship Id="rId26" Type="http://schemas.openxmlformats.org/officeDocument/2006/relationships/image" Target="media/image22.emf"/><Relationship Id="rId25" Type="http://schemas.openxmlformats.org/officeDocument/2006/relationships/oleObject" Target="embeddings/oleObject1.bin"/><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33</Pages>
  <Words>0</Words>
  <Characters>0</Characters>
  <Lines>0</Lines>
  <Paragraphs>0</Paragraphs>
  <TotalTime>0</TotalTime>
  <ScaleCrop>false</ScaleCrop>
  <LinksUpToDate>false</LinksUpToDate>
  <CharactersWithSpaces>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2025-08-04T03:09:57Z</dcterms:created>
  <dc:creator>Administrator</dc:creator>
  <cp:lastModifiedBy>丰华</cp:lastModifiedBy>
  <dcterms:modified xsi:type="dcterms:W3CDTF">2025-08-04T03:10:03Z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eyJoZGlkIjoiMWFjNDQwNzlmMzIxYWMxMTM1OTRjZDY0MjI5NmZkODYiLCJ1c2VySWQiOiIzNTU2MzM1OTEifQ==</vt:lpwstr>
  </property>
  <property fmtid="{D5CDD505-2E9C-101B-9397-08002B2CF9AE}" pid="4" name="ICV">
    <vt:lpwstr>CC19397611CA4B70B0AB7DCFA6096188_12</vt:lpwstr>
  </property>
</Properties>
</file>