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55C03">
      <w:pPr>
        <w:widowControl w:val="0"/>
        <w:kinsoku/>
        <w:autoSpaceDE/>
        <w:autoSpaceDN/>
        <w:adjustRightInd/>
        <w:snapToGrid/>
        <w:spacing w:line="360" w:lineRule="auto"/>
        <w:jc w:val="center"/>
        <w:textAlignment w:val="auto"/>
        <w:rPr>
          <w:rFonts w:hint="eastAsia" w:ascii="宋体" w:hAnsi="宋体" w:eastAsia="宋体" w:cs="宋体"/>
          <w:b/>
          <w:bCs/>
          <w:snapToGrid/>
          <w:color w:val="auto"/>
          <w:kern w:val="2"/>
          <w:sz w:val="28"/>
          <w:szCs w:val="28"/>
        </w:rPr>
      </w:pPr>
      <w:r>
        <w:rPr>
          <w:rFonts w:hint="eastAsia" w:ascii="宋体" w:hAnsi="宋体" w:eastAsia="宋体" w:cs="宋体"/>
          <w:b/>
          <w:bCs/>
          <w:snapToGrid/>
          <w:color w:val="auto"/>
          <w:kern w:val="2"/>
          <w:sz w:val="32"/>
          <w:szCs w:val="32"/>
          <w:lang w:eastAsia="zh-CN"/>
        </w:rPr>
        <w:t>2025年海口市60吨每日垃圾渗滤液污泥掺烧处理服务</w:t>
      </w:r>
      <w:r>
        <w:rPr>
          <w:rFonts w:hint="eastAsia" w:ascii="宋体" w:hAnsi="宋体" w:eastAsia="宋体" w:cs="宋体"/>
          <w:b/>
          <w:bCs/>
          <w:snapToGrid/>
          <w:color w:val="auto"/>
          <w:kern w:val="2"/>
          <w:sz w:val="32"/>
          <w:szCs w:val="32"/>
        </w:rPr>
        <w:t>协议</w:t>
      </w:r>
    </w:p>
    <w:p w14:paraId="034E3196">
      <w:pPr>
        <w:widowControl w:val="0"/>
        <w:kinsoku/>
        <w:autoSpaceDE/>
        <w:autoSpaceDN/>
        <w:adjustRightInd/>
        <w:snapToGrid/>
        <w:spacing w:line="360" w:lineRule="auto"/>
        <w:ind w:firstLine="480" w:firstLineChars="200"/>
        <w:jc w:val="center"/>
        <w:textAlignment w:val="auto"/>
        <w:rPr>
          <w:rFonts w:hint="eastAsia" w:ascii="宋体" w:hAnsi="宋体" w:eastAsia="宋体" w:cs="宋体"/>
          <w:snapToGrid/>
          <w:color w:val="auto"/>
          <w:kern w:val="2"/>
          <w:sz w:val="30"/>
          <w:szCs w:val="30"/>
        </w:rPr>
      </w:pPr>
      <w:r>
        <w:rPr>
          <w:rFonts w:hint="eastAsia" w:ascii="仿宋" w:hAnsi="仿宋" w:eastAsia="仿宋" w:cs="仿宋"/>
          <w:color w:val="auto"/>
          <w:sz w:val="24"/>
          <w:highlight w:val="none"/>
        </w:rPr>
        <w:t>(具体的合同条款由采购人与中标人在合同中约定，以最终采购人与中标人签订的采购合同为准）</w:t>
      </w:r>
    </w:p>
    <w:p w14:paraId="44F9DD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p>
    <w:p w14:paraId="2AE48E3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u w:val="single"/>
        </w:rPr>
      </w:pPr>
      <w:r>
        <w:rPr>
          <w:rFonts w:hint="eastAsia" w:ascii="宋体" w:hAnsi="宋体" w:eastAsia="宋体" w:cs="宋体"/>
          <w:snapToGrid/>
          <w:color w:val="auto"/>
          <w:kern w:val="2"/>
          <w:sz w:val="24"/>
          <w:szCs w:val="24"/>
        </w:rPr>
        <w:t>甲方：</w:t>
      </w:r>
      <w:r>
        <w:rPr>
          <w:rFonts w:hint="eastAsia" w:ascii="宋体" w:hAnsi="宋体" w:eastAsia="宋体" w:cs="宋体"/>
          <w:snapToGrid/>
          <w:color w:val="auto"/>
          <w:kern w:val="2"/>
          <w:sz w:val="24"/>
          <w:szCs w:val="24"/>
          <w:u w:val="single"/>
          <w:lang w:eastAsia="zh-CN"/>
        </w:rPr>
        <w:t>海口市城市管理局</w:t>
      </w:r>
    </w:p>
    <w:p w14:paraId="5D4B4C6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u w:val="single"/>
        </w:rPr>
      </w:pPr>
      <w:r>
        <w:rPr>
          <w:rFonts w:hint="eastAsia" w:ascii="宋体" w:hAnsi="宋体" w:eastAsia="宋体" w:cs="宋体"/>
          <w:snapToGrid/>
          <w:color w:val="auto"/>
          <w:kern w:val="2"/>
          <w:sz w:val="24"/>
          <w:szCs w:val="24"/>
        </w:rPr>
        <w:t>乙方：</w:t>
      </w:r>
      <w:r>
        <w:rPr>
          <w:rFonts w:hint="eastAsia" w:ascii="宋体" w:hAnsi="宋体" w:eastAsia="宋体" w:cs="宋体"/>
          <w:snapToGrid/>
          <w:color w:val="auto"/>
          <w:kern w:val="2"/>
          <w:sz w:val="24"/>
          <w:szCs w:val="24"/>
          <w:u w:val="single"/>
        </w:rPr>
        <w:t xml:space="preserve">                          </w:t>
      </w:r>
    </w:p>
    <w:p w14:paraId="105FD8C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为了解决海口市</w:t>
      </w:r>
      <w:r>
        <w:rPr>
          <w:rFonts w:hint="eastAsia" w:ascii="宋体" w:hAnsi="宋体" w:eastAsia="宋体" w:cs="宋体"/>
          <w:snapToGrid/>
          <w:color w:val="auto"/>
          <w:kern w:val="2"/>
          <w:sz w:val="24"/>
          <w:szCs w:val="24"/>
          <w:lang w:eastAsia="zh-CN"/>
        </w:rPr>
        <w:t>垃圾</w:t>
      </w:r>
      <w:r>
        <w:rPr>
          <w:rFonts w:hint="eastAsia" w:ascii="宋体" w:hAnsi="宋体" w:eastAsia="宋体" w:cs="宋体"/>
          <w:snapToGrid/>
          <w:color w:val="auto"/>
          <w:kern w:val="2"/>
          <w:sz w:val="24"/>
          <w:szCs w:val="24"/>
        </w:rPr>
        <w:t>渗滤液污泥无害化处理的需要，甲方于</w:t>
      </w:r>
      <w:r>
        <w:rPr>
          <w:rFonts w:hint="eastAsia" w:ascii="宋体" w:hAnsi="宋体" w:eastAsia="宋体" w:cs="宋体"/>
          <w:snapToGrid/>
          <w:color w:val="auto"/>
          <w:kern w:val="2"/>
          <w:sz w:val="24"/>
          <w:szCs w:val="24"/>
          <w:lang w:val="en-US" w:eastAsia="zh-CN"/>
        </w:rPr>
        <w:t xml:space="preserve">   </w:t>
      </w:r>
      <w:r>
        <w:rPr>
          <w:rFonts w:hint="eastAsia" w:ascii="宋体" w:hAnsi="宋体" w:eastAsia="宋体" w:cs="宋体"/>
          <w:snapToGrid/>
          <w:color w:val="auto"/>
          <w:kern w:val="2"/>
          <w:sz w:val="24"/>
          <w:szCs w:val="24"/>
        </w:rPr>
        <w:t>年   月通过公开招标方式对“     ” (招标项目编号为</w:t>
      </w:r>
      <w:r>
        <w:rPr>
          <w:rFonts w:hint="eastAsia" w:ascii="宋体" w:hAnsi="宋体" w:eastAsia="宋体" w:cs="宋体"/>
          <w:snapToGrid/>
          <w:color w:val="auto"/>
          <w:kern w:val="2"/>
          <w:sz w:val="24"/>
          <w:szCs w:val="24"/>
          <w:lang w:val="en-US" w:eastAsia="zh-CN"/>
        </w:rPr>
        <w:t xml:space="preserve">     </w:t>
      </w:r>
      <w:r>
        <w:rPr>
          <w:rFonts w:hint="eastAsia" w:ascii="宋体" w:hAnsi="宋体" w:eastAsia="宋体" w:cs="宋体"/>
          <w:snapToGrid/>
          <w:color w:val="auto"/>
          <w:kern w:val="2"/>
          <w:sz w:val="24"/>
          <w:szCs w:val="24"/>
        </w:rPr>
        <w:t>)进行公开招标，确定乙方为本项目垃圾渗滤液污泥掺烧处理服务单位。甲、乙双方根据《中华人民共和国民法典》《中华人民共和国政府采购法》和招标文件的要求，经双方共同协商，签订本协议。</w:t>
      </w:r>
    </w:p>
    <w:p w14:paraId="375A416B">
      <w:pPr>
        <w:keepNext w:val="0"/>
        <w:keepLines w:val="0"/>
        <w:pageBreakBefore w:val="0"/>
        <w:kinsoku/>
        <w:wordWrap/>
        <w:overflowPunct/>
        <w:topLinePunct w:val="0"/>
        <w:autoSpaceDE/>
        <w:autoSpaceDN/>
        <w:bidi w:val="0"/>
        <w:spacing w:before="75" w:line="360" w:lineRule="auto"/>
        <w:ind w:left="3570"/>
        <w:textAlignment w:val="auto"/>
        <w:rPr>
          <w:rFonts w:hint="eastAsia" w:ascii="宋体" w:hAnsi="宋体" w:eastAsia="宋体" w:cs="宋体"/>
          <w:sz w:val="24"/>
          <w:szCs w:val="24"/>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w:t>
      </w:r>
      <w:r>
        <w:rPr>
          <w:rFonts w:hint="eastAsia" w:ascii="宋体" w:hAnsi="宋体" w:eastAsia="宋体" w:cs="宋体"/>
          <w:spacing w:val="8"/>
          <w:sz w:val="24"/>
          <w:szCs w:val="24"/>
          <w14:textOutline w14:w="4356" w14:cap="sq" w14:cmpd="sng" w14:algn="ctr">
            <w14:solidFill>
              <w14:srgbClr w14:val="000000"/>
            </w14:solidFill>
            <w14:prstDash w14:val="solid"/>
            <w14:bevel/>
          </w14:textOutline>
        </w:rPr>
        <w:t>一部分</w:t>
      </w:r>
      <w:r>
        <w:rPr>
          <w:rFonts w:hint="eastAsia" w:ascii="宋体" w:hAnsi="宋体" w:eastAsia="宋体" w:cs="宋体"/>
          <w:spacing w:val="8"/>
          <w:sz w:val="24"/>
          <w:szCs w:val="24"/>
        </w:rPr>
        <w:t xml:space="preserve">  </w:t>
      </w:r>
      <w:r>
        <w:rPr>
          <w:rFonts w:hint="eastAsia" w:ascii="宋体" w:hAnsi="宋体" w:eastAsia="宋体" w:cs="宋体"/>
          <w:spacing w:val="8"/>
          <w:sz w:val="24"/>
          <w:szCs w:val="24"/>
          <w14:textOutline w14:w="4356" w14:cap="sq" w14:cmpd="sng" w14:algn="ctr">
            <w14:solidFill>
              <w14:srgbClr w14:val="000000"/>
            </w14:solidFill>
            <w14:prstDash w14:val="solid"/>
            <w14:bevel/>
          </w14:textOutline>
        </w:rPr>
        <w:t>总则</w:t>
      </w:r>
    </w:p>
    <w:p w14:paraId="6EA26BB9">
      <w:pPr>
        <w:keepNext w:val="0"/>
        <w:keepLines w:val="0"/>
        <w:pageBreakBefore w:val="0"/>
        <w:kinsoku/>
        <w:wordWrap/>
        <w:overflowPunct/>
        <w:topLinePunct w:val="0"/>
        <w:autoSpaceDE/>
        <w:autoSpaceDN/>
        <w:bidi w:val="0"/>
        <w:spacing w:before="185" w:line="360" w:lineRule="auto"/>
        <w:ind w:firstLine="512" w:firstLineChars="200"/>
        <w:textAlignment w:val="auto"/>
        <w:rPr>
          <w:rFonts w:hint="eastAsia" w:ascii="宋体" w:hAnsi="宋体" w:eastAsia="宋体" w:cs="宋体"/>
          <w:sz w:val="24"/>
          <w:szCs w:val="24"/>
        </w:rPr>
      </w:pPr>
      <w:r>
        <w:rPr>
          <w:rFonts w:hint="eastAsia" w:ascii="宋体" w:hAnsi="宋体" w:eastAsia="宋体" w:cs="宋体"/>
          <w:spacing w:val="8"/>
          <w:sz w:val="24"/>
          <w:szCs w:val="24"/>
          <w14:textOutline w14:w="4356" w14:cap="sq" w14:cmpd="sng" w14:algn="ctr">
            <w14:solidFill>
              <w14:srgbClr w14:val="000000"/>
            </w14:solidFill>
            <w14:prstDash w14:val="solid"/>
            <w14:bevel/>
          </w14:textOutline>
        </w:rPr>
        <w:t>第</w:t>
      </w:r>
      <w:r>
        <w:rPr>
          <w:rFonts w:hint="eastAsia" w:ascii="宋体" w:hAnsi="宋体" w:eastAsia="宋体" w:cs="宋体"/>
          <w:spacing w:val="7"/>
          <w:sz w:val="24"/>
          <w:szCs w:val="24"/>
          <w14:textOutline w14:w="4356" w14:cap="sq" w14:cmpd="sng" w14:algn="ctr">
            <w14:solidFill>
              <w14:srgbClr w14:val="000000"/>
            </w14:solidFill>
            <w14:prstDash w14:val="solid"/>
            <w14:bevel/>
          </w14:textOutline>
        </w:rPr>
        <w:t>1条</w:t>
      </w:r>
      <w:r>
        <w:rPr>
          <w:rFonts w:hint="eastAsia" w:ascii="宋体" w:hAnsi="宋体" w:eastAsia="宋体" w:cs="宋体"/>
          <w:spacing w:val="7"/>
          <w:sz w:val="24"/>
          <w:szCs w:val="24"/>
        </w:rPr>
        <w:t xml:space="preserve"> </w:t>
      </w:r>
      <w:r>
        <w:rPr>
          <w:rFonts w:hint="eastAsia" w:ascii="宋体" w:hAnsi="宋体" w:eastAsia="宋体" w:cs="宋体"/>
          <w:spacing w:val="7"/>
          <w:sz w:val="24"/>
          <w:szCs w:val="24"/>
          <w14:textOutline w14:w="4356" w14:cap="sq" w14:cmpd="sng" w14:algn="ctr">
            <w14:solidFill>
              <w14:srgbClr w14:val="000000"/>
            </w14:solidFill>
            <w14:prstDash w14:val="solid"/>
            <w14:bevel/>
          </w14:textOutline>
        </w:rPr>
        <w:t>定义</w:t>
      </w:r>
    </w:p>
    <w:p w14:paraId="49DBC4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1.1 除非本协议另有规定，本协议出现的下述用语及语句具有下列含义：</w:t>
      </w:r>
    </w:p>
    <w:p w14:paraId="79E2ED5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 甲方：指海口市城市管理局</w:t>
      </w:r>
    </w:p>
    <w:p w14:paraId="55A8F7D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(2) 乙方：</w:t>
      </w:r>
    </w:p>
    <w:p w14:paraId="0D20E1A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(3) 第三方：指除甲乙双方以外的自然人、法人和其他组织。</w:t>
      </w:r>
    </w:p>
    <w:p w14:paraId="50CE195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(4) 本协议：指甲乙双方签订的《</w:t>
      </w:r>
      <w:r>
        <w:rPr>
          <w:rFonts w:hint="eastAsia" w:ascii="宋体" w:hAnsi="宋体" w:eastAsia="宋体" w:cs="宋体"/>
          <w:snapToGrid/>
          <w:color w:val="auto"/>
          <w:kern w:val="2"/>
          <w:sz w:val="24"/>
          <w:szCs w:val="24"/>
          <w:lang w:eastAsia="zh-CN"/>
        </w:rPr>
        <w:t>2025年海口市60吨每日垃圾渗滤液污泥掺烧处理服务</w:t>
      </w:r>
      <w:r>
        <w:rPr>
          <w:rFonts w:hint="eastAsia" w:ascii="宋体" w:hAnsi="宋体" w:eastAsia="宋体" w:cs="宋体"/>
          <w:snapToGrid/>
          <w:color w:val="auto"/>
          <w:kern w:val="2"/>
          <w:sz w:val="24"/>
          <w:szCs w:val="24"/>
        </w:rPr>
        <w:t>协议》及其附件，以及双方就该协议及其附件达成一致意见的所有补充文件。</w:t>
      </w:r>
    </w:p>
    <w:p w14:paraId="572B83F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(5) 项目：指</w:t>
      </w:r>
      <w:r>
        <w:rPr>
          <w:rFonts w:hint="eastAsia" w:ascii="宋体" w:hAnsi="宋体" w:eastAsia="宋体" w:cs="宋体"/>
          <w:snapToGrid/>
          <w:color w:val="auto"/>
          <w:kern w:val="2"/>
          <w:sz w:val="24"/>
          <w:szCs w:val="24"/>
          <w:lang w:eastAsia="zh-CN"/>
        </w:rPr>
        <w:t>2025年海口市60吨每日垃圾渗滤液污泥掺烧处理服务</w:t>
      </w:r>
      <w:r>
        <w:rPr>
          <w:rFonts w:hint="eastAsia" w:ascii="宋体" w:hAnsi="宋体" w:eastAsia="宋体" w:cs="宋体"/>
          <w:snapToGrid/>
          <w:color w:val="auto"/>
          <w:kern w:val="2"/>
          <w:sz w:val="24"/>
          <w:szCs w:val="24"/>
        </w:rPr>
        <w:t>。</w:t>
      </w:r>
    </w:p>
    <w:p w14:paraId="21113AE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(6) 项目设施：指</w:t>
      </w:r>
      <w:r>
        <w:rPr>
          <w:rFonts w:hint="eastAsia" w:ascii="宋体" w:hAnsi="宋体" w:eastAsia="宋体" w:cs="宋体"/>
          <w:snapToGrid/>
          <w:color w:val="auto"/>
          <w:kern w:val="2"/>
          <w:sz w:val="24"/>
          <w:szCs w:val="24"/>
          <w:lang w:eastAsia="zh-CN"/>
        </w:rPr>
        <w:t>2025年海口市60吨每日垃圾渗滤液污泥掺烧处理服务</w:t>
      </w:r>
      <w:r>
        <w:rPr>
          <w:rFonts w:hint="eastAsia" w:ascii="宋体" w:hAnsi="宋体" w:eastAsia="宋体" w:cs="宋体"/>
          <w:snapToGrid/>
          <w:color w:val="auto"/>
          <w:kern w:val="2"/>
          <w:sz w:val="24"/>
          <w:szCs w:val="24"/>
        </w:rPr>
        <w:t>项目提供服务所需的和所附带的场内固定资产、可移动资产及在其红线内的场地上附着的所有为实现本协议目的所需的相关设备和设施等。</w:t>
      </w:r>
    </w:p>
    <w:p w14:paraId="5FED333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(7) 处理服务费：指由甲方根据本协议的规定向乙方支付处理服务的费用为  元/吨（含税）。</w:t>
      </w:r>
    </w:p>
    <w:p w14:paraId="3831E97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(8) 环境污染：指与国家及地方政府的环境保护法律、法规不符，不被允许的空气、地表、地下及周围的土壤、水体等方面的污染。</w:t>
      </w:r>
    </w:p>
    <w:p w14:paraId="0FB75DD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(9) 行业规范：指中华人民共和国住建部、环保部或其它有关政府部门或机构对污泥处理行业安全生产及环境保护而设立和公布的关于系统、设备、设施及其设计、建设、测试、监测、运行、排污的标准、规定和规范。</w:t>
      </w:r>
    </w:p>
    <w:p w14:paraId="2FCA6A7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(10) 批文：指根据国家、海南省适用的法律或法规，必须从有关政府部门取得的批准、执照、许可、同意、授权、豁免或其它任何要求的批复文件。</w:t>
      </w:r>
    </w:p>
    <w:p w14:paraId="3802BB3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(11) 书面通知形式：指协议文件、信函、传真等可以有形地表现所载内容的形式。与协议有关的通知、批准、证明、证书、请示、要求、请求、同意、意见、确定和决定等，均应采取书面形式，并在双方约定的期限内送达指定的地点和接收人，并办理签收手续。</w:t>
      </w:r>
    </w:p>
    <w:p w14:paraId="23411D0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(12) 不可抗力：是指协议当事人在订立协议时不能预见、对其发生和后果不能避免并不能克服的客观情况，具体事件根据《中华人民共和国民法典》规定及其他相关规定。</w:t>
      </w:r>
    </w:p>
    <w:p w14:paraId="5DFF2B4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(13) 日、星期、月和年：指公历的日、星期、月和年，星期六、星期日、法定节假日和其他休息日均应计入；若规定支付任何款项之日不是工作日，则应在该等日期后的第一个工作日支付。</w:t>
      </w:r>
    </w:p>
    <w:p w14:paraId="7B672823">
      <w:pPr>
        <w:keepNext w:val="0"/>
        <w:keepLines w:val="0"/>
        <w:pageBreakBefore w:val="0"/>
        <w:kinsoku/>
        <w:wordWrap/>
        <w:overflowPunct/>
        <w:topLinePunct w:val="0"/>
        <w:autoSpaceDE/>
        <w:autoSpaceDN/>
        <w:bidi w:val="0"/>
        <w:spacing w:before="185" w:line="360" w:lineRule="auto"/>
        <w:ind w:firstLine="512" w:firstLineChars="200"/>
        <w:textAlignment w:val="auto"/>
        <w:rPr>
          <w:rFonts w:hint="eastAsia" w:ascii="宋体" w:hAnsi="宋体" w:eastAsia="宋体" w:cs="宋体"/>
          <w:sz w:val="24"/>
          <w:szCs w:val="24"/>
        </w:rPr>
      </w:pPr>
      <w:r>
        <w:rPr>
          <w:rFonts w:hint="eastAsia" w:ascii="宋体" w:hAnsi="宋体" w:eastAsia="宋体" w:cs="宋体"/>
          <w:spacing w:val="8"/>
          <w:sz w:val="24"/>
          <w:szCs w:val="24"/>
          <w14:textOutline w14:w="4356" w14:cap="sq" w14:cmpd="sng" w14:algn="ctr">
            <w14:solidFill>
              <w14:srgbClr w14:val="000000"/>
            </w14:solidFill>
            <w14:prstDash w14:val="solid"/>
            <w14:bevel/>
          </w14:textOutline>
        </w:rPr>
        <w:t>第</w:t>
      </w:r>
      <w:r>
        <w:rPr>
          <w:rFonts w:hint="eastAsia" w:ascii="宋体" w:hAnsi="宋体" w:eastAsia="宋体" w:cs="宋体"/>
          <w:spacing w:val="7"/>
          <w:sz w:val="24"/>
          <w:szCs w:val="24"/>
          <w14:textOutline w14:w="4356" w14:cap="sq" w14:cmpd="sng" w14:algn="ctr">
            <w14:solidFill>
              <w14:srgbClr w14:val="000000"/>
            </w14:solidFill>
            <w14:prstDash w14:val="solid"/>
            <w14:bevel/>
          </w14:textOutline>
        </w:rPr>
        <w:t>2条</w:t>
      </w:r>
      <w:r>
        <w:rPr>
          <w:rFonts w:hint="eastAsia" w:ascii="宋体" w:hAnsi="宋体" w:eastAsia="宋体" w:cs="宋体"/>
          <w:spacing w:val="7"/>
          <w:sz w:val="24"/>
          <w:szCs w:val="24"/>
        </w:rPr>
        <w:t xml:space="preserve"> </w:t>
      </w:r>
      <w:r>
        <w:rPr>
          <w:rFonts w:hint="eastAsia" w:ascii="宋体" w:hAnsi="宋体" w:eastAsia="宋体" w:cs="宋体"/>
          <w:spacing w:val="7"/>
          <w:sz w:val="24"/>
          <w:szCs w:val="24"/>
          <w14:textOutline w14:w="4356" w14:cap="sq" w14:cmpd="sng" w14:algn="ctr">
            <w14:solidFill>
              <w14:srgbClr w14:val="000000"/>
            </w14:solidFill>
            <w14:prstDash w14:val="solid"/>
            <w14:bevel/>
          </w14:textOutline>
        </w:rPr>
        <w:t>解释</w:t>
      </w:r>
    </w:p>
    <w:p w14:paraId="739C70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2.1 对本协议的解释应依照以下原则进行：</w:t>
      </w:r>
    </w:p>
    <w:p w14:paraId="3A5ADD9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 除非本协议另有规定或明示，其中提到的条款和附件均指本协议的条款和附件。</w:t>
      </w:r>
    </w:p>
    <w:p w14:paraId="0E52F72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(2) 除非本协议另有明确规定，当使用词组“包括”时，无论其是否包含“但不限于”字样，仍应视为包括本协议全部其它相关条款。</w:t>
      </w:r>
    </w:p>
    <w:p w14:paraId="48E294D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(3) 本协议任何章、条或款的小标题不应视为对本协议的当然解释，本协议的各个组成部分都具有同样的法律效力和同等的重要性。</w:t>
      </w:r>
    </w:p>
    <w:p w14:paraId="7C5BBB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(4) 在本协议中，无论何处及由任何人发出或颁发任何通知、同意、批准、证明或决定，除另有说明外，均指其书面形式。</w:t>
      </w:r>
    </w:p>
    <w:p w14:paraId="587869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(5) 提及本协议时应包括以任何方式修改、补充和替代的本协议及其附件。本协议的附件为本协议不可分割的组成部分。如协议的条款与本协议的修改、补充条款、协议附件条款有抵触之处，以形成时间在后的文件条款为准。</w:t>
      </w:r>
    </w:p>
    <w:p w14:paraId="5B59821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(6) 在本协议中，所提及的具体监管标准和考核标准均以属地管理的标准为依据。</w:t>
      </w:r>
    </w:p>
    <w:p w14:paraId="41C7EF6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snapToGrid/>
          <w:color w:val="auto"/>
          <w:kern w:val="2"/>
          <w:sz w:val="24"/>
          <w:szCs w:val="24"/>
        </w:rPr>
      </w:pPr>
      <w:r>
        <w:rPr>
          <w:rFonts w:hint="eastAsia" w:ascii="宋体" w:hAnsi="宋体" w:eastAsia="宋体" w:cs="宋体"/>
          <w:b/>
          <w:bCs/>
          <w:snapToGrid/>
          <w:color w:val="auto"/>
          <w:kern w:val="2"/>
          <w:sz w:val="24"/>
          <w:szCs w:val="24"/>
        </w:rPr>
        <w:t>第3条 协议背景</w:t>
      </w:r>
    </w:p>
    <w:p w14:paraId="589E126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3.1 协议背景</w:t>
      </w:r>
    </w:p>
    <w:p w14:paraId="742719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为规范海口市颜春岭垃圾渗滤液处理项目所产生的污泥得到有效处置，同时进一步提高污泥处置水平，保护和改善生态环境，促进经济、社会和环境可持续发展。</w:t>
      </w:r>
    </w:p>
    <w:p w14:paraId="2C03688B">
      <w:pPr>
        <w:keepNext w:val="0"/>
        <w:keepLines w:val="0"/>
        <w:pageBreakBefore w:val="0"/>
        <w:kinsoku/>
        <w:wordWrap/>
        <w:overflowPunct/>
        <w:topLinePunct w:val="0"/>
        <w:autoSpaceDE/>
        <w:autoSpaceDN/>
        <w:bidi w:val="0"/>
        <w:spacing w:before="184" w:line="360" w:lineRule="auto"/>
        <w:ind w:firstLine="512" w:firstLineChars="200"/>
        <w:textAlignment w:val="auto"/>
        <w:rPr>
          <w:rFonts w:hint="eastAsia" w:ascii="宋体" w:hAnsi="宋体" w:eastAsia="宋体" w:cs="宋体"/>
          <w:spacing w:val="22"/>
          <w:sz w:val="24"/>
          <w:szCs w:val="24"/>
        </w:rPr>
      </w:pPr>
      <w:r>
        <w:rPr>
          <w:rFonts w:hint="eastAsia" w:ascii="宋体" w:hAnsi="宋体" w:eastAsia="宋体" w:cs="宋体"/>
          <w:spacing w:val="8"/>
          <w:sz w:val="24"/>
          <w:szCs w:val="24"/>
          <w14:textOutline w14:w="4356" w14:cap="sq" w14:cmpd="sng" w14:algn="ctr">
            <w14:solidFill>
              <w14:srgbClr w14:val="000000"/>
            </w14:solidFill>
            <w14:prstDash w14:val="solid"/>
            <w14:bevel/>
          </w14:textOutline>
        </w:rPr>
        <w:t>第4条 协议构成及优先次序</w:t>
      </w:r>
    </w:p>
    <w:p w14:paraId="305C2C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4.1 协议构成</w:t>
      </w:r>
    </w:p>
    <w:p w14:paraId="040CE05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组成本合同的文件包括：</w:t>
      </w:r>
    </w:p>
    <w:p w14:paraId="3ADF54A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 本协议书正文及全部附件</w:t>
      </w:r>
    </w:p>
    <w:p w14:paraId="0DFD33B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(2) 中标通知书</w:t>
      </w:r>
    </w:p>
    <w:p w14:paraId="753974A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 xml:space="preserve">(3) </w:t>
      </w:r>
      <w:r>
        <w:rPr>
          <w:rFonts w:hint="eastAsia" w:ascii="宋体" w:hAnsi="宋体" w:eastAsia="宋体" w:cs="宋体"/>
          <w:snapToGrid/>
          <w:color w:val="auto"/>
          <w:kern w:val="2"/>
          <w:sz w:val="24"/>
          <w:szCs w:val="24"/>
          <w:lang w:val="en-US" w:eastAsia="zh-CN"/>
        </w:rPr>
        <w:t>招标文件、投标文件</w:t>
      </w:r>
      <w:r>
        <w:rPr>
          <w:rFonts w:hint="eastAsia" w:ascii="宋体" w:hAnsi="宋体" w:eastAsia="宋体" w:cs="宋体"/>
          <w:snapToGrid/>
          <w:color w:val="auto"/>
          <w:kern w:val="2"/>
          <w:sz w:val="24"/>
          <w:szCs w:val="24"/>
        </w:rPr>
        <w:t>及其附件</w:t>
      </w:r>
    </w:p>
    <w:p w14:paraId="6572360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(4) 本协议涉及的移交资料</w:t>
      </w:r>
    </w:p>
    <w:p w14:paraId="6F2E1A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(5) 标准、规范及有关技术文件等</w:t>
      </w:r>
    </w:p>
    <w:p w14:paraId="4DE7E6C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(6) 图纸</w:t>
      </w:r>
    </w:p>
    <w:p w14:paraId="360085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(7) 双方有关项目的洽商、变更等书面协议或文件视为本合同的组成部分。</w:t>
      </w:r>
    </w:p>
    <w:p w14:paraId="45CDD22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4.2 协议的优先次序</w:t>
      </w:r>
    </w:p>
    <w:p w14:paraId="5DF3DB3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第4.1款所规定的本协议各组成部分形成一个整体互为补充和解释。其内容若有歧义，以书面形式签署的文件、协议等时间在后者为准。但甲乙双方另有书面约定的除外。</w:t>
      </w:r>
    </w:p>
    <w:p w14:paraId="44D1B6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4.3 协议的不可分割性</w:t>
      </w:r>
    </w:p>
    <w:p w14:paraId="37A786B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如果本协议任何条款不合法、无效或不能执行，或者被任何有管辖权的法院宣布为不合法、无效或不能执行，则其他条款仍然有效和可执行，且甲乙双方应商定对不合法、无效或不能执行的条款进行修改或更换，使之合法、有效并可执行，并且这些修改或更改均不应该作为一个整体所本应赋予它的含义。</w:t>
      </w:r>
    </w:p>
    <w:p w14:paraId="05D34E19">
      <w:pPr>
        <w:keepNext w:val="0"/>
        <w:keepLines w:val="0"/>
        <w:pageBreakBefore w:val="0"/>
        <w:kinsoku/>
        <w:wordWrap/>
        <w:overflowPunct/>
        <w:topLinePunct w:val="0"/>
        <w:autoSpaceDE/>
        <w:autoSpaceDN/>
        <w:bidi w:val="0"/>
        <w:spacing w:before="184" w:line="360" w:lineRule="auto"/>
        <w:ind w:firstLine="512" w:firstLineChars="200"/>
        <w:textAlignment w:val="auto"/>
        <w:rPr>
          <w:rFonts w:hint="eastAsia" w:ascii="宋体" w:hAnsi="宋体" w:eastAsia="宋体" w:cs="宋体"/>
          <w:spacing w:val="8"/>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8"/>
          <w:sz w:val="24"/>
          <w:szCs w:val="24"/>
          <w14:textOutline w14:w="4356" w14:cap="sq" w14:cmpd="sng" w14:algn="ctr">
            <w14:solidFill>
              <w14:srgbClr w14:val="000000"/>
            </w14:solidFill>
            <w14:prstDash w14:val="solid"/>
            <w14:bevel/>
          </w14:textOutline>
        </w:rPr>
        <w:t>第5条 声明与保证</w:t>
      </w:r>
    </w:p>
    <w:p w14:paraId="6BD24F0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5.1 甲方的声明和保证</w:t>
      </w:r>
    </w:p>
    <w:p w14:paraId="4703C5F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 甲方保证本协议的签署将不违反对其具有约束力的任何法律、法规和合同性文件的规定。</w:t>
      </w:r>
    </w:p>
    <w:p w14:paraId="2E0969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(2) 甲方保证不存在任何与本项目有关的由甲方作为一方签署、并可能对本项目或乙方产生重大不利影响的合同、协议。</w:t>
      </w:r>
    </w:p>
    <w:p w14:paraId="7B34D49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5.2 乙方的陈述和保证</w:t>
      </w:r>
    </w:p>
    <w:p w14:paraId="62B762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 乙方保证具有 (民事权利能力和民事行为能力) 和所有必需的授权，本协议的签署将不违反其授权文件的任何内容或对其具有约束力的任何法律、法规和政策性文件的规定。</w:t>
      </w:r>
    </w:p>
    <w:p w14:paraId="4946CE8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(2) 乙方保证不存在任何与本项目有关的由乙方作为一方签署、并可能对本项目或甲方产生重大不利影响的合同、协议。</w:t>
      </w:r>
    </w:p>
    <w:p w14:paraId="69440447">
      <w:pPr>
        <w:keepNext w:val="0"/>
        <w:keepLines w:val="0"/>
        <w:pageBreakBefore w:val="0"/>
        <w:kinsoku/>
        <w:wordWrap/>
        <w:overflowPunct/>
        <w:topLinePunct w:val="0"/>
        <w:autoSpaceDE/>
        <w:autoSpaceDN/>
        <w:bidi w:val="0"/>
        <w:spacing w:before="75" w:line="360" w:lineRule="auto"/>
        <w:ind w:left="357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p>
    <w:p w14:paraId="0A92F270">
      <w:pPr>
        <w:keepNext w:val="0"/>
        <w:keepLines w:val="0"/>
        <w:pageBreakBefore w:val="0"/>
        <w:kinsoku/>
        <w:wordWrap/>
        <w:overflowPunct/>
        <w:topLinePunct w:val="0"/>
        <w:autoSpaceDE/>
        <w:autoSpaceDN/>
        <w:bidi w:val="0"/>
        <w:spacing w:before="75" w:line="360" w:lineRule="auto"/>
        <w:ind w:left="357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第二部分 协议主体</w:t>
      </w:r>
    </w:p>
    <w:p w14:paraId="48C9E129">
      <w:pPr>
        <w:keepNext w:val="0"/>
        <w:keepLines w:val="0"/>
        <w:pageBreakBefore w:val="0"/>
        <w:kinsoku/>
        <w:wordWrap/>
        <w:overflowPunct/>
        <w:topLinePunct w:val="0"/>
        <w:autoSpaceDE/>
        <w:autoSpaceDN/>
        <w:bidi w:val="0"/>
        <w:spacing w:before="75"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第6条 主体资格</w:t>
      </w:r>
    </w:p>
    <w:p w14:paraId="59C6EE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6.1 甲方作为主管部门，是本项目的业主单位。</w:t>
      </w:r>
    </w:p>
    <w:p w14:paraId="0A01D8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6.2 乙方作为专业公司，拥有完整的履行本协议的能力和经验。</w:t>
      </w:r>
    </w:p>
    <w:p w14:paraId="145BFDAD">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22"/>
          <w:sz w:val="24"/>
          <w:szCs w:val="24"/>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第7条 双方的权利和义务</w:t>
      </w:r>
    </w:p>
    <w:p w14:paraId="2FB33E7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7.1在处理服务期内，甲方享有以下权利：</w:t>
      </w:r>
    </w:p>
    <w:p w14:paraId="6FEF5A9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 根据本协议的规定，甲方对乙方符合政策、法规规定的处理服务、安全生产、设施设备运行、环保措施、服务质量、属地管理的监督考核等进行监督和管理；</w:t>
      </w:r>
    </w:p>
    <w:p w14:paraId="28536CE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(2) 通知属地管理部门或自行受理公众对乙方的投诉，通知属地管理部门或自行及时将服务质量检查、监测、评估结果和整改情况以适当方式向社会公布；</w:t>
      </w:r>
    </w:p>
    <w:p w14:paraId="666F9B9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rPr>
        <w:t>(3) 在乙方违反本协议相关规定的情况下，执行相关违约处罚</w:t>
      </w:r>
      <w:r>
        <w:rPr>
          <w:rFonts w:hint="eastAsia" w:ascii="宋体" w:hAnsi="宋体" w:eastAsia="宋体" w:cs="宋体"/>
          <w:snapToGrid/>
          <w:color w:val="auto"/>
          <w:kern w:val="2"/>
          <w:sz w:val="24"/>
          <w:szCs w:val="24"/>
          <w:lang w:eastAsia="zh-CN"/>
        </w:rPr>
        <w:t>；</w:t>
      </w:r>
    </w:p>
    <w:p w14:paraId="0491D92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rPr>
        <w:t>(4) 对乙方的处理质量按照属地管理认可的考核标准进行考核，并以考核结果作为结算依据之一</w:t>
      </w:r>
      <w:r>
        <w:rPr>
          <w:rFonts w:hint="eastAsia" w:ascii="宋体" w:hAnsi="宋体" w:eastAsia="宋体" w:cs="宋体"/>
          <w:snapToGrid/>
          <w:color w:val="auto"/>
          <w:kern w:val="2"/>
          <w:sz w:val="24"/>
          <w:szCs w:val="24"/>
          <w:lang w:eastAsia="zh-CN"/>
        </w:rPr>
        <w:t>；</w:t>
      </w:r>
    </w:p>
    <w:p w14:paraId="6D3DD45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(5) 其他法律法规和本协议规定的权利。</w:t>
      </w:r>
    </w:p>
    <w:p w14:paraId="5D86432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7.2 在服务处理期内，甲方履行以下义务：</w:t>
      </w:r>
    </w:p>
    <w:p w14:paraId="59621D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rPr>
        <w:t>(1) 向乙方按时足额支付</w:t>
      </w:r>
      <w:r>
        <w:rPr>
          <w:rFonts w:hint="eastAsia" w:ascii="宋体" w:hAnsi="宋体" w:eastAsia="宋体" w:cs="宋体"/>
          <w:snapToGrid/>
          <w:color w:val="auto"/>
          <w:kern w:val="2"/>
          <w:sz w:val="24"/>
          <w:szCs w:val="24"/>
          <w:lang w:eastAsia="zh-CN"/>
        </w:rPr>
        <w:t>垃圾渗滤液</w:t>
      </w:r>
      <w:r>
        <w:rPr>
          <w:rFonts w:hint="eastAsia" w:ascii="宋体" w:hAnsi="宋体" w:eastAsia="宋体" w:cs="宋体"/>
          <w:snapToGrid/>
          <w:color w:val="auto"/>
          <w:kern w:val="2"/>
          <w:sz w:val="24"/>
          <w:szCs w:val="24"/>
        </w:rPr>
        <w:t>污泥处理服务费</w:t>
      </w:r>
      <w:r>
        <w:rPr>
          <w:rFonts w:hint="eastAsia" w:ascii="宋体" w:hAnsi="宋体" w:eastAsia="宋体" w:cs="宋体"/>
          <w:snapToGrid/>
          <w:color w:val="auto"/>
          <w:kern w:val="2"/>
          <w:sz w:val="24"/>
          <w:szCs w:val="24"/>
          <w:lang w:eastAsia="zh-CN"/>
        </w:rPr>
        <w:t>；</w:t>
      </w:r>
    </w:p>
    <w:p w14:paraId="292256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(2) 负责成分为一般固体废物的污泥供应；</w:t>
      </w:r>
    </w:p>
    <w:p w14:paraId="777082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rPr>
        <w:t>(3) 协助乙方取得有关批文。在本协议有效期内，如政府要求取得相关批文，乙方为保持本项目的正常生产经营，需要取得政府方的相关协议批文的，甲方应尽力协助乙方并协调有关部门在法定期限内取得</w:t>
      </w:r>
      <w:r>
        <w:rPr>
          <w:rFonts w:hint="eastAsia" w:ascii="宋体" w:hAnsi="宋体" w:eastAsia="宋体" w:cs="宋体"/>
          <w:snapToGrid/>
          <w:color w:val="auto"/>
          <w:kern w:val="2"/>
          <w:sz w:val="24"/>
          <w:szCs w:val="24"/>
          <w:lang w:eastAsia="zh-CN"/>
        </w:rPr>
        <w:t>；</w:t>
      </w:r>
    </w:p>
    <w:p w14:paraId="7068193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rPr>
        <w:t>(4) 在服务处理期内，甲方应尽力协助乙方获得符合法律规定的相关扶持政策</w:t>
      </w:r>
      <w:r>
        <w:rPr>
          <w:rFonts w:hint="eastAsia" w:ascii="宋体" w:hAnsi="宋体" w:eastAsia="宋体" w:cs="宋体"/>
          <w:snapToGrid/>
          <w:color w:val="auto"/>
          <w:kern w:val="2"/>
          <w:sz w:val="24"/>
          <w:szCs w:val="24"/>
          <w:lang w:eastAsia="zh-CN"/>
        </w:rPr>
        <w:t>；</w:t>
      </w:r>
    </w:p>
    <w:p w14:paraId="5EB749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rPr>
        <w:t>(5) 在服务处理期内，如乙方发现因政策、文件变化等问题对项目处理造成影响的，甲方有义务协调解决</w:t>
      </w:r>
      <w:r>
        <w:rPr>
          <w:rFonts w:hint="eastAsia" w:ascii="宋体" w:hAnsi="宋体" w:eastAsia="宋体" w:cs="宋体"/>
          <w:snapToGrid/>
          <w:color w:val="auto"/>
          <w:kern w:val="2"/>
          <w:sz w:val="24"/>
          <w:szCs w:val="24"/>
          <w:lang w:eastAsia="zh-CN"/>
        </w:rPr>
        <w:t>；</w:t>
      </w:r>
    </w:p>
    <w:p w14:paraId="2972FE3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(6) 依据本协议约定应当履行的其他义务。</w:t>
      </w:r>
    </w:p>
    <w:p w14:paraId="4A86251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7.3 在服务处理期内，乙方享有以下权利：</w:t>
      </w:r>
    </w:p>
    <w:p w14:paraId="5A563B9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 享有投资、建设、处理和维护污泥处理及其相关附属设施的权利；</w:t>
      </w:r>
    </w:p>
    <w:p w14:paraId="7C1A3B4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(2) 对污泥与本项目有关的设施、设备享有使用权和管理权；</w:t>
      </w:r>
    </w:p>
    <w:p w14:paraId="563EE43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(3) 在服务期内对项目资产享有所有权；</w:t>
      </w:r>
    </w:p>
    <w:p w14:paraId="460586D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(4) 享有对项目场地的土地使用权；</w:t>
      </w:r>
    </w:p>
    <w:p w14:paraId="75DBACE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(5) 按本协议的约定收取污泥处理服务费；</w:t>
      </w:r>
    </w:p>
    <w:p w14:paraId="3FC0B62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(6) 利用污泥焚烧余热发电上网，对污泥焚烧发电资源化利用的受益权。</w:t>
      </w:r>
    </w:p>
    <w:p w14:paraId="44F62E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7.4 在服务处理期内，乙方履行以下义务：</w:t>
      </w:r>
    </w:p>
    <w:p w14:paraId="19A187E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 提供持续、安全、稳定的、符合国家、省市处理标准的污泥处理服务。</w:t>
      </w:r>
    </w:p>
    <w:p w14:paraId="38F5451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(2)环境保护义务。在本项目服务处理过程中，乙方应依据国家有关法律、法规、规章、环保政策及规定、环境保护及环境卫生管理部门的要求，采取一切合理有效的措施，最大限度地避免和预防对周围环境的污染和居民生活的干扰。</w:t>
      </w:r>
    </w:p>
    <w:p w14:paraId="175F3FB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(3) 乙方应严格安全生产管理，坚持安全第一，预防为主的方针，防止和减少生产安全事故，保障人民群众</w:t>
      </w:r>
      <w:r>
        <w:rPr>
          <w:rFonts w:hint="eastAsia" w:ascii="宋体" w:hAnsi="宋体" w:eastAsia="宋体" w:cs="宋体"/>
          <w:snapToGrid/>
          <w:color w:val="auto"/>
          <w:kern w:val="2"/>
          <w:sz w:val="24"/>
          <w:szCs w:val="24"/>
          <w:lang w:val="en-US" w:eastAsia="zh-CN"/>
        </w:rPr>
        <w:t>人身</w:t>
      </w:r>
      <w:r>
        <w:rPr>
          <w:rFonts w:hint="eastAsia" w:ascii="宋体" w:hAnsi="宋体" w:eastAsia="宋体" w:cs="宋体"/>
          <w:snapToGrid/>
          <w:color w:val="auto"/>
          <w:kern w:val="2"/>
          <w:sz w:val="24"/>
          <w:szCs w:val="24"/>
        </w:rPr>
        <w:t>和财产安全。</w:t>
      </w:r>
    </w:p>
    <w:p w14:paraId="159747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(4) 服务处理期间，乙方应按标准和规范要求做好消防工作，并及时检查、更换消防设施。</w:t>
      </w:r>
    </w:p>
    <w:p w14:paraId="3F073EC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(5) 因乙方原因发生的安全事故以及其他污染事故，均由乙方负责，并承担经济赔偿及法律责任。</w:t>
      </w:r>
    </w:p>
    <w:p w14:paraId="381087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(6) 乙方每月及时将上月服务处理结算的审核资料汇总交甲方审核确认。</w:t>
      </w:r>
    </w:p>
    <w:p w14:paraId="1521AB4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(7) 环保部门检查的问题乙方及时向甲方书面汇报。</w:t>
      </w:r>
    </w:p>
    <w:p w14:paraId="12596B1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(8) 依据本协议约定应当履行的其他义务。</w:t>
      </w:r>
    </w:p>
    <w:p w14:paraId="258C86F2">
      <w:pPr>
        <w:keepNext w:val="0"/>
        <w:keepLines w:val="0"/>
        <w:pageBreakBefore w:val="0"/>
        <w:kinsoku/>
        <w:wordWrap/>
        <w:overflowPunct/>
        <w:topLinePunct w:val="0"/>
        <w:autoSpaceDE/>
        <w:autoSpaceDN/>
        <w:bidi w:val="0"/>
        <w:spacing w:before="184" w:line="360" w:lineRule="auto"/>
        <w:ind w:left="769"/>
        <w:jc w:val="center"/>
        <w:textAlignment w:val="auto"/>
        <w:rPr>
          <w:rFonts w:hint="eastAsia" w:ascii="宋体" w:hAnsi="宋体" w:eastAsia="宋体" w:cs="宋体"/>
          <w:spacing w:val="22"/>
          <w:sz w:val="24"/>
          <w:szCs w:val="24"/>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第三部分 处理和维护</w:t>
      </w:r>
    </w:p>
    <w:p w14:paraId="20F200FD">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第8条 污泥处理的标准和要求</w:t>
      </w:r>
    </w:p>
    <w:p w14:paraId="45FCC42A">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8.1烟气排放标准</w:t>
      </w:r>
    </w:p>
    <w:p w14:paraId="61F37AA1">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本项目污泥处理过程中的运营质量必须符合海南省垃圾焚烧发电规范要求，机组烟气排放指标严格按照生活垃圾焚烧污染控制标准(DB46/484-2019) 标准达标排放。因此本项目的机组烟气排放指标要高于国标生活垃圾焚烧污染控制标准(GB 18485-2014）中的排放要求</w:t>
      </w:r>
      <w:r>
        <w:rPr>
          <w:rFonts w:hint="eastAsia" w:ascii="宋体" w:hAnsi="宋体" w:eastAsia="宋体" w:cs="宋体"/>
          <w:sz w:val="24"/>
          <w:szCs w:val="24"/>
          <w:lang w:eastAsia="zh-CN"/>
        </w:rPr>
        <w:t>。</w:t>
      </w:r>
    </w:p>
    <w:p w14:paraId="3C8D1327">
      <w:pPr>
        <w:pStyle w:val="10"/>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表1 烟气排放指标表</w:t>
      </w:r>
    </w:p>
    <w:tbl>
      <w:tblPr>
        <w:tblStyle w:val="6"/>
        <w:tblW w:w="8538" w:type="dxa"/>
        <w:jc w:val="center"/>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Layout w:type="fixed"/>
        <w:tblCellMar>
          <w:top w:w="0" w:type="dxa"/>
          <w:left w:w="0" w:type="dxa"/>
          <w:bottom w:w="0" w:type="dxa"/>
          <w:right w:w="0" w:type="dxa"/>
        </w:tblCellMar>
      </w:tblPr>
      <w:tblGrid>
        <w:gridCol w:w="480"/>
        <w:gridCol w:w="1684"/>
        <w:gridCol w:w="1368"/>
        <w:gridCol w:w="1275"/>
        <w:gridCol w:w="1345"/>
        <w:gridCol w:w="1192"/>
        <w:gridCol w:w="1194"/>
      </w:tblGrid>
      <w:tr w14:paraId="5CB0D36B">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35" w:hRule="atLeast"/>
          <w:jc w:val="center"/>
        </w:trPr>
        <w:tc>
          <w:tcPr>
            <w:tcW w:w="480" w:type="dxa"/>
            <w:vMerge w:val="restart"/>
            <w:tcBorders>
              <w:top w:val="thinThickSmallGap" w:color="auto" w:sz="12" w:space="0"/>
              <w:left w:val="thinThickSmallGap" w:color="auto" w:sz="12" w:space="0"/>
              <w:bottom w:val="single" w:color="auto" w:sz="4" w:space="0"/>
              <w:right w:val="single" w:color="auto" w:sz="4" w:space="0"/>
            </w:tcBorders>
            <w:vAlign w:val="center"/>
          </w:tcPr>
          <w:p w14:paraId="30FC2263">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序</w:t>
            </w:r>
          </w:p>
          <w:p w14:paraId="0ADD519D">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号</w:t>
            </w:r>
          </w:p>
        </w:tc>
        <w:tc>
          <w:tcPr>
            <w:tcW w:w="1684" w:type="dxa"/>
            <w:vMerge w:val="restart"/>
            <w:tcBorders>
              <w:top w:val="thinThickSmallGap" w:color="auto" w:sz="12" w:space="0"/>
              <w:left w:val="single" w:color="auto" w:sz="4" w:space="0"/>
              <w:bottom w:val="single" w:color="auto" w:sz="4" w:space="0"/>
              <w:right w:val="single" w:color="auto" w:sz="4" w:space="0"/>
            </w:tcBorders>
            <w:vAlign w:val="center"/>
          </w:tcPr>
          <w:p w14:paraId="796D3489">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污染物名称</w:t>
            </w:r>
          </w:p>
        </w:tc>
        <w:tc>
          <w:tcPr>
            <w:tcW w:w="1368" w:type="dxa"/>
            <w:vMerge w:val="restart"/>
            <w:tcBorders>
              <w:top w:val="thinThickSmallGap" w:color="auto" w:sz="12" w:space="0"/>
              <w:left w:val="single" w:color="auto" w:sz="4" w:space="0"/>
              <w:bottom w:val="single" w:color="auto" w:sz="4" w:space="0"/>
              <w:right w:val="single" w:color="auto" w:sz="4" w:space="0"/>
            </w:tcBorders>
            <w:vAlign w:val="center"/>
          </w:tcPr>
          <w:p w14:paraId="2D9B32F1">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单 位</w:t>
            </w:r>
          </w:p>
        </w:tc>
        <w:tc>
          <w:tcPr>
            <w:tcW w:w="2620" w:type="dxa"/>
            <w:gridSpan w:val="2"/>
            <w:tcBorders>
              <w:top w:val="thinThickSmallGap" w:color="auto" w:sz="12" w:space="0"/>
              <w:left w:val="single" w:color="auto" w:sz="4" w:space="0"/>
              <w:bottom w:val="single" w:color="auto" w:sz="4" w:space="0"/>
              <w:right w:val="single" w:color="auto" w:sz="4" w:space="0"/>
            </w:tcBorders>
            <w:vAlign w:val="center"/>
          </w:tcPr>
          <w:p w14:paraId="36CD1007">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GB18485-2014</w:t>
            </w:r>
          </w:p>
        </w:tc>
        <w:tc>
          <w:tcPr>
            <w:tcW w:w="2386" w:type="dxa"/>
            <w:gridSpan w:val="2"/>
            <w:tcBorders>
              <w:top w:val="thinThickSmallGap" w:color="auto" w:sz="12" w:space="0"/>
              <w:left w:val="single" w:color="auto" w:sz="4" w:space="0"/>
              <w:bottom w:val="single" w:color="auto" w:sz="4" w:space="0"/>
              <w:right w:val="thickThinSmallGap" w:color="auto" w:sz="12" w:space="0"/>
            </w:tcBorders>
            <w:vAlign w:val="center"/>
          </w:tcPr>
          <w:p w14:paraId="232CE243">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sz w:val="24"/>
                <w:szCs w:val="24"/>
              </w:rPr>
              <w:t>DB46/484-2019</w:t>
            </w:r>
          </w:p>
        </w:tc>
      </w:tr>
      <w:tr w14:paraId="10D19970">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480" w:type="dxa"/>
            <w:vMerge w:val="continue"/>
            <w:tcBorders>
              <w:top w:val="thinThickSmallGap" w:color="auto" w:sz="12" w:space="0"/>
              <w:left w:val="thinThickSmallGap" w:color="auto" w:sz="12" w:space="0"/>
              <w:bottom w:val="single" w:color="auto" w:sz="4" w:space="0"/>
              <w:right w:val="single" w:color="auto" w:sz="4" w:space="0"/>
            </w:tcBorders>
            <w:vAlign w:val="center"/>
          </w:tcPr>
          <w:p w14:paraId="38D41D96">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c>
          <w:tcPr>
            <w:tcW w:w="1684" w:type="dxa"/>
            <w:vMerge w:val="continue"/>
            <w:tcBorders>
              <w:top w:val="thinThickSmallGap" w:color="auto" w:sz="12" w:space="0"/>
              <w:left w:val="single" w:color="auto" w:sz="4" w:space="0"/>
              <w:bottom w:val="single" w:color="auto" w:sz="4" w:space="0"/>
              <w:right w:val="single" w:color="auto" w:sz="4" w:space="0"/>
            </w:tcBorders>
            <w:vAlign w:val="center"/>
          </w:tcPr>
          <w:p w14:paraId="3C8918A7">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c>
          <w:tcPr>
            <w:tcW w:w="1368" w:type="dxa"/>
            <w:vMerge w:val="continue"/>
            <w:tcBorders>
              <w:top w:val="thinThickSmallGap" w:color="auto" w:sz="12" w:space="0"/>
              <w:left w:val="single" w:color="auto" w:sz="4" w:space="0"/>
              <w:bottom w:val="single" w:color="auto" w:sz="4" w:space="0"/>
              <w:right w:val="single" w:color="auto" w:sz="4" w:space="0"/>
            </w:tcBorders>
            <w:vAlign w:val="center"/>
          </w:tcPr>
          <w:p w14:paraId="128E54D1">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c>
          <w:tcPr>
            <w:tcW w:w="1275" w:type="dxa"/>
            <w:tcBorders>
              <w:top w:val="single" w:color="auto" w:sz="4" w:space="0"/>
              <w:left w:val="single" w:color="auto" w:sz="4" w:space="0"/>
              <w:bottom w:val="single" w:color="auto" w:sz="4" w:space="0"/>
              <w:right w:val="single" w:color="auto" w:sz="4" w:space="0"/>
            </w:tcBorders>
            <w:vAlign w:val="center"/>
          </w:tcPr>
          <w:p w14:paraId="012FE994">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日均值</w:t>
            </w:r>
          </w:p>
        </w:tc>
        <w:tc>
          <w:tcPr>
            <w:tcW w:w="1345" w:type="dxa"/>
            <w:tcBorders>
              <w:top w:val="single" w:color="auto" w:sz="4" w:space="0"/>
              <w:left w:val="single" w:color="auto" w:sz="4" w:space="0"/>
              <w:bottom w:val="single" w:color="auto" w:sz="4" w:space="0"/>
              <w:right w:val="single" w:color="auto" w:sz="4" w:space="0"/>
            </w:tcBorders>
            <w:vAlign w:val="center"/>
          </w:tcPr>
          <w:p w14:paraId="1921AA31">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小时均值</w:t>
            </w:r>
          </w:p>
        </w:tc>
        <w:tc>
          <w:tcPr>
            <w:tcW w:w="1192" w:type="dxa"/>
            <w:tcBorders>
              <w:top w:val="single" w:color="auto" w:sz="4" w:space="0"/>
              <w:left w:val="single" w:color="auto" w:sz="4" w:space="0"/>
              <w:bottom w:val="single" w:color="auto" w:sz="4" w:space="0"/>
              <w:right w:val="single" w:color="auto" w:sz="4" w:space="0"/>
            </w:tcBorders>
            <w:vAlign w:val="center"/>
          </w:tcPr>
          <w:p w14:paraId="21449C35">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kern w:val="0"/>
                <w:sz w:val="24"/>
                <w:szCs w:val="24"/>
              </w:rPr>
              <w:t>日平均</w:t>
            </w:r>
          </w:p>
        </w:tc>
        <w:tc>
          <w:tcPr>
            <w:tcW w:w="1194" w:type="dxa"/>
            <w:tcBorders>
              <w:top w:val="single" w:color="auto" w:sz="4" w:space="0"/>
              <w:left w:val="single" w:color="auto" w:sz="4" w:space="0"/>
              <w:bottom w:val="single" w:color="auto" w:sz="4" w:space="0"/>
              <w:right w:val="thickThinSmallGap" w:color="auto" w:sz="12" w:space="0"/>
            </w:tcBorders>
            <w:vAlign w:val="center"/>
          </w:tcPr>
          <w:p w14:paraId="4B492D5B">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小时均值</w:t>
            </w:r>
          </w:p>
        </w:tc>
      </w:tr>
      <w:tr w14:paraId="22E3CD66">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480" w:type="dxa"/>
            <w:tcBorders>
              <w:top w:val="single" w:color="auto" w:sz="4" w:space="0"/>
              <w:left w:val="thinThickSmallGap" w:color="auto" w:sz="12" w:space="0"/>
              <w:bottom w:val="single" w:color="auto" w:sz="4" w:space="0"/>
              <w:right w:val="single" w:color="auto" w:sz="4" w:space="0"/>
            </w:tcBorders>
            <w:vAlign w:val="center"/>
          </w:tcPr>
          <w:p w14:paraId="52EB79B1">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684" w:type="dxa"/>
            <w:tcBorders>
              <w:top w:val="single" w:color="auto" w:sz="4" w:space="0"/>
              <w:left w:val="single" w:color="auto" w:sz="4" w:space="0"/>
              <w:bottom w:val="single" w:color="auto" w:sz="4" w:space="0"/>
              <w:right w:val="single" w:color="auto" w:sz="4" w:space="0"/>
            </w:tcBorders>
            <w:vAlign w:val="center"/>
          </w:tcPr>
          <w:p w14:paraId="5100D7FA">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颗粒物</w:t>
            </w:r>
          </w:p>
        </w:tc>
        <w:tc>
          <w:tcPr>
            <w:tcW w:w="1368" w:type="dxa"/>
            <w:tcBorders>
              <w:top w:val="single" w:color="auto" w:sz="4" w:space="0"/>
              <w:left w:val="single" w:color="auto" w:sz="4" w:space="0"/>
              <w:bottom w:val="single" w:color="auto" w:sz="4" w:space="0"/>
              <w:right w:val="single" w:color="auto" w:sz="4" w:space="0"/>
            </w:tcBorders>
            <w:vAlign w:val="center"/>
          </w:tcPr>
          <w:p w14:paraId="7836E587">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1275" w:type="dxa"/>
            <w:tcBorders>
              <w:top w:val="single" w:color="auto" w:sz="4" w:space="0"/>
              <w:left w:val="single" w:color="auto" w:sz="4" w:space="0"/>
              <w:bottom w:val="single" w:color="auto" w:sz="4" w:space="0"/>
              <w:right w:val="single" w:color="auto" w:sz="4" w:space="0"/>
            </w:tcBorders>
            <w:vAlign w:val="center"/>
          </w:tcPr>
          <w:p w14:paraId="434FA340">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1345" w:type="dxa"/>
            <w:tcBorders>
              <w:top w:val="single" w:color="auto" w:sz="4" w:space="0"/>
              <w:left w:val="single" w:color="auto" w:sz="4" w:space="0"/>
              <w:bottom w:val="single" w:color="auto" w:sz="4" w:space="0"/>
              <w:right w:val="single" w:color="auto" w:sz="4" w:space="0"/>
            </w:tcBorders>
            <w:vAlign w:val="center"/>
          </w:tcPr>
          <w:p w14:paraId="404D1F2E">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30</w:t>
            </w:r>
          </w:p>
        </w:tc>
        <w:tc>
          <w:tcPr>
            <w:tcW w:w="1192" w:type="dxa"/>
            <w:tcBorders>
              <w:top w:val="single" w:color="auto" w:sz="4" w:space="0"/>
              <w:left w:val="single" w:color="auto" w:sz="4" w:space="0"/>
              <w:bottom w:val="single" w:color="auto" w:sz="4" w:space="0"/>
              <w:right w:val="single" w:color="auto" w:sz="4" w:space="0"/>
            </w:tcBorders>
            <w:vAlign w:val="center"/>
          </w:tcPr>
          <w:p w14:paraId="04B416D4">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1194" w:type="dxa"/>
            <w:tcBorders>
              <w:top w:val="single" w:color="auto" w:sz="4" w:space="0"/>
              <w:left w:val="single" w:color="auto" w:sz="4" w:space="0"/>
              <w:bottom w:val="single" w:color="auto" w:sz="4" w:space="0"/>
              <w:right w:val="thickThinSmallGap" w:color="auto" w:sz="12" w:space="0"/>
            </w:tcBorders>
            <w:vAlign w:val="center"/>
          </w:tcPr>
          <w:p w14:paraId="473D991F">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10</w:t>
            </w:r>
          </w:p>
        </w:tc>
      </w:tr>
      <w:tr w14:paraId="05966527">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480" w:type="dxa"/>
            <w:tcBorders>
              <w:top w:val="single" w:color="auto" w:sz="4" w:space="0"/>
              <w:left w:val="thinThickSmallGap" w:color="auto" w:sz="12" w:space="0"/>
              <w:bottom w:val="single" w:color="auto" w:sz="4" w:space="0"/>
              <w:right w:val="single" w:color="auto" w:sz="4" w:space="0"/>
            </w:tcBorders>
            <w:vAlign w:val="center"/>
          </w:tcPr>
          <w:p w14:paraId="4704700B">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1684" w:type="dxa"/>
            <w:tcBorders>
              <w:top w:val="single" w:color="auto" w:sz="4" w:space="0"/>
              <w:left w:val="single" w:color="auto" w:sz="4" w:space="0"/>
              <w:bottom w:val="single" w:color="auto" w:sz="4" w:space="0"/>
              <w:right w:val="single" w:color="auto" w:sz="4" w:space="0"/>
            </w:tcBorders>
            <w:vAlign w:val="center"/>
          </w:tcPr>
          <w:p w14:paraId="2A7A90B4">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HCl</w:t>
            </w:r>
          </w:p>
        </w:tc>
        <w:tc>
          <w:tcPr>
            <w:tcW w:w="1368" w:type="dxa"/>
            <w:tcBorders>
              <w:top w:val="single" w:color="auto" w:sz="4" w:space="0"/>
              <w:left w:val="single" w:color="auto" w:sz="4" w:space="0"/>
              <w:bottom w:val="single" w:color="auto" w:sz="4" w:space="0"/>
              <w:right w:val="single" w:color="auto" w:sz="4" w:space="0"/>
            </w:tcBorders>
            <w:vAlign w:val="center"/>
          </w:tcPr>
          <w:p w14:paraId="4C52B455">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1275" w:type="dxa"/>
            <w:tcBorders>
              <w:top w:val="single" w:color="auto" w:sz="4" w:space="0"/>
              <w:left w:val="single" w:color="auto" w:sz="4" w:space="0"/>
              <w:bottom w:val="single" w:color="auto" w:sz="4" w:space="0"/>
              <w:right w:val="single" w:color="auto" w:sz="4" w:space="0"/>
            </w:tcBorders>
            <w:vAlign w:val="center"/>
          </w:tcPr>
          <w:p w14:paraId="5F0DB7A2">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1345" w:type="dxa"/>
            <w:tcBorders>
              <w:top w:val="single" w:color="auto" w:sz="4" w:space="0"/>
              <w:left w:val="single" w:color="auto" w:sz="4" w:space="0"/>
              <w:bottom w:val="single" w:color="auto" w:sz="4" w:space="0"/>
              <w:right w:val="single" w:color="auto" w:sz="4" w:space="0"/>
            </w:tcBorders>
            <w:vAlign w:val="center"/>
          </w:tcPr>
          <w:p w14:paraId="3A23380C">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1192" w:type="dxa"/>
            <w:tcBorders>
              <w:top w:val="single" w:color="auto" w:sz="4" w:space="0"/>
              <w:left w:val="single" w:color="auto" w:sz="4" w:space="0"/>
              <w:bottom w:val="single" w:color="auto" w:sz="4" w:space="0"/>
              <w:right w:val="single" w:color="auto" w:sz="4" w:space="0"/>
            </w:tcBorders>
            <w:vAlign w:val="center"/>
          </w:tcPr>
          <w:p w14:paraId="5E252645">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1194" w:type="dxa"/>
            <w:tcBorders>
              <w:top w:val="single" w:color="auto" w:sz="4" w:space="0"/>
              <w:left w:val="single" w:color="auto" w:sz="4" w:space="0"/>
              <w:bottom w:val="single" w:color="auto" w:sz="4" w:space="0"/>
              <w:right w:val="thickThinSmallGap" w:color="auto" w:sz="12" w:space="0"/>
            </w:tcBorders>
            <w:vAlign w:val="center"/>
          </w:tcPr>
          <w:p w14:paraId="16C03741">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10</w:t>
            </w:r>
          </w:p>
        </w:tc>
      </w:tr>
      <w:tr w14:paraId="76E698EC">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480" w:type="dxa"/>
            <w:tcBorders>
              <w:top w:val="single" w:color="auto" w:sz="4" w:space="0"/>
              <w:left w:val="thinThickSmallGap" w:color="auto" w:sz="12" w:space="0"/>
              <w:bottom w:val="single" w:color="auto" w:sz="4" w:space="0"/>
              <w:right w:val="single" w:color="auto" w:sz="4" w:space="0"/>
            </w:tcBorders>
            <w:vAlign w:val="center"/>
          </w:tcPr>
          <w:p w14:paraId="571C1961">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1684" w:type="dxa"/>
            <w:tcBorders>
              <w:top w:val="single" w:color="auto" w:sz="4" w:space="0"/>
              <w:left w:val="single" w:color="auto" w:sz="4" w:space="0"/>
              <w:bottom w:val="single" w:color="auto" w:sz="4" w:space="0"/>
              <w:right w:val="single" w:color="auto" w:sz="4" w:space="0"/>
            </w:tcBorders>
            <w:vAlign w:val="center"/>
          </w:tcPr>
          <w:p w14:paraId="59E52797">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HF</w:t>
            </w:r>
          </w:p>
        </w:tc>
        <w:tc>
          <w:tcPr>
            <w:tcW w:w="1368" w:type="dxa"/>
            <w:tcBorders>
              <w:top w:val="single" w:color="auto" w:sz="4" w:space="0"/>
              <w:left w:val="single" w:color="auto" w:sz="4" w:space="0"/>
              <w:bottom w:val="single" w:color="auto" w:sz="4" w:space="0"/>
              <w:right w:val="single" w:color="auto" w:sz="4" w:space="0"/>
            </w:tcBorders>
            <w:vAlign w:val="center"/>
          </w:tcPr>
          <w:p w14:paraId="6AB227C4">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1275" w:type="dxa"/>
            <w:tcBorders>
              <w:top w:val="single" w:color="auto" w:sz="4" w:space="0"/>
              <w:left w:val="single" w:color="auto" w:sz="4" w:space="0"/>
              <w:bottom w:val="single" w:color="auto" w:sz="4" w:space="0"/>
              <w:right w:val="single" w:color="auto" w:sz="4" w:space="0"/>
            </w:tcBorders>
            <w:vAlign w:val="center"/>
          </w:tcPr>
          <w:p w14:paraId="5E23E1D8">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1345" w:type="dxa"/>
            <w:tcBorders>
              <w:top w:val="single" w:color="auto" w:sz="4" w:space="0"/>
              <w:left w:val="single" w:color="auto" w:sz="4" w:space="0"/>
              <w:bottom w:val="single" w:color="auto" w:sz="4" w:space="0"/>
              <w:right w:val="single" w:color="auto" w:sz="4" w:space="0"/>
            </w:tcBorders>
            <w:vAlign w:val="center"/>
          </w:tcPr>
          <w:p w14:paraId="65B9DE48">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1192" w:type="dxa"/>
            <w:tcBorders>
              <w:top w:val="single" w:color="auto" w:sz="4" w:space="0"/>
              <w:left w:val="single" w:color="auto" w:sz="4" w:space="0"/>
              <w:bottom w:val="single" w:color="auto" w:sz="4" w:space="0"/>
              <w:right w:val="single" w:color="auto" w:sz="4" w:space="0"/>
            </w:tcBorders>
            <w:vAlign w:val="center"/>
          </w:tcPr>
          <w:p w14:paraId="5DD5EA68">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194" w:type="dxa"/>
            <w:tcBorders>
              <w:top w:val="single" w:color="auto" w:sz="4" w:space="0"/>
              <w:left w:val="single" w:color="auto" w:sz="4" w:space="0"/>
              <w:bottom w:val="single" w:color="auto" w:sz="4" w:space="0"/>
              <w:right w:val="thickThinSmallGap" w:color="auto" w:sz="12" w:space="0"/>
            </w:tcBorders>
            <w:vAlign w:val="center"/>
          </w:tcPr>
          <w:p w14:paraId="627849D9">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p>
        </w:tc>
      </w:tr>
      <w:tr w14:paraId="4375FECD">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480" w:type="dxa"/>
            <w:tcBorders>
              <w:top w:val="single" w:color="auto" w:sz="4" w:space="0"/>
              <w:left w:val="thinThickSmallGap" w:color="auto" w:sz="12" w:space="0"/>
              <w:bottom w:val="single" w:color="auto" w:sz="4" w:space="0"/>
              <w:right w:val="single" w:color="auto" w:sz="4" w:space="0"/>
            </w:tcBorders>
            <w:vAlign w:val="center"/>
          </w:tcPr>
          <w:p w14:paraId="394E428A">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1684" w:type="dxa"/>
            <w:tcBorders>
              <w:top w:val="single" w:color="auto" w:sz="4" w:space="0"/>
              <w:left w:val="single" w:color="auto" w:sz="4" w:space="0"/>
              <w:bottom w:val="single" w:color="auto" w:sz="4" w:space="0"/>
              <w:right w:val="single" w:color="auto" w:sz="4" w:space="0"/>
            </w:tcBorders>
            <w:vAlign w:val="center"/>
          </w:tcPr>
          <w:p w14:paraId="0D1FDB22">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SOx</w:t>
            </w:r>
          </w:p>
        </w:tc>
        <w:tc>
          <w:tcPr>
            <w:tcW w:w="1368" w:type="dxa"/>
            <w:tcBorders>
              <w:top w:val="single" w:color="auto" w:sz="4" w:space="0"/>
              <w:left w:val="single" w:color="auto" w:sz="4" w:space="0"/>
              <w:bottom w:val="single" w:color="auto" w:sz="4" w:space="0"/>
              <w:right w:val="single" w:color="auto" w:sz="4" w:space="0"/>
            </w:tcBorders>
            <w:vAlign w:val="center"/>
          </w:tcPr>
          <w:p w14:paraId="10D77116">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1275" w:type="dxa"/>
            <w:tcBorders>
              <w:top w:val="single" w:color="auto" w:sz="4" w:space="0"/>
              <w:left w:val="single" w:color="auto" w:sz="4" w:space="0"/>
              <w:bottom w:val="single" w:color="auto" w:sz="4" w:space="0"/>
              <w:right w:val="single" w:color="auto" w:sz="4" w:space="0"/>
            </w:tcBorders>
            <w:vAlign w:val="center"/>
          </w:tcPr>
          <w:p w14:paraId="2E1E287C">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1345" w:type="dxa"/>
            <w:tcBorders>
              <w:top w:val="single" w:color="auto" w:sz="4" w:space="0"/>
              <w:left w:val="single" w:color="auto" w:sz="4" w:space="0"/>
              <w:bottom w:val="single" w:color="auto" w:sz="4" w:space="0"/>
              <w:right w:val="single" w:color="auto" w:sz="4" w:space="0"/>
            </w:tcBorders>
            <w:vAlign w:val="center"/>
          </w:tcPr>
          <w:p w14:paraId="192C1349">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1192" w:type="dxa"/>
            <w:tcBorders>
              <w:top w:val="single" w:color="auto" w:sz="4" w:space="0"/>
              <w:left w:val="single" w:color="auto" w:sz="4" w:space="0"/>
              <w:bottom w:val="single" w:color="auto" w:sz="4" w:space="0"/>
              <w:right w:val="single" w:color="auto" w:sz="4" w:space="0"/>
            </w:tcBorders>
            <w:vAlign w:val="center"/>
          </w:tcPr>
          <w:p w14:paraId="33A5AF1B">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1194" w:type="dxa"/>
            <w:tcBorders>
              <w:top w:val="single" w:color="auto" w:sz="4" w:space="0"/>
              <w:left w:val="single" w:color="auto" w:sz="4" w:space="0"/>
              <w:bottom w:val="single" w:color="auto" w:sz="4" w:space="0"/>
              <w:right w:val="thickThinSmallGap" w:color="auto" w:sz="12" w:space="0"/>
            </w:tcBorders>
            <w:vAlign w:val="center"/>
          </w:tcPr>
          <w:p w14:paraId="3BBAA571">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30</w:t>
            </w:r>
          </w:p>
        </w:tc>
      </w:tr>
      <w:tr w14:paraId="102726BB">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480" w:type="dxa"/>
            <w:tcBorders>
              <w:top w:val="single" w:color="auto" w:sz="4" w:space="0"/>
              <w:left w:val="thinThickSmallGap" w:color="auto" w:sz="12" w:space="0"/>
              <w:bottom w:val="single" w:color="auto" w:sz="4" w:space="0"/>
              <w:right w:val="single" w:color="auto" w:sz="4" w:space="0"/>
            </w:tcBorders>
            <w:vAlign w:val="center"/>
          </w:tcPr>
          <w:p w14:paraId="3AD1EC3E">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1684" w:type="dxa"/>
            <w:tcBorders>
              <w:top w:val="single" w:color="auto" w:sz="4" w:space="0"/>
              <w:left w:val="single" w:color="auto" w:sz="4" w:space="0"/>
              <w:bottom w:val="single" w:color="auto" w:sz="4" w:space="0"/>
              <w:right w:val="single" w:color="auto" w:sz="4" w:space="0"/>
            </w:tcBorders>
            <w:vAlign w:val="center"/>
          </w:tcPr>
          <w:p w14:paraId="0A51771E">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NOx</w:t>
            </w:r>
          </w:p>
        </w:tc>
        <w:tc>
          <w:tcPr>
            <w:tcW w:w="1368" w:type="dxa"/>
            <w:tcBorders>
              <w:top w:val="single" w:color="auto" w:sz="4" w:space="0"/>
              <w:left w:val="single" w:color="auto" w:sz="4" w:space="0"/>
              <w:bottom w:val="single" w:color="auto" w:sz="4" w:space="0"/>
              <w:right w:val="single" w:color="auto" w:sz="4" w:space="0"/>
            </w:tcBorders>
            <w:vAlign w:val="center"/>
          </w:tcPr>
          <w:p w14:paraId="674A7F2E">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1275" w:type="dxa"/>
            <w:tcBorders>
              <w:top w:val="single" w:color="auto" w:sz="4" w:space="0"/>
              <w:left w:val="single" w:color="auto" w:sz="4" w:space="0"/>
              <w:bottom w:val="single" w:color="auto" w:sz="4" w:space="0"/>
              <w:right w:val="single" w:color="auto" w:sz="4" w:space="0"/>
            </w:tcBorders>
            <w:vAlign w:val="center"/>
          </w:tcPr>
          <w:p w14:paraId="6C847837">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250</w:t>
            </w:r>
          </w:p>
        </w:tc>
        <w:tc>
          <w:tcPr>
            <w:tcW w:w="1345" w:type="dxa"/>
            <w:tcBorders>
              <w:top w:val="single" w:color="auto" w:sz="4" w:space="0"/>
              <w:left w:val="single" w:color="auto" w:sz="4" w:space="0"/>
              <w:bottom w:val="single" w:color="auto" w:sz="4" w:space="0"/>
              <w:right w:val="single" w:color="auto" w:sz="4" w:space="0"/>
            </w:tcBorders>
            <w:vAlign w:val="center"/>
          </w:tcPr>
          <w:p w14:paraId="6D2534A9">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1192" w:type="dxa"/>
            <w:tcBorders>
              <w:top w:val="single" w:color="auto" w:sz="4" w:space="0"/>
              <w:left w:val="single" w:color="auto" w:sz="4" w:space="0"/>
              <w:bottom w:val="single" w:color="auto" w:sz="4" w:space="0"/>
              <w:right w:val="single" w:color="auto" w:sz="4" w:space="0"/>
            </w:tcBorders>
            <w:vAlign w:val="center"/>
          </w:tcPr>
          <w:p w14:paraId="3438E4BC">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1194" w:type="dxa"/>
            <w:tcBorders>
              <w:top w:val="single" w:color="auto" w:sz="4" w:space="0"/>
              <w:left w:val="single" w:color="auto" w:sz="4" w:space="0"/>
              <w:bottom w:val="single" w:color="auto" w:sz="4" w:space="0"/>
              <w:right w:val="thickThinSmallGap" w:color="auto" w:sz="12" w:space="0"/>
            </w:tcBorders>
            <w:vAlign w:val="center"/>
          </w:tcPr>
          <w:p w14:paraId="5FFCB3E3">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150</w:t>
            </w:r>
          </w:p>
        </w:tc>
      </w:tr>
      <w:tr w14:paraId="3E9C6EF6">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480" w:type="dxa"/>
            <w:tcBorders>
              <w:top w:val="single" w:color="auto" w:sz="4" w:space="0"/>
              <w:left w:val="thinThickSmallGap" w:color="auto" w:sz="12" w:space="0"/>
              <w:bottom w:val="single" w:color="auto" w:sz="4" w:space="0"/>
              <w:right w:val="single" w:color="auto" w:sz="4" w:space="0"/>
            </w:tcBorders>
            <w:vAlign w:val="center"/>
          </w:tcPr>
          <w:p w14:paraId="056D2094">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1684" w:type="dxa"/>
            <w:tcBorders>
              <w:top w:val="single" w:color="auto" w:sz="4" w:space="0"/>
              <w:left w:val="single" w:color="auto" w:sz="4" w:space="0"/>
              <w:bottom w:val="single" w:color="auto" w:sz="4" w:space="0"/>
              <w:right w:val="single" w:color="auto" w:sz="4" w:space="0"/>
            </w:tcBorders>
            <w:vAlign w:val="center"/>
          </w:tcPr>
          <w:p w14:paraId="5D09AF7A">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CO</w:t>
            </w:r>
          </w:p>
        </w:tc>
        <w:tc>
          <w:tcPr>
            <w:tcW w:w="1368" w:type="dxa"/>
            <w:tcBorders>
              <w:top w:val="single" w:color="auto" w:sz="4" w:space="0"/>
              <w:left w:val="single" w:color="auto" w:sz="4" w:space="0"/>
              <w:bottom w:val="single" w:color="auto" w:sz="4" w:space="0"/>
              <w:right w:val="single" w:color="auto" w:sz="4" w:space="0"/>
            </w:tcBorders>
            <w:vAlign w:val="center"/>
          </w:tcPr>
          <w:p w14:paraId="280754B0">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1275" w:type="dxa"/>
            <w:tcBorders>
              <w:top w:val="single" w:color="auto" w:sz="4" w:space="0"/>
              <w:left w:val="single" w:color="auto" w:sz="4" w:space="0"/>
              <w:bottom w:val="single" w:color="auto" w:sz="4" w:space="0"/>
              <w:right w:val="single" w:color="auto" w:sz="4" w:space="0"/>
            </w:tcBorders>
            <w:vAlign w:val="center"/>
          </w:tcPr>
          <w:p w14:paraId="65542F6F">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1345" w:type="dxa"/>
            <w:tcBorders>
              <w:top w:val="single" w:color="auto" w:sz="4" w:space="0"/>
              <w:left w:val="single" w:color="auto" w:sz="4" w:space="0"/>
              <w:bottom w:val="single" w:color="auto" w:sz="4" w:space="0"/>
              <w:right w:val="single" w:color="auto" w:sz="4" w:space="0"/>
            </w:tcBorders>
            <w:vAlign w:val="center"/>
          </w:tcPr>
          <w:p w14:paraId="50DB1FF5">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1192" w:type="dxa"/>
            <w:tcBorders>
              <w:top w:val="single" w:color="auto" w:sz="4" w:space="0"/>
              <w:left w:val="single" w:color="auto" w:sz="4" w:space="0"/>
              <w:bottom w:val="single" w:color="auto" w:sz="4" w:space="0"/>
              <w:right w:val="single" w:color="auto" w:sz="4" w:space="0"/>
            </w:tcBorders>
            <w:vAlign w:val="center"/>
          </w:tcPr>
          <w:p w14:paraId="7C42938E">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30</w:t>
            </w:r>
          </w:p>
        </w:tc>
        <w:tc>
          <w:tcPr>
            <w:tcW w:w="1194" w:type="dxa"/>
            <w:tcBorders>
              <w:top w:val="single" w:color="auto" w:sz="4" w:space="0"/>
              <w:left w:val="single" w:color="auto" w:sz="4" w:space="0"/>
              <w:bottom w:val="single" w:color="auto" w:sz="4" w:space="0"/>
              <w:right w:val="thickThinSmallGap" w:color="auto" w:sz="12" w:space="0"/>
            </w:tcBorders>
            <w:vAlign w:val="center"/>
          </w:tcPr>
          <w:p w14:paraId="7012BDD5">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50</w:t>
            </w:r>
          </w:p>
        </w:tc>
      </w:tr>
      <w:tr w14:paraId="7D925ECA">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480" w:type="dxa"/>
            <w:tcBorders>
              <w:top w:val="single" w:color="auto" w:sz="4" w:space="0"/>
              <w:left w:val="thinThickSmallGap" w:color="auto" w:sz="12" w:space="0"/>
              <w:bottom w:val="single" w:color="auto" w:sz="4" w:space="0"/>
              <w:right w:val="single" w:color="auto" w:sz="4" w:space="0"/>
            </w:tcBorders>
            <w:vAlign w:val="center"/>
          </w:tcPr>
          <w:p w14:paraId="2D6B95DA">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p>
        </w:tc>
        <w:tc>
          <w:tcPr>
            <w:tcW w:w="8058" w:type="dxa"/>
            <w:gridSpan w:val="6"/>
            <w:tcBorders>
              <w:top w:val="single" w:color="auto" w:sz="4" w:space="0"/>
              <w:left w:val="single" w:color="auto" w:sz="4" w:space="0"/>
              <w:bottom w:val="single" w:color="auto" w:sz="4" w:space="0"/>
              <w:right w:val="thickThinSmallGap" w:color="auto" w:sz="12" w:space="0"/>
            </w:tcBorders>
            <w:vAlign w:val="center"/>
          </w:tcPr>
          <w:p w14:paraId="6AAF72D9">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测定均值</w:t>
            </w:r>
          </w:p>
        </w:tc>
      </w:tr>
      <w:tr w14:paraId="3F5163AE">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480" w:type="dxa"/>
            <w:tcBorders>
              <w:top w:val="single" w:color="auto" w:sz="4" w:space="0"/>
              <w:left w:val="thinThickSmallGap" w:color="auto" w:sz="12" w:space="0"/>
              <w:bottom w:val="single" w:color="auto" w:sz="4" w:space="0"/>
              <w:right w:val="single" w:color="auto" w:sz="4" w:space="0"/>
            </w:tcBorders>
            <w:vAlign w:val="center"/>
          </w:tcPr>
          <w:p w14:paraId="76922EF7">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7</w:t>
            </w:r>
          </w:p>
        </w:tc>
        <w:tc>
          <w:tcPr>
            <w:tcW w:w="1684" w:type="dxa"/>
            <w:tcBorders>
              <w:top w:val="single" w:color="auto" w:sz="4" w:space="0"/>
              <w:left w:val="single" w:color="auto" w:sz="4" w:space="0"/>
              <w:bottom w:val="single" w:color="auto" w:sz="4" w:space="0"/>
              <w:right w:val="single" w:color="auto" w:sz="4" w:space="0"/>
            </w:tcBorders>
            <w:vAlign w:val="center"/>
          </w:tcPr>
          <w:p w14:paraId="7636216D">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Hg及其化合物</w:t>
            </w:r>
          </w:p>
        </w:tc>
        <w:tc>
          <w:tcPr>
            <w:tcW w:w="1368" w:type="dxa"/>
            <w:tcBorders>
              <w:top w:val="single" w:color="auto" w:sz="4" w:space="0"/>
              <w:left w:val="single" w:color="auto" w:sz="4" w:space="0"/>
              <w:bottom w:val="single" w:color="auto" w:sz="4" w:space="0"/>
              <w:right w:val="single" w:color="auto" w:sz="4" w:space="0"/>
            </w:tcBorders>
            <w:vAlign w:val="center"/>
          </w:tcPr>
          <w:p w14:paraId="67D587DC">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2620" w:type="dxa"/>
            <w:gridSpan w:val="2"/>
            <w:tcBorders>
              <w:top w:val="single" w:color="auto" w:sz="4" w:space="0"/>
              <w:left w:val="single" w:color="auto" w:sz="4" w:space="0"/>
              <w:bottom w:val="single" w:color="auto" w:sz="4" w:space="0"/>
              <w:right w:val="single" w:color="auto" w:sz="4" w:space="0"/>
            </w:tcBorders>
            <w:vAlign w:val="center"/>
          </w:tcPr>
          <w:p w14:paraId="6AE90BF7">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0.1</w:t>
            </w:r>
          </w:p>
        </w:tc>
        <w:tc>
          <w:tcPr>
            <w:tcW w:w="2386" w:type="dxa"/>
            <w:gridSpan w:val="2"/>
            <w:tcBorders>
              <w:top w:val="single" w:color="auto" w:sz="4" w:space="0"/>
              <w:left w:val="single" w:color="auto" w:sz="4" w:space="0"/>
              <w:bottom w:val="single" w:color="auto" w:sz="4" w:space="0"/>
              <w:right w:val="thickThinSmallGap" w:color="auto" w:sz="12" w:space="0"/>
            </w:tcBorders>
            <w:vAlign w:val="center"/>
          </w:tcPr>
          <w:p w14:paraId="74CA4FE9">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0.02</w:t>
            </w:r>
          </w:p>
        </w:tc>
      </w:tr>
      <w:tr w14:paraId="0AB89242">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380" w:hRule="atLeast"/>
          <w:jc w:val="center"/>
        </w:trPr>
        <w:tc>
          <w:tcPr>
            <w:tcW w:w="480" w:type="dxa"/>
            <w:tcBorders>
              <w:top w:val="single" w:color="auto" w:sz="4" w:space="0"/>
              <w:left w:val="thinThickSmallGap" w:color="auto" w:sz="12" w:space="0"/>
              <w:bottom w:val="single" w:color="auto" w:sz="4" w:space="0"/>
              <w:right w:val="single" w:color="auto" w:sz="4" w:space="0"/>
            </w:tcBorders>
            <w:vAlign w:val="center"/>
          </w:tcPr>
          <w:p w14:paraId="3CC8F6D4">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1684" w:type="dxa"/>
            <w:tcBorders>
              <w:top w:val="single" w:color="auto" w:sz="4" w:space="0"/>
              <w:left w:val="single" w:color="auto" w:sz="4" w:space="0"/>
              <w:bottom w:val="single" w:color="auto" w:sz="4" w:space="0"/>
              <w:right w:val="single" w:color="auto" w:sz="4" w:space="0"/>
            </w:tcBorders>
            <w:vAlign w:val="center"/>
          </w:tcPr>
          <w:p w14:paraId="0E16EBF8">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Cd及其化合物</w:t>
            </w:r>
          </w:p>
        </w:tc>
        <w:tc>
          <w:tcPr>
            <w:tcW w:w="1368" w:type="dxa"/>
            <w:tcBorders>
              <w:top w:val="single" w:color="auto" w:sz="4" w:space="0"/>
              <w:left w:val="single" w:color="auto" w:sz="4" w:space="0"/>
              <w:bottom w:val="single" w:color="auto" w:sz="4" w:space="0"/>
              <w:right w:val="single" w:color="auto" w:sz="4" w:space="0"/>
            </w:tcBorders>
            <w:vAlign w:val="center"/>
          </w:tcPr>
          <w:p w14:paraId="70358A97">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2620" w:type="dxa"/>
            <w:gridSpan w:val="2"/>
            <w:tcBorders>
              <w:top w:val="single" w:color="auto" w:sz="4" w:space="0"/>
              <w:left w:val="single" w:color="auto" w:sz="4" w:space="0"/>
              <w:bottom w:val="single" w:color="auto" w:sz="4" w:space="0"/>
              <w:right w:val="single" w:color="auto" w:sz="4" w:space="0"/>
            </w:tcBorders>
            <w:vAlign w:val="center"/>
          </w:tcPr>
          <w:p w14:paraId="6AFBF35F">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0.1</w:t>
            </w:r>
          </w:p>
        </w:tc>
        <w:tc>
          <w:tcPr>
            <w:tcW w:w="2386" w:type="dxa"/>
            <w:gridSpan w:val="2"/>
            <w:tcBorders>
              <w:top w:val="single" w:color="auto" w:sz="4" w:space="0"/>
              <w:left w:val="single" w:color="auto" w:sz="4" w:space="0"/>
              <w:bottom w:val="single" w:color="auto" w:sz="4" w:space="0"/>
              <w:right w:val="thickThinSmallGap" w:color="auto" w:sz="12" w:space="0"/>
            </w:tcBorders>
            <w:vAlign w:val="center"/>
          </w:tcPr>
          <w:p w14:paraId="51A481B6">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0.03</w:t>
            </w:r>
          </w:p>
        </w:tc>
      </w:tr>
      <w:tr w14:paraId="0D81126A">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636" w:hRule="atLeast"/>
          <w:jc w:val="center"/>
        </w:trPr>
        <w:tc>
          <w:tcPr>
            <w:tcW w:w="480" w:type="dxa"/>
            <w:tcBorders>
              <w:top w:val="single" w:color="auto" w:sz="4" w:space="0"/>
              <w:left w:val="thinThickSmallGap" w:color="auto" w:sz="12" w:space="0"/>
              <w:bottom w:val="single" w:color="auto" w:sz="4" w:space="0"/>
              <w:right w:val="single" w:color="auto" w:sz="4" w:space="0"/>
            </w:tcBorders>
            <w:vAlign w:val="center"/>
          </w:tcPr>
          <w:p w14:paraId="631BE855">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9</w:t>
            </w:r>
          </w:p>
        </w:tc>
        <w:tc>
          <w:tcPr>
            <w:tcW w:w="1684" w:type="dxa"/>
            <w:tcBorders>
              <w:top w:val="single" w:color="auto" w:sz="4" w:space="0"/>
              <w:left w:val="single" w:color="auto" w:sz="4" w:space="0"/>
              <w:bottom w:val="single" w:color="auto" w:sz="4" w:space="0"/>
              <w:right w:val="single" w:color="auto" w:sz="4" w:space="0"/>
            </w:tcBorders>
            <w:vAlign w:val="center"/>
          </w:tcPr>
          <w:p w14:paraId="657E18AF">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Pb和其他重金属</w:t>
            </w:r>
          </w:p>
        </w:tc>
        <w:tc>
          <w:tcPr>
            <w:tcW w:w="1368" w:type="dxa"/>
            <w:tcBorders>
              <w:top w:val="single" w:color="auto" w:sz="4" w:space="0"/>
              <w:left w:val="single" w:color="auto" w:sz="4" w:space="0"/>
              <w:bottom w:val="single" w:color="auto" w:sz="4" w:space="0"/>
              <w:right w:val="single" w:color="auto" w:sz="4" w:space="0"/>
            </w:tcBorders>
            <w:vAlign w:val="center"/>
          </w:tcPr>
          <w:p w14:paraId="22E09832">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2620" w:type="dxa"/>
            <w:gridSpan w:val="2"/>
            <w:tcBorders>
              <w:top w:val="single" w:color="auto" w:sz="4" w:space="0"/>
              <w:left w:val="single" w:color="auto" w:sz="4" w:space="0"/>
              <w:bottom w:val="single" w:color="auto" w:sz="4" w:space="0"/>
              <w:right w:val="single" w:color="auto" w:sz="4" w:space="0"/>
            </w:tcBorders>
            <w:vAlign w:val="center"/>
          </w:tcPr>
          <w:p w14:paraId="64F1B742">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1.0</w:t>
            </w:r>
          </w:p>
        </w:tc>
        <w:tc>
          <w:tcPr>
            <w:tcW w:w="2386" w:type="dxa"/>
            <w:gridSpan w:val="2"/>
            <w:tcBorders>
              <w:top w:val="single" w:color="auto" w:sz="4" w:space="0"/>
              <w:left w:val="single" w:color="auto" w:sz="4" w:space="0"/>
              <w:bottom w:val="single" w:color="auto" w:sz="4" w:space="0"/>
              <w:right w:val="thickThinSmallGap" w:color="auto" w:sz="12" w:space="0"/>
            </w:tcBorders>
            <w:vAlign w:val="center"/>
          </w:tcPr>
          <w:p w14:paraId="7CFC2295">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0.3</w:t>
            </w:r>
          </w:p>
        </w:tc>
      </w:tr>
      <w:tr w14:paraId="32F2D37B">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763" w:hRule="atLeast"/>
          <w:jc w:val="center"/>
        </w:trPr>
        <w:tc>
          <w:tcPr>
            <w:tcW w:w="480" w:type="dxa"/>
            <w:tcBorders>
              <w:top w:val="single" w:color="auto" w:sz="4" w:space="0"/>
              <w:left w:val="thinThickSmallGap" w:color="auto" w:sz="12" w:space="0"/>
              <w:bottom w:val="thickThinSmallGap" w:color="auto" w:sz="12" w:space="0"/>
              <w:right w:val="single" w:color="auto" w:sz="4" w:space="0"/>
            </w:tcBorders>
            <w:vAlign w:val="center"/>
          </w:tcPr>
          <w:p w14:paraId="5D3572C8">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1684" w:type="dxa"/>
            <w:tcBorders>
              <w:top w:val="single" w:color="auto" w:sz="4" w:space="0"/>
              <w:left w:val="single" w:color="auto" w:sz="4" w:space="0"/>
              <w:bottom w:val="thickThinSmallGap" w:color="auto" w:sz="12" w:space="0"/>
              <w:right w:val="single" w:color="auto" w:sz="4" w:space="0"/>
            </w:tcBorders>
            <w:vAlign w:val="center"/>
          </w:tcPr>
          <w:p w14:paraId="7D54FC5A">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二噁英类(TEQ)</w:t>
            </w:r>
          </w:p>
        </w:tc>
        <w:tc>
          <w:tcPr>
            <w:tcW w:w="1368" w:type="dxa"/>
            <w:tcBorders>
              <w:top w:val="single" w:color="auto" w:sz="4" w:space="0"/>
              <w:left w:val="single" w:color="auto" w:sz="4" w:space="0"/>
              <w:bottom w:val="thickThinSmallGap" w:color="auto" w:sz="12" w:space="0"/>
              <w:right w:val="single" w:color="auto" w:sz="4" w:space="0"/>
            </w:tcBorders>
            <w:vAlign w:val="center"/>
          </w:tcPr>
          <w:p w14:paraId="092C22F3">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ng/Nm</w:t>
            </w:r>
            <w:r>
              <w:rPr>
                <w:rFonts w:hint="eastAsia" w:ascii="宋体" w:hAnsi="宋体" w:eastAsia="宋体" w:cs="宋体"/>
                <w:kern w:val="0"/>
                <w:sz w:val="24"/>
                <w:szCs w:val="24"/>
                <w:vertAlign w:val="superscript"/>
              </w:rPr>
              <w:t>3</w:t>
            </w:r>
          </w:p>
        </w:tc>
        <w:tc>
          <w:tcPr>
            <w:tcW w:w="2620" w:type="dxa"/>
            <w:gridSpan w:val="2"/>
            <w:tcBorders>
              <w:top w:val="single" w:color="auto" w:sz="4" w:space="0"/>
              <w:left w:val="single" w:color="auto" w:sz="4" w:space="0"/>
              <w:bottom w:val="thickThinSmallGap" w:color="auto" w:sz="12" w:space="0"/>
              <w:right w:val="single" w:color="auto" w:sz="4" w:space="0"/>
            </w:tcBorders>
            <w:vAlign w:val="center"/>
          </w:tcPr>
          <w:p w14:paraId="3E939A1B">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0.1</w:t>
            </w:r>
          </w:p>
        </w:tc>
        <w:tc>
          <w:tcPr>
            <w:tcW w:w="2386" w:type="dxa"/>
            <w:gridSpan w:val="2"/>
            <w:tcBorders>
              <w:top w:val="single" w:color="auto" w:sz="4" w:space="0"/>
              <w:left w:val="single" w:color="auto" w:sz="4" w:space="0"/>
              <w:bottom w:val="thickThinSmallGap" w:color="auto" w:sz="12" w:space="0"/>
              <w:right w:val="thickThinSmallGap" w:color="auto" w:sz="12" w:space="0"/>
            </w:tcBorders>
            <w:vAlign w:val="center"/>
          </w:tcPr>
          <w:p w14:paraId="141CD2FE">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0.05</w:t>
            </w:r>
          </w:p>
        </w:tc>
      </w:tr>
    </w:tbl>
    <w:p w14:paraId="2AD01F88">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8.2飞灰稳定化工艺要求</w:t>
      </w:r>
    </w:p>
    <w:p w14:paraId="331EFCD6">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采用药剂稳定化技术处理飞灰，不断提高并升级飞灰处理工艺，达到稳定化产物的长期稳定性，减少最终处置过程对环境的二次污染，且稳定化后的产物能满足《生活垃圾填埋场污染控制标准》GB16889-2008中填埋物入场要求，由专用运输车运至对应的飞灰填埋场。</w:t>
      </w:r>
    </w:p>
    <w:p w14:paraId="789D417F">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8.3飞灰填埋场工艺要求</w:t>
      </w:r>
    </w:p>
    <w:p w14:paraId="692A4521">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生活垃圾焚烧飞灰处理满足《生活垃圾填埋场污染控制标准》（GB16889-2008）中6.3条要求处理的飞灰，对于生活垃圾焚烧飞灰的填埋处置满足国家环保要求。</w:t>
      </w:r>
    </w:p>
    <w:p w14:paraId="113AA73D">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8.4</w:t>
      </w:r>
      <w:r>
        <w:rPr>
          <w:rFonts w:hint="eastAsia" w:ascii="宋体" w:hAnsi="宋体" w:eastAsia="宋体" w:cs="宋体"/>
          <w:sz w:val="24"/>
          <w:szCs w:val="24"/>
          <w:lang w:eastAsia="zh-CN"/>
        </w:rPr>
        <w:t>渗滤液</w:t>
      </w:r>
      <w:r>
        <w:rPr>
          <w:rFonts w:hint="eastAsia" w:ascii="宋体" w:hAnsi="宋体" w:eastAsia="宋体" w:cs="宋体"/>
          <w:sz w:val="24"/>
          <w:szCs w:val="24"/>
        </w:rPr>
        <w:t>处理要求</w:t>
      </w:r>
    </w:p>
    <w:p w14:paraId="0792E0A2">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本协议要求污泥焚烧量为60t/d，参考污泥含水率，考虑未预见水量，项目</w:t>
      </w:r>
      <w:r>
        <w:rPr>
          <w:rFonts w:hint="eastAsia" w:ascii="宋体" w:hAnsi="宋体" w:eastAsia="宋体" w:cs="宋体"/>
          <w:sz w:val="24"/>
          <w:szCs w:val="24"/>
          <w:lang w:eastAsia="zh-CN"/>
        </w:rPr>
        <w:t>渗滤液</w:t>
      </w:r>
      <w:r>
        <w:rPr>
          <w:rFonts w:hint="eastAsia" w:ascii="宋体" w:hAnsi="宋体" w:eastAsia="宋体" w:cs="宋体"/>
          <w:sz w:val="24"/>
          <w:szCs w:val="24"/>
        </w:rPr>
        <w:t>产生量按120m3/d考虑，要求满足</w:t>
      </w:r>
      <w:r>
        <w:rPr>
          <w:rFonts w:hint="eastAsia" w:ascii="宋体" w:hAnsi="宋体" w:eastAsia="宋体" w:cs="宋体"/>
          <w:sz w:val="24"/>
          <w:szCs w:val="24"/>
          <w:lang w:eastAsia="zh-CN"/>
        </w:rPr>
        <w:t>渗滤液</w:t>
      </w:r>
      <w:r>
        <w:rPr>
          <w:rFonts w:hint="eastAsia" w:ascii="宋体" w:hAnsi="宋体" w:eastAsia="宋体" w:cs="宋体"/>
          <w:sz w:val="24"/>
          <w:szCs w:val="24"/>
        </w:rPr>
        <w:t>处置需求。</w:t>
      </w:r>
    </w:p>
    <w:p w14:paraId="7D3B2EED">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 xml:space="preserve">8.5炉渣、飞灰、废水的处置和污泥处置噪声及臭气排放要求均符合国家、省市环保要求。 </w:t>
      </w:r>
    </w:p>
    <w:p w14:paraId="621B6AC9">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第9条 监督与检查</w:t>
      </w:r>
    </w:p>
    <w:p w14:paraId="2AA29146">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9.1甲方有权派出监督员或者指定任何代表在任何时候进入项目现场，监督检查项目设施的处理情况。但是，甲方监督员或其指定代表进入项目场地或乙方的办公场所不应不适当地干涉乙方对项目的正常处理和维护工作。</w:t>
      </w:r>
    </w:p>
    <w:p w14:paraId="3A943839">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9.2甲方按月对乙方报审结算的污泥处理量进行审核确认或委托第三方审核确认。</w:t>
      </w:r>
    </w:p>
    <w:p w14:paraId="22B0D2CA">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9.3计量检查</w:t>
      </w:r>
    </w:p>
    <w:p w14:paraId="0F32ECED">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9.3.1 计量器。污泥计量器具为经检查合格的安装在污泥</w:t>
      </w:r>
      <w:r>
        <w:rPr>
          <w:rFonts w:hint="eastAsia" w:ascii="宋体" w:hAnsi="宋体" w:eastAsia="宋体" w:cs="宋体"/>
          <w:sz w:val="24"/>
          <w:szCs w:val="24"/>
          <w:lang w:val="en-US" w:eastAsia="zh-CN"/>
        </w:rPr>
        <w:t>接收</w:t>
      </w:r>
      <w:r>
        <w:rPr>
          <w:rFonts w:hint="eastAsia" w:ascii="宋体" w:hAnsi="宋体" w:eastAsia="宋体" w:cs="宋体"/>
          <w:sz w:val="24"/>
          <w:szCs w:val="24"/>
        </w:rPr>
        <w:t>点的地磅及附属设施。</w:t>
      </w:r>
    </w:p>
    <w:p w14:paraId="422DE175">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9.3.2 乙方应至少每6个月对计量器进行一次检查、校准和测试。该定期检查、校准和测试的费用由乙方承担。</w:t>
      </w:r>
    </w:p>
    <w:p w14:paraId="0037AB1B">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9.3.3 一方经书面通知另一方后可随时要求对任何计量器进行检查、校准和测试。此等非定期的检查、校准和测试的费用由要求进行该等检查、校准和测试的一方承担。但是如果检查、校准和测试的结果显示有关计量器不准确，则上述费用由乙方承担。</w:t>
      </w:r>
    </w:p>
    <w:p w14:paraId="2EA125EA">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9.3.4乙方应记录对计量器每次定期和非定期的检查、校准和测试的结果并在检查后的五天之内将该等结果的复印件提供给甲方。如果对检查、测试有争议的，由海南省的质量技术监督部门进行判定。</w:t>
      </w:r>
    </w:p>
    <w:p w14:paraId="4E78B3C8">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9.3.5若发现任何计量器不准确，应由乙方尽快将其修理或更换并承担费用。在检查和测试间隔期间，乙方应确保计量器的密封标志是完整和安全的。</w:t>
      </w:r>
    </w:p>
    <w:p w14:paraId="058C8132">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第10条 临时接管</w:t>
      </w:r>
    </w:p>
    <w:p w14:paraId="275645F1">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10.1乙方在本项目服务处理期内有下列行为之一的，甲方有权责令其限期改正，逾期不改的，甲方有权对本项目实施临时接管：</w:t>
      </w:r>
    </w:p>
    <w:p w14:paraId="12BE736F">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 擅自停业、歇业，严重影响社会公共利益和公共安全的；</w:t>
      </w:r>
    </w:p>
    <w:p w14:paraId="493B108A">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 擅自处分项目资产，导致本项目不能正常处理服务的；</w:t>
      </w:r>
    </w:p>
    <w:p w14:paraId="0B01996E">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(3) 因乙方自身管理不善发生重大质量、生产安全事故，导致本项目不能正常处理的。</w:t>
      </w:r>
    </w:p>
    <w:p w14:paraId="4D315043">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10.2 甲方实施临时接管的，有权组织临时</w:t>
      </w:r>
      <w:r>
        <w:rPr>
          <w:rFonts w:hint="eastAsia" w:ascii="宋体" w:hAnsi="宋体" w:eastAsia="宋体" w:cs="宋体"/>
          <w:sz w:val="24"/>
          <w:szCs w:val="24"/>
          <w:lang w:val="en-US" w:eastAsia="zh-CN"/>
        </w:rPr>
        <w:t>接管</w:t>
      </w:r>
      <w:r>
        <w:rPr>
          <w:rFonts w:hint="eastAsia" w:ascii="宋体" w:hAnsi="宋体" w:eastAsia="宋体" w:cs="宋体"/>
          <w:sz w:val="24"/>
          <w:szCs w:val="24"/>
        </w:rPr>
        <w:t>机构委派管理人员或指定单位进驻项目现场进行接管。甲方应确保尽量减少临时接管工作对项目处理的干扰，并遵守谨慎处理惯例。</w:t>
      </w:r>
    </w:p>
    <w:p w14:paraId="260994FF">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10.3 临时接管期间，乙方必须服从甲方对其工作人员、设施、生产物资的调配，保障正常处理。</w:t>
      </w:r>
    </w:p>
    <w:p w14:paraId="4D06BF7D">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10.4 甲方实施临时接管的，可指定第三方临时提供本协议项下的服务。</w:t>
      </w:r>
    </w:p>
    <w:p w14:paraId="37624725">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10.5 导致临时接管的情形消失后，甲方应当停止临时接管，但如果乙方不能在临时接管情形消失的合理时间内采取适当的恢复生产措施，甲方有权提前</w:t>
      </w:r>
      <w:r>
        <w:rPr>
          <w:rFonts w:hint="eastAsia" w:ascii="宋体" w:hAnsi="宋体" w:eastAsia="宋体" w:cs="宋体"/>
          <w:sz w:val="24"/>
          <w:szCs w:val="24"/>
          <w:lang w:val="en-US" w:eastAsia="zh-CN"/>
        </w:rPr>
        <w:t>单方解除本协议，由此造成的全部损失由乙方自行承担</w:t>
      </w:r>
      <w:r>
        <w:rPr>
          <w:rFonts w:hint="eastAsia" w:ascii="宋体" w:hAnsi="宋体" w:eastAsia="宋体" w:cs="宋体"/>
          <w:sz w:val="24"/>
          <w:szCs w:val="24"/>
        </w:rPr>
        <w:t>。</w:t>
      </w:r>
    </w:p>
    <w:p w14:paraId="6DBD7EB0">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10.6 甲方实施临时接管的，临时接管期间产生的费用由乙方承担。 甲方有权在向乙方提供详细的费用和支出记录后，临时接管费从乙方应获费用中扣减。</w:t>
      </w:r>
    </w:p>
    <w:p w14:paraId="6964DD43">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10.7 如乙方不能配合甲方介入处理或在处理过程中设置障碍或拒绝支付相关费用，则视为乙方违约，甲方有权解除本协议。</w:t>
      </w:r>
    </w:p>
    <w:p w14:paraId="57AD3D2A">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22"/>
          <w:sz w:val="24"/>
          <w:szCs w:val="24"/>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第11条 应急预案</w:t>
      </w:r>
    </w:p>
    <w:p w14:paraId="78EB8833">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11.1 在紧急情况下，乙方应采取各种应急措施进行补救，尽量减少事故对周边的影响，甲方协调相关政府部门给予必要的配合。</w:t>
      </w:r>
    </w:p>
    <w:p w14:paraId="20390029">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11.2 甲方应协调职能部门加强对乙方应对自然灾害等突发事件的指导，乙方应完善和落实各类应急预案。在发生危及或可能危及公共利益、公共安全等紧急情况时，甲方可采取应急管制措施。</w:t>
      </w:r>
    </w:p>
    <w:p w14:paraId="04AE8966">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第12条 未履行维护义务、补救及赔偿</w:t>
      </w:r>
    </w:p>
    <w:p w14:paraId="0917861C">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12.1 乙方应履行维护项目设施的义务，发生紧急情况时应及时采取补救措施防止损失扩大，由此发生的费用由乙方承担。如因第三方原因导致项目设施损毁的，应由乙方先行承担费用予以补救，事后向第三方追偿，甲方协助。</w:t>
      </w:r>
    </w:p>
    <w:p w14:paraId="71598A2E">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12.2如果乙方未履行维护项目设施的义务，或者未采取补救措施或补救不及时，甲方将向乙方发出要求其进行补救的通知，如果乙方在合理限定的期限内未能采取有效的补救措施，甲方有权自行或委托第三方进行补救，并按补救过程中发生的合理费用向乙方追偿。</w:t>
      </w:r>
    </w:p>
    <w:p w14:paraId="46E6AF1F">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第13条 乙方的报告</w:t>
      </w:r>
    </w:p>
    <w:p w14:paraId="7E30AE4E">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13.1 定期报告</w:t>
      </w:r>
    </w:p>
    <w:p w14:paraId="21F91A94">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(1)每个服务处理季度结束后10日内，乙方应向甲方提交本季度的服务处理情况报告；</w:t>
      </w:r>
    </w:p>
    <w:p w14:paraId="1C88749A">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(2)乙方应提交甲方合理要求的其他资料或报告。</w:t>
      </w:r>
    </w:p>
    <w:p w14:paraId="4A24353D">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13.2 临时报告</w:t>
      </w:r>
    </w:p>
    <w:p w14:paraId="76844C8B">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乙方应在下列事项出现后五个工作日内向甲方提交书面报告及相关材料供甲方备案：</w:t>
      </w:r>
    </w:p>
    <w:p w14:paraId="3D9A5E11">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(1)发生影响污泥处理的安全、技术、质量、服务的重大事项；</w:t>
      </w:r>
    </w:p>
    <w:p w14:paraId="2E8C070A">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(2)其他可能会危害到公共安全和公共利益的重大事项。</w:t>
      </w:r>
    </w:p>
    <w:p w14:paraId="6093B8FA">
      <w:pPr>
        <w:keepNext w:val="0"/>
        <w:keepLines w:val="0"/>
        <w:pageBreakBefore w:val="0"/>
        <w:kinsoku/>
        <w:wordWrap/>
        <w:overflowPunct/>
        <w:topLinePunct w:val="0"/>
        <w:autoSpaceDE/>
        <w:autoSpaceDN/>
        <w:bidi w:val="0"/>
        <w:spacing w:before="184" w:line="360" w:lineRule="auto"/>
        <w:jc w:val="center"/>
        <w:textAlignment w:val="auto"/>
        <w:rPr>
          <w:rFonts w:hint="eastAsia" w:ascii="宋体" w:hAnsi="宋体" w:eastAsia="宋体" w:cs="宋体"/>
          <w:spacing w:val="22"/>
          <w:sz w:val="24"/>
          <w:szCs w:val="24"/>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第四部分  服务期限及付费机制</w:t>
      </w:r>
    </w:p>
    <w:p w14:paraId="22250620">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第14条 服务期限和服务费</w:t>
      </w:r>
    </w:p>
    <w:p w14:paraId="03B6339D">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14.1 服务期限</w:t>
      </w:r>
    </w:p>
    <w:p w14:paraId="46B0802D">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 项目经公开招投标，确定乙方为中标单位，甲方授予乙方对</w:t>
      </w:r>
      <w:r>
        <w:rPr>
          <w:rFonts w:hint="eastAsia" w:ascii="宋体" w:hAnsi="宋体" w:cs="宋体"/>
          <w:sz w:val="24"/>
          <w:szCs w:val="24"/>
          <w:lang w:eastAsia="zh-CN"/>
        </w:rPr>
        <w:t>2025年海口市60吨每日垃圾渗滤液污泥掺烧处理服务</w:t>
      </w:r>
      <w:r>
        <w:rPr>
          <w:rFonts w:hint="eastAsia" w:ascii="宋体" w:hAnsi="宋体" w:eastAsia="宋体" w:cs="宋体"/>
          <w:sz w:val="24"/>
          <w:szCs w:val="24"/>
        </w:rPr>
        <w:t>项目共一年处理期，即</w:t>
      </w:r>
      <w:r>
        <w:rPr>
          <w:rFonts w:hint="eastAsia" w:ascii="宋体" w:hAnsi="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日至</w:t>
      </w:r>
      <w:r>
        <w:rPr>
          <w:rFonts w:hint="eastAsia" w:ascii="宋体" w:hAnsi="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p w14:paraId="662A7C51">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 协议处理期限届满需要延续的，依据相关法定程序执行。</w:t>
      </w:r>
    </w:p>
    <w:p w14:paraId="345D45FA">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14.2 服务费</w:t>
      </w:r>
    </w:p>
    <w:p w14:paraId="125731A9">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（1）本项目污泥处理服务费的单价为人民币    元/吨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含税</w:t>
      </w:r>
      <w:r>
        <w:rPr>
          <w:rFonts w:hint="eastAsia" w:ascii="宋体" w:hAnsi="宋体" w:eastAsia="宋体" w:cs="宋体"/>
          <w:sz w:val="24"/>
          <w:szCs w:val="24"/>
          <w:lang w:eastAsia="zh-CN"/>
        </w:rPr>
        <w:t>）</w:t>
      </w:r>
      <w:r>
        <w:rPr>
          <w:rFonts w:hint="eastAsia" w:ascii="宋体" w:hAnsi="宋体" w:eastAsia="宋体" w:cs="宋体"/>
          <w:sz w:val="24"/>
          <w:szCs w:val="24"/>
        </w:rPr>
        <w:t>。</w:t>
      </w:r>
    </w:p>
    <w:p w14:paraId="75527D6A">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（2）具体为：污泥处理服务费按月支付，月污泥处理服务费的计算公式为：Q=P*T.其中，Q为月污泥处理服务费，P为月合格处理量，T为污泥处理服务费单价。</w:t>
      </w:r>
    </w:p>
    <w:p w14:paraId="4B38CC5F">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第15条 审核与</w:t>
      </w:r>
      <w:r>
        <w:rPr>
          <w:rFonts w:hint="eastAsia" w:ascii="宋体" w:hAnsi="宋体" w:eastAsia="宋体" w:cs="宋体"/>
          <w:spacing w:val="9"/>
          <w:sz w:val="24"/>
          <w:szCs w:val="24"/>
          <w:lang w:eastAsia="zh-CN"/>
          <w14:textOutline w14:w="4356" w14:cap="sq" w14:cmpd="sng" w14:algn="ctr">
            <w14:solidFill>
              <w14:srgbClr w14:val="000000"/>
            </w14:solidFill>
            <w14:prstDash w14:val="solid"/>
            <w14:bevel/>
          </w14:textOutline>
        </w:rPr>
        <w:t>履约</w:t>
      </w: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验收</w:t>
      </w:r>
    </w:p>
    <w:p w14:paraId="7624E9EC">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15.1审核方式。甲方按月对乙方报审结算的</w:t>
      </w:r>
      <w:r>
        <w:rPr>
          <w:rFonts w:hint="eastAsia" w:ascii="宋体" w:hAnsi="宋体" w:eastAsia="宋体" w:cs="宋体"/>
          <w:sz w:val="24"/>
          <w:szCs w:val="24"/>
          <w:lang w:eastAsia="zh-CN"/>
        </w:rPr>
        <w:t>渗滤液</w:t>
      </w:r>
      <w:r>
        <w:rPr>
          <w:rFonts w:hint="eastAsia" w:ascii="宋体" w:hAnsi="宋体" w:eastAsia="宋体" w:cs="宋体"/>
          <w:sz w:val="24"/>
          <w:szCs w:val="24"/>
        </w:rPr>
        <w:t>处理服务的数量、质量、污染物排放达标情况等相关指标进行审核验收或委托第三方审核验收，根据审核验收结果参考《海口市生活垃圾焚烧发电厂监管考核办法》等文件审核验收，审核与付费机制挂钩的，则按照相关要求核算付费。</w:t>
      </w:r>
    </w:p>
    <w:p w14:paraId="2C118724">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15.2</w:t>
      </w:r>
      <w:r>
        <w:rPr>
          <w:rFonts w:hint="eastAsia" w:ascii="宋体" w:hAnsi="宋体" w:eastAsia="宋体" w:cs="宋体"/>
          <w:sz w:val="24"/>
          <w:szCs w:val="24"/>
          <w:lang w:eastAsia="zh-CN"/>
        </w:rPr>
        <w:t>履约</w:t>
      </w:r>
      <w:r>
        <w:rPr>
          <w:rFonts w:hint="eastAsia" w:ascii="宋体" w:hAnsi="宋体" w:eastAsia="宋体" w:cs="宋体"/>
          <w:sz w:val="24"/>
          <w:szCs w:val="24"/>
        </w:rPr>
        <w:t>验收标准。按照国家、省、市相关规定及合同约定的标准和规范执行。</w:t>
      </w:r>
    </w:p>
    <w:p w14:paraId="5337E00E">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 xml:space="preserve">15.3 </w:t>
      </w:r>
      <w:r>
        <w:rPr>
          <w:rFonts w:hint="eastAsia" w:ascii="宋体" w:hAnsi="宋体" w:eastAsia="宋体" w:cs="宋体"/>
          <w:sz w:val="24"/>
          <w:szCs w:val="24"/>
          <w:lang w:eastAsia="zh-CN"/>
        </w:rPr>
        <w:t>一年服务期满后</w:t>
      </w:r>
      <w:r>
        <w:rPr>
          <w:rFonts w:hint="eastAsia" w:ascii="宋体" w:hAnsi="宋体" w:eastAsia="宋体" w:cs="宋体"/>
          <w:sz w:val="24"/>
          <w:szCs w:val="24"/>
          <w:lang w:val="en-US" w:eastAsia="zh-CN"/>
        </w:rPr>
        <w:t>10日前，乙方根据履约验收方案向甲方申请履约验收</w:t>
      </w:r>
      <w:r>
        <w:rPr>
          <w:rFonts w:hint="eastAsia" w:ascii="宋体" w:hAnsi="宋体" w:eastAsia="宋体" w:cs="宋体"/>
          <w:sz w:val="24"/>
          <w:szCs w:val="24"/>
        </w:rPr>
        <w:t>，经双方确认后，</w:t>
      </w:r>
      <w:r>
        <w:rPr>
          <w:rFonts w:hint="eastAsia" w:ascii="宋体" w:hAnsi="宋体" w:eastAsia="宋体" w:cs="宋体"/>
          <w:sz w:val="24"/>
          <w:szCs w:val="24"/>
          <w:lang w:eastAsia="zh-CN"/>
        </w:rPr>
        <w:t>验收结果作为</w:t>
      </w:r>
      <w:r>
        <w:rPr>
          <w:rFonts w:hint="eastAsia" w:ascii="宋体" w:hAnsi="宋体" w:eastAsia="宋体" w:cs="宋体"/>
          <w:sz w:val="24"/>
          <w:szCs w:val="24"/>
        </w:rPr>
        <w:t>存档和请款使用。</w:t>
      </w:r>
    </w:p>
    <w:p w14:paraId="4E21F000">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lang w:eastAsia="zh-CN"/>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lang w:eastAsia="zh-CN"/>
          <w14:textOutline w14:w="4356" w14:cap="sq" w14:cmpd="sng" w14:algn="ctr">
            <w14:solidFill>
              <w14:srgbClr w14:val="000000"/>
            </w14:solidFill>
            <w14:prstDash w14:val="solid"/>
            <w14:bevel/>
          </w14:textOutline>
        </w:rPr>
        <w:t>第16条 付款时间、方式及条件</w:t>
      </w:r>
    </w:p>
    <w:p w14:paraId="0B8CA0CA">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当月污泥处理服务费=当月结算污泥量×污泥处理服务单价。</w:t>
      </w:r>
    </w:p>
    <w:p w14:paraId="16B047E7">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污泥处理服务费的支付采取“每日计量、每月计费、每月支付”的办法，颜春岭污泥处理处置项目每个月结束后十个工作日内，</w:t>
      </w:r>
      <w:r>
        <w:rPr>
          <w:rFonts w:hint="eastAsia" w:ascii="宋体" w:hAnsi="宋体" w:eastAsia="宋体" w:cs="宋体"/>
          <w:sz w:val="24"/>
          <w:szCs w:val="24"/>
          <w:lang w:eastAsia="zh-CN"/>
        </w:rPr>
        <w:t>乙方</w:t>
      </w:r>
      <w:r>
        <w:rPr>
          <w:rFonts w:hint="eastAsia" w:ascii="宋体" w:hAnsi="宋体" w:eastAsia="宋体" w:cs="宋体"/>
          <w:sz w:val="24"/>
          <w:szCs w:val="24"/>
        </w:rPr>
        <w:t>向</w:t>
      </w:r>
      <w:r>
        <w:rPr>
          <w:rFonts w:hint="eastAsia" w:ascii="宋体" w:hAnsi="宋体" w:eastAsia="宋体" w:cs="宋体"/>
          <w:sz w:val="24"/>
          <w:szCs w:val="24"/>
          <w:lang w:eastAsia="zh-CN"/>
        </w:rPr>
        <w:t>甲方</w:t>
      </w:r>
      <w:r>
        <w:rPr>
          <w:rFonts w:hint="eastAsia" w:ascii="宋体" w:hAnsi="宋体" w:eastAsia="宋体" w:cs="宋体"/>
          <w:sz w:val="24"/>
          <w:szCs w:val="24"/>
        </w:rPr>
        <w:t>提交上个月污泥处理量及应付污泥服务费金额的结算单。</w:t>
      </w:r>
    </w:p>
    <w:p w14:paraId="3DB96E8F">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.3</w:t>
      </w:r>
      <w:r>
        <w:rPr>
          <w:rFonts w:hint="eastAsia" w:ascii="宋体" w:hAnsi="宋体" w:eastAsia="宋体" w:cs="宋体"/>
          <w:sz w:val="24"/>
          <w:szCs w:val="24"/>
          <w:lang w:val="en-US" w:eastAsia="zh-CN"/>
        </w:rPr>
        <w:t xml:space="preserve"> 甲方</w:t>
      </w:r>
      <w:r>
        <w:rPr>
          <w:rFonts w:hint="eastAsia" w:ascii="宋体" w:hAnsi="宋体" w:eastAsia="宋体" w:cs="宋体"/>
          <w:sz w:val="24"/>
          <w:szCs w:val="24"/>
        </w:rPr>
        <w:t>收到结算单之日起十五个工作日内对</w:t>
      </w:r>
      <w:r>
        <w:rPr>
          <w:rFonts w:hint="eastAsia" w:ascii="宋体" w:hAnsi="宋体" w:eastAsia="宋体" w:cs="宋体"/>
          <w:sz w:val="24"/>
          <w:szCs w:val="24"/>
          <w:lang w:val="en-US" w:eastAsia="zh-CN"/>
        </w:rPr>
        <w:t>乙方</w:t>
      </w:r>
      <w:r>
        <w:rPr>
          <w:rFonts w:hint="eastAsia" w:ascii="宋体" w:hAnsi="宋体" w:eastAsia="宋体" w:cs="宋体"/>
          <w:sz w:val="24"/>
          <w:szCs w:val="24"/>
        </w:rPr>
        <w:t>提供的结算单进行审核，如</w:t>
      </w:r>
      <w:r>
        <w:rPr>
          <w:rFonts w:hint="eastAsia" w:ascii="宋体" w:hAnsi="宋体" w:eastAsia="宋体" w:cs="宋体"/>
          <w:sz w:val="24"/>
          <w:szCs w:val="24"/>
          <w:lang w:val="en-US" w:eastAsia="zh-CN"/>
        </w:rPr>
        <w:t>有</w:t>
      </w:r>
      <w:r>
        <w:rPr>
          <w:rFonts w:hint="eastAsia" w:ascii="宋体" w:hAnsi="宋体" w:eastAsia="宋体" w:cs="宋体"/>
          <w:sz w:val="24"/>
          <w:szCs w:val="24"/>
        </w:rPr>
        <w:t>异议应书面说明原因，并说明该结算单中无异议的部分，</w:t>
      </w:r>
      <w:r>
        <w:rPr>
          <w:rFonts w:hint="eastAsia" w:ascii="宋体" w:hAnsi="宋体" w:eastAsia="宋体" w:cs="宋体"/>
          <w:sz w:val="24"/>
          <w:szCs w:val="24"/>
          <w:lang w:val="en-US" w:eastAsia="zh-CN"/>
        </w:rPr>
        <w:t>乙方</w:t>
      </w:r>
      <w:r>
        <w:rPr>
          <w:rFonts w:hint="eastAsia" w:ascii="宋体" w:hAnsi="宋体" w:eastAsia="宋体" w:cs="宋体"/>
          <w:sz w:val="24"/>
          <w:szCs w:val="24"/>
        </w:rPr>
        <w:t>根据</w:t>
      </w:r>
      <w:r>
        <w:rPr>
          <w:rFonts w:hint="eastAsia" w:ascii="宋体" w:hAnsi="宋体" w:eastAsia="宋体" w:cs="宋体"/>
          <w:sz w:val="24"/>
          <w:szCs w:val="24"/>
          <w:lang w:val="en-US" w:eastAsia="zh-CN"/>
        </w:rPr>
        <w:t>甲方</w:t>
      </w:r>
      <w:r>
        <w:rPr>
          <w:rFonts w:hint="eastAsia" w:ascii="宋体" w:hAnsi="宋体" w:eastAsia="宋体" w:cs="宋体"/>
          <w:sz w:val="24"/>
          <w:szCs w:val="24"/>
        </w:rPr>
        <w:t>反馈的无异议金额开具税务发票。</w:t>
      </w:r>
      <w:r>
        <w:rPr>
          <w:rFonts w:hint="eastAsia" w:ascii="宋体" w:hAnsi="宋体" w:eastAsia="宋体" w:cs="宋体"/>
          <w:sz w:val="24"/>
          <w:szCs w:val="24"/>
          <w:lang w:val="en-US" w:eastAsia="zh-CN"/>
        </w:rPr>
        <w:t>甲方在收到乙方</w:t>
      </w:r>
      <w:r>
        <w:rPr>
          <w:rFonts w:hint="eastAsia" w:ascii="宋体" w:hAnsi="宋体" w:eastAsia="宋体" w:cs="宋体"/>
          <w:sz w:val="24"/>
          <w:szCs w:val="24"/>
        </w:rPr>
        <w:t>提供的发票之日起</w:t>
      </w:r>
      <w:r>
        <w:rPr>
          <w:rFonts w:hint="eastAsia" w:ascii="宋体" w:hAnsi="宋体" w:cs="宋体"/>
          <w:sz w:val="24"/>
          <w:szCs w:val="24"/>
          <w:lang w:eastAsia="zh-CN"/>
        </w:rPr>
        <w:t>三</w:t>
      </w:r>
      <w:r>
        <w:rPr>
          <w:rFonts w:hint="eastAsia" w:ascii="宋体" w:hAnsi="宋体" w:eastAsia="宋体" w:cs="宋体"/>
          <w:sz w:val="24"/>
          <w:szCs w:val="24"/>
        </w:rPr>
        <w:t>个工作日支付相应金额的污泥处理服务费。</w:t>
      </w:r>
    </w:p>
    <w:p w14:paraId="5555B2A8">
      <w:pPr>
        <w:keepNext w:val="0"/>
        <w:keepLines w:val="0"/>
        <w:pageBreakBefore w:val="0"/>
        <w:kinsoku/>
        <w:wordWrap/>
        <w:overflowPunct/>
        <w:topLinePunct w:val="0"/>
        <w:autoSpaceDE/>
        <w:autoSpaceDN/>
        <w:bidi w:val="0"/>
        <w:spacing w:before="184" w:line="360" w:lineRule="auto"/>
        <w:jc w:val="center"/>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第五部分 绩效考核</w:t>
      </w:r>
    </w:p>
    <w:p w14:paraId="4202DD0C">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lang w:eastAsia="zh-CN"/>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lang w:eastAsia="zh-CN"/>
          <w14:textOutline w14:w="4356" w14:cap="sq" w14:cmpd="sng" w14:algn="ctr">
            <w14:solidFill>
              <w14:srgbClr w14:val="000000"/>
            </w14:solidFill>
            <w14:prstDash w14:val="solid"/>
            <w14:bevel/>
          </w14:textOutline>
        </w:rPr>
        <w:t>第17条 日常绩效考核</w:t>
      </w:r>
    </w:p>
    <w:p w14:paraId="4A96EF7E">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17.1 整个处理服务期间，甲方每月根据“日常绩效考核细则”（双方另行制定，作为合同附件）对</w:t>
      </w:r>
      <w:r>
        <w:rPr>
          <w:rFonts w:hint="eastAsia" w:ascii="宋体" w:hAnsi="宋体" w:eastAsia="宋体" w:cs="宋体"/>
          <w:sz w:val="24"/>
          <w:szCs w:val="24"/>
          <w:lang w:val="en-US" w:eastAsia="zh-CN"/>
        </w:rPr>
        <w:t>乙方</w:t>
      </w:r>
      <w:r>
        <w:rPr>
          <w:rFonts w:hint="eastAsia" w:ascii="宋体" w:hAnsi="宋体" w:eastAsia="宋体" w:cs="宋体"/>
          <w:sz w:val="24"/>
          <w:szCs w:val="24"/>
        </w:rPr>
        <w:t>的处理服务绩效进行考核，日常绩效考核为不定期考核，每月考核一次，包含服务质量、排放达标、安全秩序、管理制度、人员组织、运行维护、环境监测、设施设备、应急管理、环境卫生等内容，实行月累计扣分制，其结果用于月度考核评分。月度考核评分实行百分制，其考核取当月日常考核扣分之和分值，即月度绩效考核得分=100分－当月日常考核扣分累计数。月度考核得分情况与当月处理服务费发放挂钩。</w:t>
      </w:r>
    </w:p>
    <w:p w14:paraId="6E78A983">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17.2评分结果对应考核等级：</w:t>
      </w:r>
    </w:p>
    <w:p w14:paraId="2FD27A66">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1.当月综合评分≥95分时，全额支付；</w:t>
      </w:r>
    </w:p>
    <w:p w14:paraId="6C78B080">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2.当月综合评分＜95分，≥90分时，每扣0.1分则扣款200元 [例如:综合得分90分，扣款公式：200元/0.1分*（95分-90分）=10000元]；</w:t>
      </w:r>
    </w:p>
    <w:p w14:paraId="4D8030A4">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3.当月综合评分＜90分，≥60分时， 每扣0.1分则扣款2000元，两项合并扣款[例如:综合得分86.5分，扣款公式：200元/0.1分*（95分-90分）+2000元/0.1分*（89.9分-86.5分）=78000元]；</w:t>
      </w:r>
    </w:p>
    <w:p w14:paraId="36EE40BA">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4.当月综合评分＜60分的，不支付本月餐厨垃圾收运作业服务费。</w:t>
      </w:r>
    </w:p>
    <w:p w14:paraId="5B87D554">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每月10日前，甲方应完成上一个月的月度绩效考核报告，经双方确认后，交给处理方存档和请款使用。</w:t>
      </w:r>
    </w:p>
    <w:p w14:paraId="3AEB655F">
      <w:pPr>
        <w:keepNext w:val="0"/>
        <w:keepLines w:val="0"/>
        <w:pageBreakBefore w:val="0"/>
        <w:kinsoku/>
        <w:wordWrap/>
        <w:overflowPunct/>
        <w:topLinePunct w:val="0"/>
        <w:autoSpaceDE/>
        <w:autoSpaceDN/>
        <w:bidi w:val="0"/>
        <w:spacing w:before="184" w:line="360" w:lineRule="auto"/>
        <w:jc w:val="center"/>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w:t>
      </w:r>
      <w:r>
        <w:rPr>
          <w:rFonts w:hint="eastAsia" w:ascii="宋体" w:hAnsi="宋体" w:eastAsia="宋体" w:cs="宋体"/>
          <w:spacing w:val="9"/>
          <w:sz w:val="24"/>
          <w:szCs w:val="24"/>
          <w:lang w:eastAsia="zh-CN"/>
          <w14:textOutline w14:w="4356" w14:cap="sq" w14:cmpd="sng" w14:algn="ctr">
            <w14:solidFill>
              <w14:srgbClr w14:val="000000"/>
            </w14:solidFill>
            <w14:prstDash w14:val="solid"/>
            <w14:bevel/>
          </w14:textOutline>
        </w:rPr>
        <w:t>六</w:t>
      </w: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部分 不可抗力</w:t>
      </w:r>
    </w:p>
    <w:p w14:paraId="5D9CEB28">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第1</w:t>
      </w:r>
      <w:r>
        <w:rPr>
          <w:rFonts w:hint="eastAsia" w:ascii="宋体" w:hAnsi="宋体" w:eastAsia="宋体" w:cs="宋体"/>
          <w:spacing w:val="9"/>
          <w:sz w:val="24"/>
          <w:szCs w:val="24"/>
          <w:lang w:val="en-US" w:eastAsia="zh-CN"/>
          <w14:textOutline w14:w="4356" w14:cap="sq" w14:cmpd="sng" w14:algn="ctr">
            <w14:solidFill>
              <w14:srgbClr w14:val="000000"/>
            </w14:solidFill>
            <w14:prstDash w14:val="solid"/>
            <w14:bevel/>
          </w14:textOutline>
        </w:rPr>
        <w:t>8</w:t>
      </w: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条 不可抗力</w:t>
      </w:r>
    </w:p>
    <w:p w14:paraId="247485D2">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8</w:t>
      </w:r>
      <w:r>
        <w:rPr>
          <w:rFonts w:hint="eastAsia" w:ascii="宋体" w:hAnsi="宋体" w:eastAsia="宋体" w:cs="宋体"/>
          <w:sz w:val="24"/>
          <w:szCs w:val="24"/>
        </w:rPr>
        <w:t>.1 本协议中所指的不可抗力是指：</w:t>
      </w:r>
    </w:p>
    <w:p w14:paraId="66E8372A">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 地震、火山爆发、山体滑坡、水灾、海啸、台风、龙卷风或旱灾；</w:t>
      </w:r>
    </w:p>
    <w:p w14:paraId="31FB3D74">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 流行病、瘟疫；</w:t>
      </w:r>
    </w:p>
    <w:p w14:paraId="1C6CE1EB">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(3) 战争行为、入侵、武装冲突或外敌行为、封锁或军事力量的使用，暴 乱或恐怖行为；</w:t>
      </w:r>
    </w:p>
    <w:p w14:paraId="55321D54">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(4) 全国性、地区性、城市性或行业性罢工。</w:t>
      </w:r>
    </w:p>
    <w:p w14:paraId="1B4A2BFB">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8</w:t>
      </w:r>
      <w:r>
        <w:rPr>
          <w:rFonts w:hint="eastAsia" w:ascii="宋体" w:hAnsi="宋体" w:eastAsia="宋体" w:cs="宋体"/>
          <w:sz w:val="24"/>
          <w:szCs w:val="24"/>
        </w:rPr>
        <w:t>.2 一方因不可抗力不能履行本协议的，应当及时通知对方，以减轻可能给对方造成的损失，并应当在合理期限内提供证明。</w:t>
      </w:r>
    </w:p>
    <w:p w14:paraId="1A79E463">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第1</w:t>
      </w:r>
      <w:r>
        <w:rPr>
          <w:rFonts w:hint="eastAsia" w:ascii="宋体" w:hAnsi="宋体" w:eastAsia="宋体" w:cs="宋体"/>
          <w:spacing w:val="9"/>
          <w:sz w:val="24"/>
          <w:szCs w:val="24"/>
          <w:lang w:val="en-US" w:eastAsia="zh-CN"/>
          <w14:textOutline w14:w="4356" w14:cap="sq" w14:cmpd="sng" w14:algn="ctr">
            <w14:solidFill>
              <w14:srgbClr w14:val="000000"/>
            </w14:solidFill>
            <w14:prstDash w14:val="solid"/>
            <w14:bevel/>
          </w14:textOutline>
        </w:rPr>
        <w:t>9</w:t>
      </w: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条 不可抗力后果</w:t>
      </w:r>
    </w:p>
    <w:p w14:paraId="1052D7B8">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1若受影响方因不可抗力事件而全部或部分不能履行或需要延期履行其在本协议项下的某项义务，则该方可在受影响的范围和时间内免于履行该项义务或暂停履行义务。一旦不可抗力事件结束，受影响方应立即恢复履行该等义务。</w:t>
      </w:r>
    </w:p>
    <w:p w14:paraId="52764A87">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.2不可抗力事件发生前根据本协议产生的义务不得因不可抗力事件而免除。</w:t>
      </w:r>
    </w:p>
    <w:p w14:paraId="174ACF4D">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除本协议另有约定外，如果不可抗力造成项目设施重大损坏，则甲乙双方应该在不可抗力发生后的15个工作日内，就项目的修复或者更换方案达成一致，由此产生的费用由双方协商承担。</w:t>
      </w:r>
    </w:p>
    <w:p w14:paraId="1F07BB12">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遇国家相关法律、政策、规范、行业标准重大调整，对双方本协议项下各权利造成不利影响或无法维持正常处理的，双方友好协商解决。</w:t>
      </w:r>
    </w:p>
    <w:p w14:paraId="426AA4CE">
      <w:pPr>
        <w:bidi w:val="0"/>
        <w:rPr>
          <w:rFonts w:hint="eastAsia"/>
        </w:rPr>
      </w:pPr>
    </w:p>
    <w:p w14:paraId="7478A553">
      <w:pPr>
        <w:keepNext w:val="0"/>
        <w:keepLines w:val="0"/>
        <w:pageBreakBefore w:val="0"/>
        <w:kinsoku/>
        <w:wordWrap/>
        <w:overflowPunct/>
        <w:topLinePunct w:val="0"/>
        <w:autoSpaceDE/>
        <w:autoSpaceDN/>
        <w:bidi w:val="0"/>
        <w:spacing w:before="184" w:line="360" w:lineRule="auto"/>
        <w:jc w:val="center"/>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 xml:space="preserve"> 第</w:t>
      </w:r>
      <w:r>
        <w:rPr>
          <w:rFonts w:hint="eastAsia" w:ascii="宋体" w:hAnsi="宋体" w:eastAsia="宋体" w:cs="宋体"/>
          <w:spacing w:val="9"/>
          <w:sz w:val="24"/>
          <w:szCs w:val="24"/>
          <w:lang w:eastAsia="zh-CN"/>
          <w14:textOutline w14:w="4356" w14:cap="sq" w14:cmpd="sng" w14:algn="ctr">
            <w14:solidFill>
              <w14:srgbClr w14:val="000000"/>
            </w14:solidFill>
            <w14:prstDash w14:val="solid"/>
            <w14:bevel/>
          </w14:textOutline>
        </w:rPr>
        <w:t>七</w:t>
      </w: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部分 违约责任及违约赔偿</w:t>
      </w:r>
    </w:p>
    <w:p w14:paraId="1402A7C4">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w:t>
      </w:r>
      <w:r>
        <w:rPr>
          <w:rFonts w:hint="eastAsia" w:ascii="宋体" w:hAnsi="宋体" w:eastAsia="宋体" w:cs="宋体"/>
          <w:spacing w:val="9"/>
          <w:sz w:val="24"/>
          <w:szCs w:val="24"/>
          <w:lang w:val="en-US" w:eastAsia="zh-CN"/>
          <w14:textOutline w14:w="4356" w14:cap="sq" w14:cmpd="sng" w14:algn="ctr">
            <w14:solidFill>
              <w14:srgbClr w14:val="000000"/>
            </w14:solidFill>
            <w14:prstDash w14:val="solid"/>
            <w14:bevel/>
          </w14:textOutline>
        </w:rPr>
        <w:t>20</w:t>
      </w: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条 违约责任的一般原则</w:t>
      </w:r>
    </w:p>
    <w:p w14:paraId="27FF6AEB">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20</w:t>
      </w:r>
      <w:r>
        <w:rPr>
          <w:rFonts w:hint="eastAsia" w:ascii="宋体" w:hAnsi="宋体" w:eastAsia="宋体" w:cs="宋体"/>
          <w:sz w:val="24"/>
          <w:szCs w:val="24"/>
        </w:rPr>
        <w:t>.1 任何一方有权获得因违约方违约而使己方遭受的损失、支出和费用的赔偿，该赔偿由违约方支付</w:t>
      </w:r>
      <w:r>
        <w:rPr>
          <w:rFonts w:hint="eastAsia" w:ascii="宋体" w:hAnsi="宋体" w:eastAsia="宋体" w:cs="宋体"/>
          <w:sz w:val="24"/>
          <w:szCs w:val="24"/>
          <w:lang w:eastAsia="zh-CN"/>
        </w:rPr>
        <w:t>。</w:t>
      </w:r>
    </w:p>
    <w:p w14:paraId="75E69FCF">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.2 由于对方违约而遭受损失的一方应采取合理行为减轻损失。如果被违约方未能采取此类行为，违约方可以请求从赔偿金额中扣除应能够减轻或减少的损失金额。被违约方有权从对方获得为减轻损失而采取行为所发生的合理费用。</w:t>
      </w:r>
    </w:p>
    <w:p w14:paraId="7560A679">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.3 如果损失的部分原因是由于受损害方的作为或不作为，则赔偿的数额中应扣除这些因素对应的损失数额。</w:t>
      </w:r>
    </w:p>
    <w:p w14:paraId="376706E9">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.4 除非本协议另有规定，各方均不应对由于或根据本协议产生的或与其相关的任何索赔为对方的任何间接、特殊、利润损失或附带损失或惩罚性损害赔偿负责。</w:t>
      </w:r>
    </w:p>
    <w:p w14:paraId="7735A9E7">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.5 根本违约。乙方严重违约致使甲方不能实现合同目的，甲方可以单方解除合同。</w:t>
      </w:r>
    </w:p>
    <w:p w14:paraId="3C0FC8AD">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.6 法律、法规政策变化或其他非一方主观情况致使合同不能继续履行的，双方可以协商解除合同。</w:t>
      </w:r>
    </w:p>
    <w:p w14:paraId="712796C0">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.7 免责</w:t>
      </w:r>
    </w:p>
    <w:p w14:paraId="112C54AA">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如果一方证明其未履行义务是由于不可抗力造成的，则该方对其违约不承担前款所规定的违约赔偿责任。</w:t>
      </w:r>
    </w:p>
    <w:p w14:paraId="334BAD9F">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第2</w:t>
      </w:r>
      <w:r>
        <w:rPr>
          <w:rFonts w:hint="eastAsia" w:ascii="宋体" w:hAnsi="宋体" w:eastAsia="宋体" w:cs="宋体"/>
          <w:spacing w:val="9"/>
          <w:sz w:val="24"/>
          <w:szCs w:val="24"/>
          <w:lang w:val="en-US" w:eastAsia="zh-CN"/>
          <w14:textOutline w14:w="4356" w14:cap="sq" w14:cmpd="sng" w14:algn="ctr">
            <w14:solidFill>
              <w14:srgbClr w14:val="000000"/>
            </w14:solidFill>
            <w14:prstDash w14:val="solid"/>
            <w14:bevel/>
          </w14:textOutline>
        </w:rPr>
        <w:t>1</w:t>
      </w: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条 甲方的违约责任</w:t>
      </w:r>
    </w:p>
    <w:p w14:paraId="446C63BC">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非乙方原因，甲方连续3个月或累计6个月未按时足额向乙方支付处理服务费，甲方在收到乙方书面催款书后30天内还不能就延时付款达成协议时，乙方有权停止本项目处理服务或终止本协议，由此造成的后果由甲方承担。</w:t>
      </w:r>
    </w:p>
    <w:p w14:paraId="67ECD589">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.2甲方逾期支付无争议污泥处理服务费的，向乙方支付逾期违约金，逾期违约金按逾付款额×</w:t>
      </w:r>
      <w:r>
        <w:rPr>
          <w:rFonts w:hint="eastAsia" w:ascii="宋体" w:hAnsi="宋体" w:eastAsia="宋体" w:cs="宋体"/>
          <w:sz w:val="24"/>
          <w:szCs w:val="24"/>
          <w:lang w:val="en-US" w:eastAsia="zh-CN"/>
        </w:rPr>
        <w:t>一年期LPR</w:t>
      </w:r>
      <w:r>
        <w:rPr>
          <w:rFonts w:hint="eastAsia" w:ascii="宋体" w:hAnsi="宋体" w:eastAsia="宋体" w:cs="宋体"/>
          <w:sz w:val="24"/>
          <w:szCs w:val="24"/>
        </w:rPr>
        <w:t>×</w:t>
      </w:r>
      <w:r>
        <w:rPr>
          <w:rFonts w:hint="eastAsia" w:ascii="宋体" w:hAnsi="宋体" w:eastAsia="宋体" w:cs="宋体"/>
          <w:sz w:val="24"/>
          <w:szCs w:val="24"/>
          <w:lang w:val="en-US" w:eastAsia="zh-CN"/>
        </w:rPr>
        <w:t>逾期天数</w:t>
      </w:r>
      <w:r>
        <w:rPr>
          <w:rFonts w:hint="eastAsia" w:ascii="宋体" w:hAnsi="宋体" w:eastAsia="宋体" w:cs="宋体"/>
          <w:sz w:val="24"/>
          <w:szCs w:val="24"/>
        </w:rPr>
        <w:t>计算。</w:t>
      </w:r>
    </w:p>
    <w:p w14:paraId="42040E88">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第2</w:t>
      </w:r>
      <w:r>
        <w:rPr>
          <w:rFonts w:hint="eastAsia" w:ascii="宋体" w:hAnsi="宋体" w:eastAsia="宋体" w:cs="宋体"/>
          <w:spacing w:val="9"/>
          <w:sz w:val="24"/>
          <w:szCs w:val="24"/>
          <w:lang w:val="en-US" w:eastAsia="zh-CN"/>
          <w14:textOutline w14:w="4356" w14:cap="sq" w14:cmpd="sng" w14:algn="ctr">
            <w14:solidFill>
              <w14:srgbClr w14:val="000000"/>
            </w14:solidFill>
            <w14:prstDash w14:val="solid"/>
            <w14:bevel/>
          </w14:textOutline>
        </w:rPr>
        <w:t>2</w:t>
      </w: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条 乙方的违约责任</w:t>
      </w:r>
    </w:p>
    <w:p w14:paraId="4554A779">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 乙方未按照国家安全生产法规和行业安全生产规范，加强安全管理，导致质量、生产、安全责任事故，应承担法律责任和本协议规定的相关责任。</w:t>
      </w:r>
    </w:p>
    <w:p w14:paraId="3933CCCB">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 乙方未按照谨慎处理惯例及项目投标文件的承诺对项目设施进行维护保养而造成损坏的，乙方应负责修复或采购全新设备设施</w:t>
      </w:r>
      <w:r>
        <w:rPr>
          <w:rFonts w:hint="eastAsia" w:ascii="宋体" w:hAnsi="宋体" w:eastAsia="宋体" w:cs="宋体"/>
          <w:sz w:val="24"/>
          <w:szCs w:val="24"/>
          <w:lang w:val="en-US" w:eastAsia="zh-CN"/>
        </w:rPr>
        <w:t>并承担相应费用</w:t>
      </w:r>
      <w:r>
        <w:rPr>
          <w:rFonts w:hint="eastAsia" w:ascii="宋体" w:hAnsi="宋体" w:eastAsia="宋体" w:cs="宋体"/>
          <w:sz w:val="24"/>
          <w:szCs w:val="24"/>
        </w:rPr>
        <w:t>。</w:t>
      </w:r>
    </w:p>
    <w:p w14:paraId="56327E30">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.3 在服务处理期内，乙方应承担因自身原因导致的一切责任，包括但不限于：</w:t>
      </w:r>
    </w:p>
    <w:p w14:paraId="5D8F59BA">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(1)因乙方责任导致环境污染的，由乙方承担全部法律责任。</w:t>
      </w:r>
    </w:p>
    <w:p w14:paraId="22CEDBF2">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 xml:space="preserve">(2)因乙方责任导致安全事故的，由乙方承担全部法律责任。 </w:t>
      </w:r>
    </w:p>
    <w:p w14:paraId="75D7FF89">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.4 污泥质量不合格的，乙方应向甲方支付违约金</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违约金计算方式为不合格处理量</w:t>
      </w:r>
      <w:r>
        <w:rPr>
          <w:rFonts w:hint="eastAsia" w:ascii="宋体" w:hAnsi="宋体" w:eastAsia="宋体" w:cs="宋体"/>
          <w:sz w:val="24"/>
          <w:szCs w:val="24"/>
        </w:rPr>
        <w:t>×污泥处理服务费单价×</w:t>
      </w:r>
      <w:r>
        <w:rPr>
          <w:rFonts w:hint="eastAsia" w:ascii="宋体" w:hAnsi="宋体" w:eastAsia="宋体" w:cs="宋体"/>
          <w:sz w:val="24"/>
          <w:szCs w:val="24"/>
          <w:lang w:val="en-US" w:eastAsia="zh-CN"/>
        </w:rPr>
        <w:t>2</w:t>
      </w:r>
      <w:r>
        <w:rPr>
          <w:rFonts w:hint="eastAsia" w:ascii="宋体" w:hAnsi="宋体" w:eastAsia="宋体" w:cs="宋体"/>
          <w:sz w:val="24"/>
          <w:szCs w:val="24"/>
        </w:rPr>
        <w:t>。</w:t>
      </w:r>
    </w:p>
    <w:p w14:paraId="5F0F6C3C">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.5月平均炉渣热灼减率不合格的，按上月污泥处理服务费的20％向甲方支付违约金。</w:t>
      </w:r>
    </w:p>
    <w:p w14:paraId="0A3D55EC">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bookmarkStart w:id="0" w:name="_bookmark34"/>
      <w:bookmarkEnd w:id="0"/>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.6炉渣、飞灰、噪声、恶臭和生产、渗滤液、生活污水的处置有一项不合格并被环保部门处罚的，应向甲方支付违约金壹拾 (10) 万元。</w:t>
      </w:r>
    </w:p>
    <w:p w14:paraId="2516EC79">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.7大气污染物排放不合格的，按无效处理量×污泥处理服务费单价×</w:t>
      </w:r>
      <w:r>
        <w:rPr>
          <w:rFonts w:hint="eastAsia" w:ascii="宋体" w:hAnsi="宋体" w:eastAsia="宋体" w:cs="宋体"/>
          <w:sz w:val="24"/>
          <w:szCs w:val="24"/>
          <w:lang w:val="en-US" w:eastAsia="zh-CN"/>
        </w:rPr>
        <w:t>2</w:t>
      </w:r>
      <w:r>
        <w:rPr>
          <w:rFonts w:hint="eastAsia" w:ascii="宋体" w:hAnsi="宋体" w:eastAsia="宋体" w:cs="宋体"/>
          <w:sz w:val="24"/>
          <w:szCs w:val="24"/>
        </w:rPr>
        <w:t>计算违约金。</w:t>
      </w:r>
    </w:p>
    <w:p w14:paraId="5F300218">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.8因乙方违约而向甲方支付赔偿金后，并不免除其接受相关监管部门处罚的责任。</w:t>
      </w:r>
    </w:p>
    <w:p w14:paraId="0EA8EE1D">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9</w:t>
      </w:r>
      <w:r>
        <w:rPr>
          <w:rFonts w:hint="eastAsia" w:ascii="宋体" w:hAnsi="宋体" w:eastAsia="宋体" w:cs="宋体"/>
          <w:sz w:val="24"/>
          <w:szCs w:val="24"/>
        </w:rPr>
        <w:t>本协议履行期间，如乙方存在应当支付给甲方或第三方的一切费用，乙方应当及时负责付清，如乙方未及时负责付清，甲方有权随时在乙方应当获得的处理服务费中足额扣除并支付。如因甲方未按本协议约定支付相应款项导致的除外。</w:t>
      </w:r>
    </w:p>
    <w:p w14:paraId="216F4F70">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第2</w:t>
      </w:r>
      <w:r>
        <w:rPr>
          <w:rFonts w:hint="eastAsia" w:ascii="宋体" w:hAnsi="宋体" w:eastAsia="宋体" w:cs="宋体"/>
          <w:spacing w:val="9"/>
          <w:sz w:val="24"/>
          <w:szCs w:val="24"/>
          <w:lang w:val="en-US" w:eastAsia="zh-CN"/>
          <w14:textOutline w14:w="4356" w14:cap="sq" w14:cmpd="sng" w14:algn="ctr">
            <w14:solidFill>
              <w14:srgbClr w14:val="000000"/>
            </w14:solidFill>
            <w14:prstDash w14:val="solid"/>
            <w14:bevel/>
          </w14:textOutline>
        </w:rPr>
        <w:t>3</w:t>
      </w: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条 争议解决</w:t>
      </w:r>
    </w:p>
    <w:p w14:paraId="5DA2FCEB">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3</w:t>
      </w:r>
      <w:r>
        <w:rPr>
          <w:rFonts w:hint="eastAsia" w:ascii="宋体" w:hAnsi="宋体" w:eastAsia="宋体" w:cs="宋体"/>
          <w:sz w:val="24"/>
          <w:szCs w:val="24"/>
        </w:rPr>
        <w:t>.1 因履行本协议所发生的一切争议，双方应尽量通过友好协商解决。如果双方经协商不能解决争议，双方可共同请有关部门或专家小组居间调解。</w:t>
      </w:r>
    </w:p>
    <w:p w14:paraId="57EB6135">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3</w:t>
      </w:r>
      <w:r>
        <w:rPr>
          <w:rFonts w:hint="eastAsia" w:ascii="宋体" w:hAnsi="宋体" w:eastAsia="宋体" w:cs="宋体"/>
          <w:sz w:val="24"/>
          <w:szCs w:val="24"/>
        </w:rPr>
        <w:t>.2若在友好协商30个工作日内争议仍未能得到解决，任何一方均有权向甲方所在地人民法院提起诉讼。</w:t>
      </w:r>
    </w:p>
    <w:p w14:paraId="2BB3CA21">
      <w:pPr>
        <w:keepNext w:val="0"/>
        <w:keepLines w:val="0"/>
        <w:pageBreakBefore w:val="0"/>
        <w:kinsoku/>
        <w:wordWrap/>
        <w:overflowPunct/>
        <w:topLinePunct w:val="0"/>
        <w:autoSpaceDE/>
        <w:autoSpaceDN/>
        <w:bidi w:val="0"/>
        <w:spacing w:before="184" w:line="360" w:lineRule="auto"/>
        <w:textAlignment w:val="auto"/>
        <w:rPr>
          <w:rFonts w:hint="eastAsia" w:ascii="宋体" w:hAnsi="宋体" w:eastAsia="宋体" w:cs="宋体"/>
          <w:spacing w:val="22"/>
          <w:sz w:val="24"/>
          <w:szCs w:val="24"/>
        </w:rPr>
      </w:pPr>
    </w:p>
    <w:p w14:paraId="5C0A19D3">
      <w:pPr>
        <w:keepNext w:val="0"/>
        <w:keepLines w:val="0"/>
        <w:pageBreakBefore w:val="0"/>
        <w:kinsoku/>
        <w:wordWrap/>
        <w:overflowPunct/>
        <w:topLinePunct w:val="0"/>
        <w:autoSpaceDE/>
        <w:autoSpaceDN/>
        <w:bidi w:val="0"/>
        <w:spacing w:before="184" w:line="360" w:lineRule="auto"/>
        <w:jc w:val="center"/>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w:t>
      </w:r>
      <w:r>
        <w:rPr>
          <w:rFonts w:hint="eastAsia" w:ascii="宋体" w:hAnsi="宋体" w:eastAsia="宋体" w:cs="宋体"/>
          <w:spacing w:val="9"/>
          <w:sz w:val="24"/>
          <w:szCs w:val="24"/>
          <w:lang w:eastAsia="zh-CN"/>
          <w14:textOutline w14:w="4356" w14:cap="sq" w14:cmpd="sng" w14:algn="ctr">
            <w14:solidFill>
              <w14:srgbClr w14:val="000000"/>
            </w14:solidFill>
            <w14:prstDash w14:val="solid"/>
            <w14:bevel/>
          </w14:textOutline>
        </w:rPr>
        <w:t>八</w:t>
      </w: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部分 其它</w:t>
      </w:r>
    </w:p>
    <w:p w14:paraId="2C7A7268">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第2</w:t>
      </w:r>
      <w:r>
        <w:rPr>
          <w:rFonts w:hint="eastAsia" w:ascii="宋体" w:hAnsi="宋体" w:eastAsia="宋体" w:cs="宋体"/>
          <w:spacing w:val="9"/>
          <w:sz w:val="24"/>
          <w:szCs w:val="24"/>
          <w:lang w:val="en-US" w:eastAsia="zh-CN"/>
          <w14:textOutline w14:w="4356" w14:cap="sq" w14:cmpd="sng" w14:algn="ctr">
            <w14:solidFill>
              <w14:srgbClr w14:val="000000"/>
            </w14:solidFill>
            <w14:prstDash w14:val="solid"/>
            <w14:bevel/>
          </w14:textOutline>
        </w:rPr>
        <w:t>4</w:t>
      </w: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条 协议生效</w:t>
      </w:r>
    </w:p>
    <w:p w14:paraId="625C066E">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4</w:t>
      </w:r>
      <w:r>
        <w:rPr>
          <w:rFonts w:hint="eastAsia" w:ascii="宋体" w:hAnsi="宋体" w:eastAsia="宋体" w:cs="宋体"/>
          <w:sz w:val="24"/>
          <w:szCs w:val="24"/>
        </w:rPr>
        <w:t>.1协议经双方法定代表人 (单位负责人) 或授权委托代理人签字并加盖单位公章后生效。如双方签署日期不一致，自较迟的签署日起生效。</w:t>
      </w:r>
    </w:p>
    <w:p w14:paraId="72745322">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4</w:t>
      </w:r>
      <w:r>
        <w:rPr>
          <w:rFonts w:hint="eastAsia" w:ascii="宋体" w:hAnsi="宋体" w:eastAsia="宋体" w:cs="宋体"/>
          <w:sz w:val="24"/>
          <w:szCs w:val="24"/>
        </w:rPr>
        <w:t>.2本协议所有附件、</w:t>
      </w:r>
      <w:r>
        <w:rPr>
          <w:rFonts w:hint="eastAsia" w:ascii="宋体" w:hAnsi="宋体" w:eastAsia="宋体" w:cs="宋体"/>
          <w:sz w:val="24"/>
          <w:szCs w:val="24"/>
          <w:lang w:val="en-US" w:eastAsia="zh-CN"/>
        </w:rPr>
        <w:t>招标及</w:t>
      </w:r>
      <w:r>
        <w:rPr>
          <w:rFonts w:hint="eastAsia" w:ascii="宋体" w:hAnsi="宋体" w:eastAsia="宋体" w:cs="宋体"/>
          <w:sz w:val="24"/>
          <w:szCs w:val="24"/>
        </w:rPr>
        <w:t>投标文件、中标通知书均为协议的有效组成部分，与本协议具有同等法律效力。</w:t>
      </w:r>
    </w:p>
    <w:p w14:paraId="74449A12">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bookmarkStart w:id="1" w:name="_bookmark36"/>
      <w:bookmarkEnd w:id="1"/>
      <w:r>
        <w:rPr>
          <w:rFonts w:hint="eastAsia" w:ascii="宋体" w:hAnsi="宋体" w:eastAsia="宋体" w:cs="宋体"/>
          <w:sz w:val="24"/>
          <w:szCs w:val="24"/>
        </w:rPr>
        <w:t>2</w:t>
      </w:r>
      <w:r>
        <w:rPr>
          <w:rFonts w:hint="eastAsia" w:ascii="宋体" w:hAnsi="宋体" w:eastAsia="宋体" w:cs="宋体"/>
          <w:sz w:val="24"/>
          <w:szCs w:val="24"/>
          <w:lang w:val="en-US" w:eastAsia="zh-CN"/>
        </w:rPr>
        <w:t>4</w:t>
      </w:r>
      <w:r>
        <w:rPr>
          <w:rFonts w:hint="eastAsia" w:ascii="宋体" w:hAnsi="宋体" w:eastAsia="宋体" w:cs="宋体"/>
          <w:sz w:val="24"/>
          <w:szCs w:val="24"/>
        </w:rPr>
        <w:t>.3在执行本协议的过程中，所有经双方签署确认的文件 (包括但不限于会议纪要、补充协议、往来信函) 即成为本协议的有效组成部分。</w:t>
      </w:r>
    </w:p>
    <w:p w14:paraId="200A07C1">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4</w:t>
      </w:r>
      <w:r>
        <w:rPr>
          <w:rFonts w:hint="eastAsia" w:ascii="宋体" w:hAnsi="宋体" w:eastAsia="宋体" w:cs="宋体"/>
          <w:sz w:val="24"/>
          <w:szCs w:val="24"/>
        </w:rPr>
        <w:t>.4 本协议未尽事宜，遵照《中华人民共和国民法典·合同编》有关条文执行。</w:t>
      </w:r>
    </w:p>
    <w:p w14:paraId="5D8AA69D">
      <w:pPr>
        <w:pStyle w:val="9"/>
        <w:keepNext w:val="0"/>
        <w:keepLines w:val="0"/>
        <w:pageBreakBefore w:val="0"/>
        <w:kinsoku/>
        <w:wordWrap/>
        <w:overflowPunct/>
        <w:topLinePunct w:val="0"/>
        <w:autoSpaceDE/>
        <w:autoSpaceDN/>
        <w:bidi w:val="0"/>
        <w:spacing w:line="360" w:lineRule="auto"/>
        <w:ind w:firstLine="6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4</w:t>
      </w:r>
      <w:r>
        <w:rPr>
          <w:rFonts w:hint="eastAsia" w:ascii="宋体" w:hAnsi="宋体" w:eastAsia="宋体" w:cs="宋体"/>
          <w:sz w:val="24"/>
          <w:szCs w:val="24"/>
        </w:rPr>
        <w:t>.5本协议一式</w:t>
      </w:r>
      <w:r>
        <w:rPr>
          <w:rFonts w:hint="eastAsia" w:ascii="宋体" w:hAnsi="宋体" w:eastAsia="宋体" w:cs="宋体"/>
          <w:sz w:val="24"/>
          <w:szCs w:val="24"/>
          <w:lang w:eastAsia="zh-CN"/>
        </w:rPr>
        <w:t>六</w:t>
      </w:r>
      <w:r>
        <w:rPr>
          <w:rFonts w:hint="eastAsia" w:ascii="宋体" w:hAnsi="宋体" w:eastAsia="宋体" w:cs="宋体"/>
          <w:sz w:val="24"/>
          <w:szCs w:val="24"/>
        </w:rPr>
        <w:t>份，甲乙双方各执</w:t>
      </w:r>
      <w:r>
        <w:rPr>
          <w:rFonts w:hint="eastAsia" w:ascii="宋体" w:hAnsi="宋体" w:eastAsia="宋体" w:cs="宋体"/>
          <w:sz w:val="24"/>
          <w:szCs w:val="24"/>
          <w:lang w:eastAsia="zh-CN"/>
        </w:rPr>
        <w:t>三</w:t>
      </w:r>
      <w:r>
        <w:rPr>
          <w:rFonts w:hint="eastAsia" w:ascii="宋体" w:hAnsi="宋体" w:eastAsia="宋体" w:cs="宋体"/>
          <w:sz w:val="24"/>
          <w:szCs w:val="24"/>
        </w:rPr>
        <w:t>份，均具有同等法律效力。</w:t>
      </w:r>
    </w:p>
    <w:p w14:paraId="5E042BD8">
      <w:pPr>
        <w:keepNext w:val="0"/>
        <w:keepLines w:val="0"/>
        <w:pageBreakBefore w:val="0"/>
        <w:kinsoku/>
        <w:wordWrap/>
        <w:overflowPunct/>
        <w:topLinePunct w:val="0"/>
        <w:autoSpaceDE/>
        <w:autoSpaceDN/>
        <w:bidi w:val="0"/>
        <w:spacing w:before="184" w:line="360" w:lineRule="auto"/>
        <w:ind w:firstLine="516" w:firstLineChars="200"/>
        <w:textAlignment w:val="auto"/>
        <w:rPr>
          <w:rFonts w:hint="eastAsia" w:ascii="宋体" w:hAnsi="宋体" w:eastAsia="宋体" w:cs="宋体"/>
          <w:spacing w:val="9"/>
          <w:sz w:val="24"/>
          <w:szCs w:val="24"/>
          <w14:textOutline w14:w="4356" w14:cap="sq" w14:cmpd="sng" w14:algn="ctr">
            <w14:solidFill>
              <w14:srgbClr w14:val="000000"/>
            </w14:solidFill>
            <w14:prstDash w14:val="solid"/>
            <w14:bevel/>
          </w14:textOutline>
        </w:rPr>
      </w:pPr>
      <w:r>
        <w:rPr>
          <w:rFonts w:hint="eastAsia" w:ascii="宋体" w:hAnsi="宋体" w:eastAsia="宋体" w:cs="宋体"/>
          <w:spacing w:val="9"/>
          <w:sz w:val="24"/>
          <w:szCs w:val="24"/>
          <w14:textOutline w14:w="4356" w14:cap="sq" w14:cmpd="sng" w14:algn="ctr">
            <w14:solidFill>
              <w14:srgbClr w14:val="000000"/>
            </w14:solidFill>
            <w14:prstDash w14:val="solid"/>
            <w14:bevel/>
          </w14:textOutline>
        </w:rPr>
        <w:t>附件：</w:t>
      </w:r>
    </w:p>
    <w:p w14:paraId="6158110F">
      <w:pPr>
        <w:keepNext w:val="0"/>
        <w:keepLines w:val="0"/>
        <w:pageBreakBefore w:val="0"/>
        <w:kinsoku/>
        <w:wordWrap/>
        <w:overflowPunct/>
        <w:topLinePunct w:val="0"/>
        <w:autoSpaceDE/>
        <w:autoSpaceDN/>
        <w:bidi w:val="0"/>
        <w:spacing w:before="184" w:line="360" w:lineRule="auto"/>
        <w:ind w:firstLine="568" w:firstLineChars="200"/>
        <w:textAlignment w:val="auto"/>
        <w:rPr>
          <w:rFonts w:hint="eastAsia" w:ascii="宋体" w:hAnsi="宋体" w:eastAsia="宋体" w:cs="宋体"/>
          <w:spacing w:val="22"/>
          <w:sz w:val="24"/>
          <w:szCs w:val="24"/>
        </w:rPr>
      </w:pPr>
      <w:r>
        <w:rPr>
          <w:rFonts w:hint="eastAsia" w:ascii="宋体" w:hAnsi="宋体" w:eastAsia="宋体" w:cs="宋体"/>
          <w:spacing w:val="22"/>
          <w:sz w:val="24"/>
          <w:szCs w:val="24"/>
        </w:rPr>
        <w:t>1、日常绩效考核细则（</w:t>
      </w:r>
      <w:r>
        <w:rPr>
          <w:rFonts w:hint="eastAsia" w:ascii="宋体" w:hAnsi="宋体" w:eastAsia="宋体" w:cs="宋体"/>
          <w:spacing w:val="22"/>
          <w:sz w:val="24"/>
          <w:szCs w:val="24"/>
          <w:lang w:eastAsia="zh-CN"/>
        </w:rPr>
        <w:t>暂定</w:t>
      </w:r>
      <w:r>
        <w:rPr>
          <w:rFonts w:hint="eastAsia" w:ascii="宋体" w:hAnsi="宋体" w:eastAsia="宋体" w:cs="宋体"/>
          <w:spacing w:val="22"/>
          <w:sz w:val="24"/>
          <w:szCs w:val="24"/>
        </w:rPr>
        <w:t>）</w:t>
      </w:r>
    </w:p>
    <w:p w14:paraId="012429F1">
      <w:pPr>
        <w:keepNext w:val="0"/>
        <w:keepLines w:val="0"/>
        <w:pageBreakBefore w:val="0"/>
        <w:kinsoku/>
        <w:wordWrap/>
        <w:overflowPunct/>
        <w:topLinePunct w:val="0"/>
        <w:autoSpaceDE/>
        <w:autoSpaceDN/>
        <w:bidi w:val="0"/>
        <w:spacing w:before="184" w:line="360" w:lineRule="auto"/>
        <w:ind w:firstLine="568" w:firstLineChars="200"/>
        <w:textAlignment w:val="auto"/>
        <w:rPr>
          <w:rFonts w:hint="eastAsia" w:ascii="宋体" w:hAnsi="宋体" w:eastAsia="宋体" w:cs="宋体"/>
          <w:spacing w:val="22"/>
          <w:sz w:val="24"/>
          <w:szCs w:val="24"/>
        </w:rPr>
      </w:pPr>
      <w:r>
        <w:rPr>
          <w:rFonts w:hint="eastAsia" w:ascii="宋体" w:hAnsi="宋体" w:eastAsia="宋体" w:cs="宋体"/>
          <w:spacing w:val="22"/>
          <w:sz w:val="24"/>
          <w:szCs w:val="24"/>
          <w:lang w:val="en-US" w:eastAsia="zh-CN"/>
        </w:rPr>
        <w:t>2、</w:t>
      </w:r>
      <w:r>
        <w:rPr>
          <w:rFonts w:hint="eastAsia" w:ascii="宋体" w:hAnsi="宋体" w:eastAsia="宋体" w:cs="宋体"/>
          <w:spacing w:val="22"/>
          <w:sz w:val="24"/>
          <w:szCs w:val="24"/>
        </w:rPr>
        <w:t>履约验收方案</w:t>
      </w:r>
    </w:p>
    <w:p w14:paraId="51123ACC">
      <w:pPr>
        <w:keepNext w:val="0"/>
        <w:keepLines w:val="0"/>
        <w:pageBreakBefore w:val="0"/>
        <w:kinsoku/>
        <w:wordWrap/>
        <w:overflowPunct/>
        <w:topLinePunct w:val="0"/>
        <w:autoSpaceDE/>
        <w:autoSpaceDN/>
        <w:bidi w:val="0"/>
        <w:spacing w:before="184" w:line="360" w:lineRule="auto"/>
        <w:ind w:firstLine="568" w:firstLineChars="200"/>
        <w:textAlignment w:val="auto"/>
        <w:rPr>
          <w:rFonts w:hint="eastAsia" w:ascii="宋体" w:hAnsi="宋体" w:eastAsia="宋体" w:cs="宋体"/>
          <w:spacing w:val="22"/>
          <w:sz w:val="24"/>
          <w:szCs w:val="24"/>
        </w:rPr>
      </w:pPr>
      <w:r>
        <w:rPr>
          <w:rFonts w:hint="eastAsia" w:ascii="宋体" w:hAnsi="宋体" w:eastAsia="宋体" w:cs="宋体"/>
          <w:spacing w:val="22"/>
          <w:sz w:val="24"/>
          <w:szCs w:val="24"/>
          <w:lang w:val="en-US" w:eastAsia="zh-CN"/>
        </w:rPr>
        <w:t>3</w:t>
      </w:r>
      <w:r>
        <w:rPr>
          <w:rFonts w:hint="eastAsia" w:ascii="宋体" w:hAnsi="宋体" w:eastAsia="宋体" w:cs="宋体"/>
          <w:spacing w:val="22"/>
          <w:sz w:val="24"/>
          <w:szCs w:val="24"/>
        </w:rPr>
        <w:t>、采购代理机构声明</w:t>
      </w:r>
    </w:p>
    <w:p w14:paraId="38BF6294">
      <w:pPr>
        <w:keepNext w:val="0"/>
        <w:keepLines w:val="0"/>
        <w:pageBreakBefore w:val="0"/>
        <w:kinsoku/>
        <w:wordWrap/>
        <w:overflowPunct/>
        <w:topLinePunct w:val="0"/>
        <w:autoSpaceDE/>
        <w:autoSpaceDN/>
        <w:bidi w:val="0"/>
        <w:spacing w:before="184" w:line="360" w:lineRule="auto"/>
        <w:textAlignment w:val="auto"/>
        <w:rPr>
          <w:rFonts w:hint="eastAsia" w:ascii="宋体" w:hAnsi="宋体" w:eastAsia="宋体" w:cs="宋体"/>
          <w:sz w:val="24"/>
          <w:szCs w:val="24"/>
        </w:rPr>
      </w:pPr>
      <w:r>
        <w:rPr>
          <w:rFonts w:hint="eastAsia" w:ascii="宋体" w:hAnsi="宋体" w:eastAsia="宋体" w:cs="宋体"/>
          <w:spacing w:val="22"/>
          <w:sz w:val="24"/>
          <w:szCs w:val="24"/>
        </w:rPr>
        <w:t>(以下无正文）</w:t>
      </w:r>
    </w:p>
    <w:tbl>
      <w:tblPr>
        <w:tblStyle w:val="6"/>
        <w:tblW w:w="9182" w:type="dxa"/>
        <w:jc w:val="center"/>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942"/>
        <w:gridCol w:w="240"/>
      </w:tblGrid>
      <w:tr w14:paraId="41AD1578">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73" w:hRule="atLeast"/>
          <w:jc w:val="center"/>
        </w:trPr>
        <w:tc>
          <w:tcPr>
            <w:tcW w:w="8942" w:type="dxa"/>
          </w:tcPr>
          <w:p w14:paraId="3A018D8B">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b/>
                <w:bCs/>
                <w:sz w:val="24"/>
                <w:szCs w:val="24"/>
              </w:rPr>
              <w:t>甲方</w:t>
            </w:r>
            <w:r>
              <w:rPr>
                <w:rFonts w:hint="eastAsia" w:ascii="宋体" w:hAnsi="宋体" w:eastAsia="宋体" w:cs="宋体"/>
                <w:sz w:val="24"/>
                <w:szCs w:val="24"/>
              </w:rPr>
              <w:t>：海口市城市管理局（盖章）</w:t>
            </w:r>
          </w:p>
        </w:tc>
        <w:tc>
          <w:tcPr>
            <w:tcW w:w="240" w:type="dxa"/>
          </w:tcPr>
          <w:p w14:paraId="5BA31F40">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3F18111A">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14" w:hRule="atLeast"/>
          <w:jc w:val="center"/>
        </w:trPr>
        <w:tc>
          <w:tcPr>
            <w:tcW w:w="8942" w:type="dxa"/>
          </w:tcPr>
          <w:p w14:paraId="468CE976">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地址：海口市秀英长滨三路9号市政府第二办公区15 幢北楼4楼</w:t>
            </w:r>
          </w:p>
        </w:tc>
        <w:tc>
          <w:tcPr>
            <w:tcW w:w="240" w:type="dxa"/>
          </w:tcPr>
          <w:p w14:paraId="3FD14C5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6F74F432">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1513" w:hRule="atLeast"/>
          <w:jc w:val="center"/>
        </w:trPr>
        <w:tc>
          <w:tcPr>
            <w:tcW w:w="8942" w:type="dxa"/>
          </w:tcPr>
          <w:p w14:paraId="192118AC">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法定（或授权）代表人（签字）：</w:t>
            </w:r>
          </w:p>
          <w:p w14:paraId="37358BAB">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p>
        </w:tc>
        <w:tc>
          <w:tcPr>
            <w:tcW w:w="240" w:type="dxa"/>
          </w:tcPr>
          <w:p w14:paraId="213C3F70">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3D523F54">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73" w:hRule="atLeast"/>
          <w:jc w:val="center"/>
        </w:trPr>
        <w:tc>
          <w:tcPr>
            <w:tcW w:w="8942" w:type="dxa"/>
          </w:tcPr>
          <w:p w14:paraId="5E53F943">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240" w:type="dxa"/>
          </w:tcPr>
          <w:p w14:paraId="4F0598B8">
            <w:pPr>
              <w:keepNext w:val="0"/>
              <w:keepLines w:val="0"/>
              <w:pageBreakBefore w:val="0"/>
              <w:kinsoku/>
              <w:wordWrap/>
              <w:overflowPunct/>
              <w:topLinePunct w:val="0"/>
              <w:autoSpaceDE/>
              <w:autoSpaceDN/>
              <w:bidi w:val="0"/>
              <w:spacing w:line="360" w:lineRule="auto"/>
              <w:ind w:left="42"/>
              <w:textAlignment w:val="auto"/>
              <w:rPr>
                <w:rFonts w:hint="eastAsia" w:ascii="宋体" w:hAnsi="宋体" w:eastAsia="宋体" w:cs="宋体"/>
                <w:sz w:val="24"/>
                <w:szCs w:val="24"/>
              </w:rPr>
            </w:pPr>
          </w:p>
        </w:tc>
      </w:tr>
      <w:tr w14:paraId="02F7CB27">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73" w:hRule="atLeast"/>
          <w:jc w:val="center"/>
        </w:trPr>
        <w:tc>
          <w:tcPr>
            <w:tcW w:w="8942" w:type="dxa"/>
          </w:tcPr>
          <w:p w14:paraId="0B72CCF2">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帐号：</w:t>
            </w:r>
          </w:p>
        </w:tc>
        <w:tc>
          <w:tcPr>
            <w:tcW w:w="240" w:type="dxa"/>
          </w:tcPr>
          <w:p w14:paraId="53693CDD">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6FA84136">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90" w:hRule="atLeast"/>
          <w:jc w:val="center"/>
        </w:trPr>
        <w:tc>
          <w:tcPr>
            <w:tcW w:w="8942" w:type="dxa"/>
            <w:shd w:val="clear" w:color="auto" w:fill="auto"/>
          </w:tcPr>
          <w:p w14:paraId="5FCAF9D1">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纳税人登记号：</w:t>
            </w:r>
          </w:p>
        </w:tc>
        <w:tc>
          <w:tcPr>
            <w:tcW w:w="240" w:type="dxa"/>
            <w:shd w:val="clear" w:color="auto" w:fill="FFFFFF"/>
          </w:tcPr>
          <w:p w14:paraId="15ECD7D6">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537F668A">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00" w:hRule="atLeast"/>
          <w:jc w:val="center"/>
        </w:trPr>
        <w:tc>
          <w:tcPr>
            <w:tcW w:w="8942" w:type="dxa"/>
          </w:tcPr>
          <w:p w14:paraId="11CE55DD">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邮编：570312</w:t>
            </w:r>
          </w:p>
        </w:tc>
        <w:tc>
          <w:tcPr>
            <w:tcW w:w="240" w:type="dxa"/>
          </w:tcPr>
          <w:p w14:paraId="499D05A2">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53AA32E2">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73" w:hRule="atLeast"/>
          <w:jc w:val="center"/>
        </w:trPr>
        <w:tc>
          <w:tcPr>
            <w:tcW w:w="8942" w:type="dxa"/>
          </w:tcPr>
          <w:p w14:paraId="49FE2905">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联系人：</w:t>
            </w:r>
          </w:p>
        </w:tc>
        <w:tc>
          <w:tcPr>
            <w:tcW w:w="240" w:type="dxa"/>
          </w:tcPr>
          <w:p w14:paraId="5BF00099">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52ACCA1A">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95" w:hRule="atLeast"/>
          <w:jc w:val="center"/>
        </w:trPr>
        <w:tc>
          <w:tcPr>
            <w:tcW w:w="8942" w:type="dxa"/>
          </w:tcPr>
          <w:p w14:paraId="3315CF6B">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联系人电话：</w:t>
            </w:r>
          </w:p>
        </w:tc>
        <w:tc>
          <w:tcPr>
            <w:tcW w:w="240" w:type="dxa"/>
          </w:tcPr>
          <w:p w14:paraId="45B8C0B4">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bl>
    <w:p w14:paraId="412AFA7B">
      <w:pPr>
        <w:bidi w:val="0"/>
        <w:rPr>
          <w:rFonts w:hint="eastAsia"/>
        </w:rPr>
      </w:pPr>
    </w:p>
    <w:tbl>
      <w:tblPr>
        <w:tblStyle w:val="6"/>
        <w:tblW w:w="9182" w:type="dxa"/>
        <w:jc w:val="center"/>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8942"/>
        <w:gridCol w:w="240"/>
      </w:tblGrid>
      <w:tr w14:paraId="40FFCB82">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73" w:hRule="atLeast"/>
          <w:jc w:val="center"/>
        </w:trPr>
        <w:tc>
          <w:tcPr>
            <w:tcW w:w="8942" w:type="dxa"/>
          </w:tcPr>
          <w:p w14:paraId="396511D5">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b/>
                <w:bCs/>
                <w:sz w:val="24"/>
                <w:szCs w:val="24"/>
              </w:rPr>
              <w:t>乙方</w:t>
            </w:r>
            <w:r>
              <w:rPr>
                <w:rFonts w:hint="eastAsia" w:ascii="宋体" w:hAnsi="宋体" w:eastAsia="宋体" w:cs="宋体"/>
                <w:sz w:val="24"/>
                <w:szCs w:val="24"/>
              </w:rPr>
              <w:t>：  （盖章）</w:t>
            </w:r>
          </w:p>
        </w:tc>
        <w:tc>
          <w:tcPr>
            <w:tcW w:w="240" w:type="dxa"/>
          </w:tcPr>
          <w:p w14:paraId="172FF9C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694B2316">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00" w:hRule="atLeast"/>
          <w:jc w:val="center"/>
        </w:trPr>
        <w:tc>
          <w:tcPr>
            <w:tcW w:w="8942" w:type="dxa"/>
          </w:tcPr>
          <w:p w14:paraId="617F6F2E">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240" w:type="dxa"/>
          </w:tcPr>
          <w:p w14:paraId="0F75E8E2">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7133DF5C">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928" w:hRule="atLeast"/>
          <w:jc w:val="center"/>
        </w:trPr>
        <w:tc>
          <w:tcPr>
            <w:tcW w:w="8942" w:type="dxa"/>
          </w:tcPr>
          <w:p w14:paraId="0B7FF893">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法定（或授权）代表人（签字）</w:t>
            </w:r>
          </w:p>
        </w:tc>
        <w:tc>
          <w:tcPr>
            <w:tcW w:w="240" w:type="dxa"/>
          </w:tcPr>
          <w:p w14:paraId="357DF4BE">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7DCC2940">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73" w:hRule="atLeast"/>
          <w:jc w:val="center"/>
        </w:trPr>
        <w:tc>
          <w:tcPr>
            <w:tcW w:w="8942" w:type="dxa"/>
          </w:tcPr>
          <w:p w14:paraId="704116C8">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 </w:t>
            </w:r>
          </w:p>
        </w:tc>
        <w:tc>
          <w:tcPr>
            <w:tcW w:w="240" w:type="dxa"/>
          </w:tcPr>
          <w:p w14:paraId="40E455C4">
            <w:pPr>
              <w:keepNext w:val="0"/>
              <w:keepLines w:val="0"/>
              <w:pageBreakBefore w:val="0"/>
              <w:kinsoku/>
              <w:wordWrap/>
              <w:overflowPunct/>
              <w:topLinePunct w:val="0"/>
              <w:autoSpaceDE/>
              <w:autoSpaceDN/>
              <w:bidi w:val="0"/>
              <w:spacing w:line="360" w:lineRule="auto"/>
              <w:ind w:left="42"/>
              <w:textAlignment w:val="auto"/>
              <w:rPr>
                <w:rFonts w:hint="eastAsia" w:ascii="宋体" w:hAnsi="宋体" w:eastAsia="宋体" w:cs="宋体"/>
                <w:sz w:val="24"/>
                <w:szCs w:val="24"/>
              </w:rPr>
            </w:pPr>
          </w:p>
        </w:tc>
      </w:tr>
      <w:tr w14:paraId="71352180">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73" w:hRule="atLeast"/>
          <w:jc w:val="center"/>
        </w:trPr>
        <w:tc>
          <w:tcPr>
            <w:tcW w:w="8942" w:type="dxa"/>
          </w:tcPr>
          <w:p w14:paraId="5D8CF574">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 xml:space="preserve">帐号： </w:t>
            </w:r>
          </w:p>
        </w:tc>
        <w:tc>
          <w:tcPr>
            <w:tcW w:w="240" w:type="dxa"/>
          </w:tcPr>
          <w:p w14:paraId="46363CD0">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60346FEE">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90" w:hRule="atLeast"/>
          <w:jc w:val="center"/>
        </w:trPr>
        <w:tc>
          <w:tcPr>
            <w:tcW w:w="8942" w:type="dxa"/>
            <w:shd w:val="clear" w:color="auto" w:fill="auto"/>
          </w:tcPr>
          <w:p w14:paraId="326A99F2">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 xml:space="preserve">纳税人登记号： </w:t>
            </w:r>
          </w:p>
        </w:tc>
        <w:tc>
          <w:tcPr>
            <w:tcW w:w="240" w:type="dxa"/>
            <w:shd w:val="clear" w:color="auto" w:fill="FFFFFF"/>
          </w:tcPr>
          <w:p w14:paraId="2ABF2004">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41333753">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00" w:hRule="atLeast"/>
          <w:jc w:val="center"/>
        </w:trPr>
        <w:tc>
          <w:tcPr>
            <w:tcW w:w="8942" w:type="dxa"/>
          </w:tcPr>
          <w:p w14:paraId="36858CF3">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 xml:space="preserve">邮编： </w:t>
            </w:r>
          </w:p>
        </w:tc>
        <w:tc>
          <w:tcPr>
            <w:tcW w:w="240" w:type="dxa"/>
          </w:tcPr>
          <w:p w14:paraId="0D8B3A50">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35E08239">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73" w:hRule="atLeast"/>
          <w:jc w:val="center"/>
        </w:trPr>
        <w:tc>
          <w:tcPr>
            <w:tcW w:w="8942" w:type="dxa"/>
          </w:tcPr>
          <w:p w14:paraId="3CE304BC">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 xml:space="preserve">联系人： </w:t>
            </w:r>
          </w:p>
        </w:tc>
        <w:tc>
          <w:tcPr>
            <w:tcW w:w="240" w:type="dxa"/>
          </w:tcPr>
          <w:p w14:paraId="628D4D38">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r w14:paraId="41A713E5">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95" w:hRule="atLeast"/>
          <w:jc w:val="center"/>
        </w:trPr>
        <w:tc>
          <w:tcPr>
            <w:tcW w:w="8942" w:type="dxa"/>
          </w:tcPr>
          <w:p w14:paraId="1FE61309">
            <w:pPr>
              <w:keepNext w:val="0"/>
              <w:keepLines w:val="0"/>
              <w:pageBreakBefore w:val="0"/>
              <w:kinsoku/>
              <w:wordWrap/>
              <w:overflowPunct/>
              <w:topLinePunct w:val="0"/>
              <w:autoSpaceDE/>
              <w:autoSpaceDN/>
              <w:bidi w:val="0"/>
              <w:spacing w:line="360" w:lineRule="auto"/>
              <w:ind w:right="314" w:rightChars="98"/>
              <w:textAlignment w:val="auto"/>
              <w:rPr>
                <w:rFonts w:hint="eastAsia" w:ascii="宋体" w:hAnsi="宋体" w:eastAsia="宋体" w:cs="宋体"/>
                <w:sz w:val="24"/>
                <w:szCs w:val="24"/>
              </w:rPr>
            </w:pPr>
            <w:r>
              <w:rPr>
                <w:rFonts w:hint="eastAsia" w:ascii="宋体" w:hAnsi="宋体" w:eastAsia="宋体" w:cs="宋体"/>
                <w:sz w:val="24"/>
                <w:szCs w:val="24"/>
              </w:rPr>
              <w:t xml:space="preserve">联系人电话： </w:t>
            </w:r>
          </w:p>
        </w:tc>
        <w:tc>
          <w:tcPr>
            <w:tcW w:w="240" w:type="dxa"/>
          </w:tcPr>
          <w:p w14:paraId="783FBF6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r>
    </w:tbl>
    <w:p w14:paraId="04EAA259">
      <w:pPr>
        <w:keepNext w:val="0"/>
        <w:keepLines w:val="0"/>
        <w:pageBreakBefore w:val="0"/>
        <w:kinsoku/>
        <w:wordWrap/>
        <w:overflowPunct/>
        <w:topLinePunct w:val="0"/>
        <w:autoSpaceDE/>
        <w:autoSpaceDN/>
        <w:bidi w:val="0"/>
        <w:spacing w:before="184" w:line="360" w:lineRule="auto"/>
        <w:textAlignment w:val="auto"/>
        <w:rPr>
          <w:rFonts w:hint="eastAsia" w:ascii="宋体" w:hAnsi="宋体" w:eastAsia="宋体" w:cs="宋体"/>
          <w:b/>
          <w:bCs/>
          <w:spacing w:val="22"/>
          <w:sz w:val="24"/>
          <w:szCs w:val="24"/>
        </w:rPr>
        <w:sectPr>
          <w:footerReference r:id="rId3" w:type="default"/>
          <w:pgSz w:w="11906" w:h="16838"/>
          <w:pgMar w:top="1440" w:right="1800" w:bottom="1440" w:left="1800" w:header="851" w:footer="992" w:gutter="0"/>
          <w:pgNumType w:start="1"/>
          <w:cols w:space="425" w:num="1"/>
          <w:docGrid w:type="lines" w:linePitch="312" w:charSpace="0"/>
        </w:sectPr>
      </w:pPr>
    </w:p>
    <w:p w14:paraId="0034501F">
      <w:pPr>
        <w:keepNext w:val="0"/>
        <w:keepLines w:val="0"/>
        <w:pageBreakBefore w:val="0"/>
        <w:kinsoku/>
        <w:wordWrap/>
        <w:overflowPunct/>
        <w:topLinePunct w:val="0"/>
        <w:autoSpaceDE/>
        <w:autoSpaceDN/>
        <w:bidi w:val="0"/>
        <w:spacing w:line="360" w:lineRule="auto"/>
        <w:ind w:firstLine="0"/>
        <w:textAlignment w:val="auto"/>
        <w:rPr>
          <w:rFonts w:hint="eastAsia" w:ascii="宋体" w:hAnsi="宋体" w:eastAsia="宋体" w:cs="宋体"/>
          <w:sz w:val="24"/>
          <w:szCs w:val="24"/>
        </w:rPr>
      </w:pPr>
    </w:p>
    <w:p w14:paraId="4D719D44">
      <w:pPr>
        <w:widowControl/>
        <w:spacing w:line="379" w:lineRule="exact"/>
        <w:ind w:right="-20"/>
        <w:jc w:val="center"/>
        <w:rPr>
          <w:rFonts w:hint="eastAsia" w:ascii="仿宋" w:hAnsi="仿宋" w:eastAsia="仿宋" w:cs="仿宋"/>
          <w:color w:val="000000"/>
          <w:sz w:val="32"/>
          <w:szCs w:val="32"/>
        </w:rPr>
      </w:pPr>
      <w:bookmarkStart w:id="2" w:name="_Toc21432"/>
      <w:r>
        <w:rPr>
          <w:rFonts w:hint="eastAsia" w:ascii="宋体" w:hAnsi="宋体" w:eastAsia="宋体" w:cs="宋体"/>
          <w:b/>
          <w:bCs/>
          <w:sz w:val="28"/>
          <w:szCs w:val="28"/>
          <w:lang w:eastAsia="zh-CN"/>
        </w:rPr>
        <w:t>附件</w:t>
      </w:r>
      <w:r>
        <w:rPr>
          <w:rFonts w:hint="eastAsia" w:ascii="宋体" w:hAnsi="宋体" w:eastAsia="宋体" w:cs="宋体"/>
          <w:b/>
          <w:bCs/>
          <w:sz w:val="28"/>
          <w:szCs w:val="28"/>
          <w:lang w:val="en-US" w:eastAsia="zh-CN"/>
        </w:rPr>
        <w:t>1</w:t>
      </w:r>
      <w:r>
        <w:rPr>
          <w:rFonts w:hint="eastAsia" w:ascii="宋体" w:hAnsi="宋体" w:eastAsia="宋体" w:cs="宋体"/>
          <w:b/>
          <w:bCs/>
          <w:sz w:val="28"/>
          <w:szCs w:val="28"/>
          <w:lang w:eastAsia="zh-CN"/>
        </w:rPr>
        <w:t xml:space="preserve"> </w:t>
      </w:r>
      <w:bookmarkEnd w:id="2"/>
      <w:r>
        <w:rPr>
          <w:rFonts w:hint="eastAsia" w:ascii="仿宋" w:hAnsi="仿宋" w:eastAsia="仿宋" w:cs="仿宋"/>
          <w:color w:val="000000"/>
          <w:sz w:val="32"/>
          <w:szCs w:val="32"/>
        </w:rPr>
        <w:t>：</w:t>
      </w:r>
      <w:r>
        <w:rPr>
          <w:rFonts w:hint="eastAsia" w:ascii="仿宋" w:hAnsi="仿宋" w:eastAsia="仿宋" w:cs="仿宋"/>
          <w:b/>
          <w:bCs/>
          <w:color w:val="000000"/>
          <w:sz w:val="32"/>
          <w:szCs w:val="32"/>
        </w:rPr>
        <w:t>生活垃圾焚烧处置监管月度考核评分表</w:t>
      </w:r>
    </w:p>
    <w:tbl>
      <w:tblPr>
        <w:tblStyle w:val="7"/>
        <w:tblpPr w:leftFromText="180" w:rightFromText="180" w:vertAnchor="text" w:horzAnchor="page" w:tblpX="627" w:tblpY="6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245"/>
        <w:gridCol w:w="638"/>
        <w:gridCol w:w="998"/>
        <w:gridCol w:w="1083"/>
        <w:gridCol w:w="5989"/>
        <w:gridCol w:w="882"/>
        <w:gridCol w:w="1014"/>
        <w:gridCol w:w="1095"/>
        <w:gridCol w:w="1427"/>
      </w:tblGrid>
      <w:tr w14:paraId="04C47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2CBD01DD">
            <w:pPr>
              <w:widowControl/>
              <w:spacing w:line="379" w:lineRule="exact"/>
              <w:ind w:right="-20"/>
              <w:jc w:val="both"/>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序号</w:t>
            </w:r>
          </w:p>
        </w:tc>
        <w:tc>
          <w:tcPr>
            <w:tcW w:w="1245" w:type="dxa"/>
            <w:noWrap w:val="0"/>
            <w:vAlign w:val="top"/>
          </w:tcPr>
          <w:p w14:paraId="09C0783D">
            <w:pPr>
              <w:widowControl/>
              <w:spacing w:line="379" w:lineRule="exact"/>
              <w:ind w:right="-20"/>
              <w:jc w:val="center"/>
              <w:rPr>
                <w:rFonts w:hint="eastAsia" w:ascii="仿宋" w:hAnsi="仿宋" w:eastAsia="仿宋" w:cs="仿宋"/>
                <w:color w:val="000000"/>
                <w:sz w:val="20"/>
                <w:szCs w:val="20"/>
                <w:vertAlign w:val="baseline"/>
                <w:lang w:eastAsia="zh-CN"/>
              </w:rPr>
            </w:pPr>
            <w:r>
              <w:rPr>
                <w:rFonts w:hint="eastAsia" w:ascii="仿宋" w:hAnsi="仿宋" w:eastAsia="仿宋" w:cs="仿宋"/>
                <w:color w:val="000000"/>
                <w:sz w:val="20"/>
                <w:szCs w:val="20"/>
                <w:vertAlign w:val="baseline"/>
                <w:lang w:eastAsia="zh-CN"/>
              </w:rPr>
              <w:t>项目名称</w:t>
            </w:r>
          </w:p>
        </w:tc>
        <w:tc>
          <w:tcPr>
            <w:tcW w:w="638" w:type="dxa"/>
            <w:noWrap w:val="0"/>
            <w:vAlign w:val="top"/>
          </w:tcPr>
          <w:p w14:paraId="42BAFB5C">
            <w:pPr>
              <w:widowControl/>
              <w:spacing w:line="379" w:lineRule="exact"/>
              <w:ind w:right="-20"/>
              <w:jc w:val="center"/>
              <w:rPr>
                <w:rFonts w:hint="eastAsia" w:ascii="仿宋" w:hAnsi="仿宋" w:eastAsia="仿宋" w:cs="仿宋"/>
                <w:color w:val="000000"/>
                <w:sz w:val="20"/>
                <w:szCs w:val="20"/>
                <w:vertAlign w:val="baseline"/>
                <w:lang w:eastAsia="zh-CN"/>
              </w:rPr>
            </w:pPr>
            <w:r>
              <w:rPr>
                <w:rFonts w:hint="eastAsia" w:ascii="仿宋" w:hAnsi="仿宋" w:eastAsia="仿宋" w:cs="仿宋"/>
                <w:color w:val="000000"/>
                <w:sz w:val="20"/>
                <w:szCs w:val="20"/>
                <w:vertAlign w:val="baseline"/>
                <w:lang w:eastAsia="zh-CN"/>
              </w:rPr>
              <w:t>项目总分</w:t>
            </w:r>
          </w:p>
        </w:tc>
        <w:tc>
          <w:tcPr>
            <w:tcW w:w="998" w:type="dxa"/>
            <w:noWrap w:val="0"/>
            <w:vAlign w:val="top"/>
          </w:tcPr>
          <w:p w14:paraId="7F86F54E">
            <w:pPr>
              <w:widowControl/>
              <w:spacing w:line="379" w:lineRule="exact"/>
              <w:ind w:right="-20"/>
              <w:jc w:val="center"/>
              <w:rPr>
                <w:rFonts w:hint="eastAsia" w:ascii="仿宋" w:hAnsi="仿宋" w:eastAsia="仿宋" w:cs="仿宋"/>
                <w:color w:val="000000"/>
                <w:sz w:val="20"/>
                <w:szCs w:val="20"/>
                <w:vertAlign w:val="baseline"/>
                <w:lang w:eastAsia="zh-CN"/>
              </w:rPr>
            </w:pPr>
            <w:r>
              <w:rPr>
                <w:rFonts w:hint="eastAsia" w:ascii="仿宋" w:hAnsi="仿宋" w:eastAsia="仿宋" w:cs="仿宋"/>
                <w:color w:val="000000"/>
                <w:sz w:val="20"/>
                <w:szCs w:val="20"/>
                <w:vertAlign w:val="baseline"/>
                <w:lang w:eastAsia="zh-CN"/>
              </w:rPr>
              <w:t>考核子项</w:t>
            </w:r>
          </w:p>
        </w:tc>
        <w:tc>
          <w:tcPr>
            <w:tcW w:w="1083" w:type="dxa"/>
            <w:noWrap w:val="0"/>
            <w:vAlign w:val="top"/>
          </w:tcPr>
          <w:p w14:paraId="3ACA813C">
            <w:pPr>
              <w:widowControl/>
              <w:spacing w:line="379" w:lineRule="exact"/>
              <w:ind w:right="-20"/>
              <w:jc w:val="center"/>
              <w:rPr>
                <w:rFonts w:hint="eastAsia" w:ascii="仿宋" w:hAnsi="仿宋" w:eastAsia="仿宋" w:cs="仿宋"/>
                <w:color w:val="000000"/>
                <w:sz w:val="20"/>
                <w:szCs w:val="20"/>
                <w:vertAlign w:val="baseline"/>
                <w:lang w:eastAsia="zh-CN"/>
              </w:rPr>
            </w:pPr>
            <w:r>
              <w:rPr>
                <w:rFonts w:hint="eastAsia" w:ascii="仿宋" w:hAnsi="仿宋" w:eastAsia="仿宋" w:cs="仿宋"/>
                <w:color w:val="000000"/>
                <w:sz w:val="20"/>
                <w:szCs w:val="20"/>
                <w:vertAlign w:val="baseline"/>
                <w:lang w:eastAsia="zh-CN"/>
              </w:rPr>
              <w:t>细项代码</w:t>
            </w:r>
          </w:p>
        </w:tc>
        <w:tc>
          <w:tcPr>
            <w:tcW w:w="5989" w:type="dxa"/>
            <w:noWrap w:val="0"/>
            <w:vAlign w:val="top"/>
          </w:tcPr>
          <w:p w14:paraId="6D6A024F">
            <w:pPr>
              <w:widowControl/>
              <w:spacing w:line="379" w:lineRule="exact"/>
              <w:ind w:right="-20"/>
              <w:jc w:val="center"/>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lang w:eastAsia="zh-CN"/>
              </w:rPr>
              <w:t>评分标准</w:t>
            </w:r>
          </w:p>
        </w:tc>
        <w:tc>
          <w:tcPr>
            <w:tcW w:w="882" w:type="dxa"/>
            <w:noWrap w:val="0"/>
            <w:vAlign w:val="top"/>
          </w:tcPr>
          <w:p w14:paraId="5D7A746D">
            <w:pPr>
              <w:widowControl/>
              <w:spacing w:line="379" w:lineRule="exact"/>
              <w:ind w:right="-20"/>
              <w:jc w:val="center"/>
              <w:rPr>
                <w:rFonts w:hint="eastAsia" w:ascii="仿宋" w:hAnsi="仿宋" w:eastAsia="仿宋" w:cs="仿宋"/>
                <w:color w:val="000000"/>
                <w:sz w:val="20"/>
                <w:szCs w:val="20"/>
                <w:vertAlign w:val="baseline"/>
                <w:lang w:eastAsia="zh-CN"/>
              </w:rPr>
            </w:pPr>
            <w:r>
              <w:rPr>
                <w:rFonts w:hint="eastAsia" w:ascii="仿宋" w:hAnsi="仿宋" w:eastAsia="仿宋" w:cs="仿宋"/>
                <w:color w:val="000000"/>
                <w:sz w:val="20"/>
                <w:szCs w:val="20"/>
                <w:vertAlign w:val="baseline"/>
                <w:lang w:eastAsia="zh-CN"/>
              </w:rPr>
              <w:t>考核说明</w:t>
            </w:r>
          </w:p>
        </w:tc>
        <w:tc>
          <w:tcPr>
            <w:tcW w:w="1014" w:type="dxa"/>
            <w:noWrap w:val="0"/>
            <w:vAlign w:val="top"/>
          </w:tcPr>
          <w:p w14:paraId="4C035BA7">
            <w:pPr>
              <w:widowControl/>
              <w:spacing w:line="379" w:lineRule="exact"/>
              <w:ind w:right="-20"/>
              <w:jc w:val="center"/>
              <w:rPr>
                <w:rFonts w:hint="eastAsia" w:ascii="仿宋" w:hAnsi="仿宋" w:eastAsia="仿宋" w:cs="仿宋"/>
                <w:color w:val="000000"/>
                <w:sz w:val="20"/>
                <w:szCs w:val="20"/>
                <w:vertAlign w:val="baseline"/>
                <w:lang w:eastAsia="zh-CN"/>
              </w:rPr>
            </w:pPr>
            <w:r>
              <w:rPr>
                <w:rFonts w:hint="eastAsia" w:ascii="仿宋" w:hAnsi="仿宋" w:eastAsia="仿宋" w:cs="仿宋"/>
                <w:color w:val="000000"/>
                <w:sz w:val="20"/>
                <w:szCs w:val="20"/>
                <w:vertAlign w:val="baseline"/>
                <w:lang w:eastAsia="zh-CN"/>
              </w:rPr>
              <w:t>考核记录</w:t>
            </w:r>
          </w:p>
        </w:tc>
        <w:tc>
          <w:tcPr>
            <w:tcW w:w="1095" w:type="dxa"/>
            <w:noWrap w:val="0"/>
            <w:vAlign w:val="top"/>
          </w:tcPr>
          <w:p w14:paraId="69DF0ADE">
            <w:pPr>
              <w:widowControl/>
              <w:spacing w:line="379" w:lineRule="exact"/>
              <w:ind w:right="-20"/>
              <w:jc w:val="center"/>
              <w:rPr>
                <w:rFonts w:hint="eastAsia" w:ascii="仿宋" w:hAnsi="仿宋" w:eastAsia="仿宋" w:cs="仿宋"/>
                <w:color w:val="000000"/>
                <w:sz w:val="20"/>
                <w:szCs w:val="20"/>
                <w:vertAlign w:val="baseline"/>
                <w:lang w:eastAsia="zh-CN"/>
              </w:rPr>
            </w:pPr>
            <w:r>
              <w:rPr>
                <w:rFonts w:hint="eastAsia" w:ascii="仿宋" w:hAnsi="仿宋" w:eastAsia="仿宋" w:cs="仿宋"/>
                <w:color w:val="000000"/>
                <w:sz w:val="20"/>
                <w:szCs w:val="20"/>
                <w:vertAlign w:val="baseline"/>
                <w:lang w:eastAsia="zh-CN"/>
              </w:rPr>
              <w:t>细项扣分</w:t>
            </w:r>
          </w:p>
        </w:tc>
        <w:tc>
          <w:tcPr>
            <w:tcW w:w="1427" w:type="dxa"/>
            <w:noWrap w:val="0"/>
            <w:vAlign w:val="top"/>
          </w:tcPr>
          <w:p w14:paraId="489DD9E8">
            <w:pPr>
              <w:widowControl/>
              <w:spacing w:line="379" w:lineRule="exact"/>
              <w:ind w:right="-20"/>
              <w:jc w:val="center"/>
              <w:rPr>
                <w:rFonts w:hint="eastAsia" w:ascii="仿宋" w:hAnsi="仿宋" w:eastAsia="仿宋" w:cs="仿宋"/>
                <w:color w:val="000000"/>
                <w:sz w:val="20"/>
                <w:szCs w:val="20"/>
                <w:vertAlign w:val="baseline"/>
                <w:lang w:eastAsia="zh-CN"/>
              </w:rPr>
            </w:pPr>
            <w:r>
              <w:rPr>
                <w:rFonts w:hint="eastAsia" w:ascii="仿宋" w:hAnsi="仿宋" w:eastAsia="仿宋" w:cs="仿宋"/>
                <w:color w:val="000000"/>
                <w:sz w:val="20"/>
                <w:szCs w:val="20"/>
                <w:vertAlign w:val="baseline"/>
                <w:lang w:eastAsia="zh-CN"/>
              </w:rPr>
              <w:t>子项得分</w:t>
            </w:r>
          </w:p>
        </w:tc>
      </w:tr>
      <w:tr w14:paraId="2C404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restart"/>
            <w:noWrap w:val="0"/>
            <w:vAlign w:val="top"/>
          </w:tcPr>
          <w:p w14:paraId="532D417A">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1</w:t>
            </w:r>
          </w:p>
        </w:tc>
        <w:tc>
          <w:tcPr>
            <w:tcW w:w="1245" w:type="dxa"/>
            <w:vMerge w:val="restart"/>
            <w:noWrap w:val="0"/>
            <w:vAlign w:val="top"/>
          </w:tcPr>
          <w:p w14:paraId="7524ACC8">
            <w:pPr>
              <w:widowControl/>
              <w:spacing w:line="379" w:lineRule="exact"/>
              <w:ind w:right="-20"/>
              <w:jc w:val="left"/>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垃圾运输与计量 (HF01) </w:t>
            </w:r>
          </w:p>
        </w:tc>
        <w:tc>
          <w:tcPr>
            <w:tcW w:w="638" w:type="dxa"/>
            <w:vMerge w:val="restart"/>
            <w:noWrap w:val="0"/>
            <w:vAlign w:val="top"/>
          </w:tcPr>
          <w:p w14:paraId="478B5123">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10分</w:t>
            </w:r>
          </w:p>
        </w:tc>
        <w:tc>
          <w:tcPr>
            <w:tcW w:w="998" w:type="dxa"/>
            <w:vMerge w:val="restart"/>
            <w:noWrap w:val="0"/>
            <w:vAlign w:val="top"/>
          </w:tcPr>
          <w:p w14:paraId="40AD5E37">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车辆出入厂控制 (HF0101) </w:t>
            </w:r>
          </w:p>
          <w:p w14:paraId="41B36144">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（4 分）</w:t>
            </w:r>
          </w:p>
        </w:tc>
        <w:tc>
          <w:tcPr>
            <w:tcW w:w="1083" w:type="dxa"/>
            <w:noWrap w:val="0"/>
            <w:vAlign w:val="top"/>
          </w:tcPr>
          <w:p w14:paraId="4B756450">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HF010101</w:t>
            </w:r>
          </w:p>
        </w:tc>
        <w:tc>
          <w:tcPr>
            <w:tcW w:w="5989" w:type="dxa"/>
            <w:noWrap w:val="0"/>
            <w:vAlign w:val="top"/>
          </w:tcPr>
          <w:p w14:paraId="39585403">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 xml:space="preserve">1、进厂生活垃圾车辆应是取得政府主管部门 授权许可的专业垃圾运输车辆。发现未经环卫许可的垃圾运输车辆进厂，每车次扣0.5分，扣至考核子项得0分为止。 </w:t>
            </w:r>
          </w:p>
        </w:tc>
        <w:tc>
          <w:tcPr>
            <w:tcW w:w="882" w:type="dxa"/>
            <w:vMerge w:val="restart"/>
            <w:noWrap w:val="0"/>
            <w:vAlign w:val="top"/>
          </w:tcPr>
          <w:p w14:paraId="667042C7">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查看资料、现场检查 </w:t>
            </w:r>
          </w:p>
        </w:tc>
        <w:tc>
          <w:tcPr>
            <w:tcW w:w="1014" w:type="dxa"/>
            <w:noWrap w:val="0"/>
            <w:vAlign w:val="top"/>
          </w:tcPr>
          <w:p w14:paraId="5464E50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AEBBD89">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4A92318">
            <w:pPr>
              <w:widowControl/>
              <w:spacing w:line="379" w:lineRule="exact"/>
              <w:ind w:right="-20"/>
              <w:jc w:val="center"/>
              <w:rPr>
                <w:rFonts w:hint="eastAsia" w:ascii="仿宋" w:hAnsi="仿宋" w:eastAsia="仿宋" w:cs="仿宋"/>
                <w:color w:val="000000"/>
                <w:sz w:val="20"/>
                <w:szCs w:val="20"/>
                <w:vertAlign w:val="baseline"/>
              </w:rPr>
            </w:pPr>
          </w:p>
        </w:tc>
      </w:tr>
      <w:tr w14:paraId="6B57A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11B1395A">
            <w:pPr>
              <w:widowControl/>
              <w:spacing w:line="379" w:lineRule="exact"/>
              <w:ind w:right="-20"/>
              <w:jc w:val="center"/>
              <w:rPr>
                <w:rFonts w:hint="eastAsia" w:ascii="仿宋" w:hAnsi="仿宋" w:eastAsia="仿宋" w:cs="仿宋"/>
                <w:color w:val="000000"/>
                <w:sz w:val="20"/>
                <w:szCs w:val="20"/>
                <w:vertAlign w:val="baseline"/>
                <w:lang w:val="en-US" w:eastAsia="zh-CN"/>
              </w:rPr>
            </w:pPr>
          </w:p>
        </w:tc>
        <w:tc>
          <w:tcPr>
            <w:tcW w:w="1245" w:type="dxa"/>
            <w:vMerge w:val="continue"/>
            <w:noWrap w:val="0"/>
            <w:vAlign w:val="top"/>
          </w:tcPr>
          <w:p w14:paraId="3DF0407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D712C13">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4384B17">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47CFD731">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HF010102</w:t>
            </w:r>
          </w:p>
        </w:tc>
        <w:tc>
          <w:tcPr>
            <w:tcW w:w="5989" w:type="dxa"/>
            <w:noWrap w:val="0"/>
            <w:vAlign w:val="top"/>
          </w:tcPr>
          <w:p w14:paraId="02C7EA87">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2、拒绝车型不符合自卸密闭要求的垃圾运输 车辆进厂(经主管部门许可的车辆除外），车容车貌整洁，无抛洒滴漏。违反以上规定行为的每项（每车次）扣0.5分，扣至考核子项得0分为止</w:t>
            </w:r>
          </w:p>
        </w:tc>
        <w:tc>
          <w:tcPr>
            <w:tcW w:w="882" w:type="dxa"/>
            <w:vMerge w:val="continue"/>
            <w:noWrap w:val="0"/>
            <w:vAlign w:val="top"/>
          </w:tcPr>
          <w:p w14:paraId="07912F03">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7720D374">
            <w:pPr>
              <w:widowControl/>
              <w:spacing w:line="379" w:lineRule="exact"/>
              <w:ind w:right="-20"/>
              <w:jc w:val="center"/>
              <w:rPr>
                <w:rFonts w:hint="default" w:ascii="仿宋" w:hAnsi="仿宋" w:eastAsia="仿宋" w:cs="仿宋"/>
                <w:color w:val="000000"/>
                <w:sz w:val="20"/>
                <w:szCs w:val="20"/>
                <w:vertAlign w:val="baseline"/>
                <w:lang w:val="en-US" w:eastAsia="zh-CN"/>
              </w:rPr>
            </w:pPr>
          </w:p>
        </w:tc>
        <w:tc>
          <w:tcPr>
            <w:tcW w:w="1095" w:type="dxa"/>
            <w:noWrap w:val="0"/>
            <w:vAlign w:val="top"/>
          </w:tcPr>
          <w:p w14:paraId="7BB1A1EE">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113AAF4">
            <w:pPr>
              <w:widowControl/>
              <w:spacing w:line="379" w:lineRule="exact"/>
              <w:ind w:right="-20"/>
              <w:jc w:val="center"/>
              <w:rPr>
                <w:rFonts w:hint="eastAsia" w:ascii="仿宋" w:hAnsi="仿宋" w:eastAsia="仿宋" w:cs="仿宋"/>
                <w:color w:val="000000"/>
                <w:sz w:val="20"/>
                <w:szCs w:val="20"/>
                <w:vertAlign w:val="baseline"/>
              </w:rPr>
            </w:pPr>
          </w:p>
        </w:tc>
      </w:tr>
      <w:tr w14:paraId="08669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0D71FFC5">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299666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BDE6490">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1DF7F9B9">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3AC6B25C">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HF010103</w:t>
            </w:r>
          </w:p>
        </w:tc>
        <w:tc>
          <w:tcPr>
            <w:tcW w:w="5989" w:type="dxa"/>
            <w:noWrap w:val="0"/>
            <w:vAlign w:val="top"/>
          </w:tcPr>
          <w:p w14:paraId="193D7438">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lang w:val="en-US" w:eastAsia="zh-CN"/>
              </w:rPr>
              <w:t>3、</w:t>
            </w:r>
            <w:r>
              <w:rPr>
                <w:rFonts w:hint="eastAsia" w:ascii="仿宋" w:hAnsi="仿宋" w:eastAsia="仿宋" w:cs="仿宋"/>
                <w:color w:val="000000"/>
                <w:sz w:val="28"/>
                <w:szCs w:val="28"/>
                <w:vertAlign w:val="baseline"/>
              </w:rPr>
              <w:t>建有与进厂车次相匹配的清洗设施（包含规范收集冲洗水）并正常使用。设施使用不正常或借助非本厂清洗设施的扣0.5分；没有清洗设施的，扣1分，没有规范收集冲洗水的扣</w:t>
            </w:r>
            <w:r>
              <w:rPr>
                <w:rFonts w:hint="eastAsia" w:ascii="仿宋" w:hAnsi="仿宋" w:eastAsia="仿宋" w:cs="仿宋"/>
                <w:color w:val="000000"/>
                <w:sz w:val="28"/>
                <w:szCs w:val="28"/>
                <w:vertAlign w:val="baseline"/>
                <w:lang w:val="en-US" w:eastAsia="zh-CN"/>
              </w:rPr>
              <w:t>1</w:t>
            </w:r>
            <w:r>
              <w:rPr>
                <w:rFonts w:hint="eastAsia" w:ascii="仿宋" w:hAnsi="仿宋" w:eastAsia="仿宋" w:cs="仿宋"/>
                <w:color w:val="000000"/>
                <w:sz w:val="28"/>
                <w:szCs w:val="28"/>
                <w:vertAlign w:val="baseline"/>
              </w:rPr>
              <w:t>分。</w:t>
            </w:r>
          </w:p>
        </w:tc>
        <w:tc>
          <w:tcPr>
            <w:tcW w:w="882" w:type="dxa"/>
            <w:vMerge w:val="continue"/>
            <w:noWrap w:val="0"/>
            <w:vAlign w:val="top"/>
          </w:tcPr>
          <w:p w14:paraId="46150837">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310764E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883E946">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DB36809">
            <w:pPr>
              <w:widowControl/>
              <w:spacing w:line="379" w:lineRule="exact"/>
              <w:ind w:right="-20"/>
              <w:jc w:val="center"/>
              <w:rPr>
                <w:rFonts w:hint="eastAsia" w:ascii="仿宋" w:hAnsi="仿宋" w:eastAsia="仿宋" w:cs="仿宋"/>
                <w:color w:val="000000"/>
                <w:sz w:val="20"/>
                <w:szCs w:val="20"/>
                <w:vertAlign w:val="baseline"/>
              </w:rPr>
            </w:pPr>
          </w:p>
        </w:tc>
      </w:tr>
      <w:tr w14:paraId="54141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B5B53C4">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DE822D7">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D0BA078">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9D52AB3">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387C571D">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HF010104</w:t>
            </w:r>
          </w:p>
        </w:tc>
        <w:tc>
          <w:tcPr>
            <w:tcW w:w="5989" w:type="dxa"/>
            <w:noWrap w:val="0"/>
            <w:vAlign w:val="top"/>
          </w:tcPr>
          <w:p w14:paraId="0AA0861F">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4、进厂道路、栈道整洁，无残存渗沥液积水现象。未达到要求的，扣</w:t>
            </w:r>
            <w:r>
              <w:rPr>
                <w:rFonts w:hint="eastAsia" w:ascii="仿宋" w:hAnsi="仿宋" w:eastAsia="仿宋" w:cs="仿宋"/>
                <w:color w:val="000000"/>
                <w:sz w:val="28"/>
                <w:szCs w:val="28"/>
                <w:vertAlign w:val="baseline"/>
                <w:lang w:val="en-US" w:eastAsia="zh-CN"/>
              </w:rPr>
              <w:t>0.2</w:t>
            </w:r>
            <w:r>
              <w:rPr>
                <w:rFonts w:hint="eastAsia" w:ascii="仿宋" w:hAnsi="仿宋" w:eastAsia="仿宋" w:cs="仿宋"/>
                <w:color w:val="000000"/>
                <w:sz w:val="28"/>
                <w:szCs w:val="28"/>
                <w:vertAlign w:val="baseline"/>
              </w:rPr>
              <w:t>分</w:t>
            </w:r>
            <w:r>
              <w:rPr>
                <w:rFonts w:hint="eastAsia" w:ascii="仿宋" w:hAnsi="仿宋" w:eastAsia="仿宋" w:cs="仿宋"/>
                <w:color w:val="000000"/>
                <w:sz w:val="28"/>
                <w:szCs w:val="28"/>
                <w:vertAlign w:val="baseline"/>
                <w:lang w:eastAsia="zh-CN"/>
              </w:rPr>
              <w:t>。</w:t>
            </w:r>
            <w:r>
              <w:rPr>
                <w:rFonts w:hint="eastAsia" w:ascii="仿宋" w:hAnsi="仿宋" w:eastAsia="仿宋" w:cs="仿宋"/>
                <w:color w:val="000000"/>
                <w:sz w:val="28"/>
                <w:szCs w:val="28"/>
                <w:vertAlign w:val="baseline"/>
              </w:rPr>
              <w:t xml:space="preserve"> </w:t>
            </w:r>
          </w:p>
        </w:tc>
        <w:tc>
          <w:tcPr>
            <w:tcW w:w="882" w:type="dxa"/>
            <w:vMerge w:val="continue"/>
            <w:noWrap w:val="0"/>
            <w:vAlign w:val="top"/>
          </w:tcPr>
          <w:p w14:paraId="79213C86">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69888E18">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A7DDDCC">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5FE65A7">
            <w:pPr>
              <w:widowControl/>
              <w:spacing w:line="379" w:lineRule="exact"/>
              <w:ind w:right="-20"/>
              <w:jc w:val="center"/>
              <w:rPr>
                <w:rFonts w:hint="eastAsia" w:ascii="仿宋" w:hAnsi="仿宋" w:eastAsia="仿宋" w:cs="仿宋"/>
                <w:color w:val="000000"/>
                <w:sz w:val="20"/>
                <w:szCs w:val="20"/>
                <w:vertAlign w:val="baseline"/>
              </w:rPr>
            </w:pPr>
          </w:p>
        </w:tc>
      </w:tr>
      <w:tr w14:paraId="1CF2B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3CB1A2ED">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2B5C4810">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EF60EE2">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333E9D72">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02512F07">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HF010105</w:t>
            </w:r>
          </w:p>
        </w:tc>
        <w:tc>
          <w:tcPr>
            <w:tcW w:w="5989" w:type="dxa"/>
            <w:noWrap w:val="0"/>
            <w:vAlign w:val="top"/>
          </w:tcPr>
          <w:p w14:paraId="2B375A19">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5、</w:t>
            </w:r>
            <w:r>
              <w:rPr>
                <w:rFonts w:hint="eastAsia" w:ascii="仿宋" w:hAnsi="仿宋" w:eastAsia="仿宋" w:cs="仿宋"/>
                <w:color w:val="000000"/>
                <w:sz w:val="28"/>
                <w:szCs w:val="28"/>
                <w:vertAlign w:val="baseline"/>
                <w:lang w:val="en-US" w:eastAsia="zh-CN"/>
              </w:rPr>
              <w:t>因设备原因</w:t>
            </w:r>
            <w:r>
              <w:rPr>
                <w:rFonts w:hint="eastAsia" w:ascii="仿宋" w:hAnsi="仿宋" w:eastAsia="仿宋" w:cs="仿宋"/>
                <w:color w:val="000000"/>
                <w:sz w:val="28"/>
                <w:szCs w:val="28"/>
                <w:vertAlign w:val="baseline"/>
              </w:rPr>
              <w:t>出现车辆需长时间排队入厂出厂情形时，没有应急预案或未及时启动相应应急预案的，扣</w:t>
            </w:r>
            <w:r>
              <w:rPr>
                <w:rFonts w:hint="eastAsia" w:ascii="仿宋" w:hAnsi="仿宋" w:eastAsia="仿宋" w:cs="仿宋"/>
                <w:color w:val="000000"/>
                <w:sz w:val="28"/>
                <w:szCs w:val="28"/>
                <w:vertAlign w:val="baseline"/>
                <w:lang w:val="en-US" w:eastAsia="zh-CN"/>
              </w:rPr>
              <w:t>0.2</w:t>
            </w:r>
            <w:r>
              <w:rPr>
                <w:rFonts w:hint="eastAsia" w:ascii="仿宋" w:hAnsi="仿宋" w:eastAsia="仿宋" w:cs="仿宋"/>
                <w:color w:val="000000"/>
                <w:sz w:val="28"/>
                <w:szCs w:val="28"/>
                <w:vertAlign w:val="baseline"/>
              </w:rPr>
              <w:t>分。</w:t>
            </w:r>
          </w:p>
        </w:tc>
        <w:tc>
          <w:tcPr>
            <w:tcW w:w="882" w:type="dxa"/>
            <w:vMerge w:val="continue"/>
            <w:noWrap w:val="0"/>
            <w:vAlign w:val="top"/>
          </w:tcPr>
          <w:p w14:paraId="009FC539">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14753E57">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DC1CF5A">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5073BAD">
            <w:pPr>
              <w:widowControl/>
              <w:spacing w:line="379" w:lineRule="exact"/>
              <w:ind w:right="-20"/>
              <w:jc w:val="center"/>
              <w:rPr>
                <w:rFonts w:hint="eastAsia" w:ascii="仿宋" w:hAnsi="仿宋" w:eastAsia="仿宋" w:cs="仿宋"/>
                <w:color w:val="000000"/>
                <w:sz w:val="20"/>
                <w:szCs w:val="20"/>
                <w:vertAlign w:val="baseline"/>
              </w:rPr>
            </w:pPr>
          </w:p>
        </w:tc>
      </w:tr>
      <w:tr w14:paraId="70D1A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0AA94AC">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045E09A">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731E48F1">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6633E6C">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04A9187A">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HF010106</w:t>
            </w:r>
          </w:p>
        </w:tc>
        <w:tc>
          <w:tcPr>
            <w:tcW w:w="5989" w:type="dxa"/>
            <w:noWrap w:val="0"/>
            <w:vAlign w:val="top"/>
          </w:tcPr>
          <w:p w14:paraId="0670BF1A">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6、</w:t>
            </w:r>
            <w:r>
              <w:rPr>
                <w:rFonts w:hint="eastAsia" w:ascii="仿宋" w:hAnsi="仿宋" w:eastAsia="仿宋" w:cs="仿宋"/>
                <w:color w:val="000000"/>
                <w:sz w:val="28"/>
                <w:szCs w:val="28"/>
                <w:vertAlign w:val="baseline"/>
                <w:lang w:val="en-US" w:eastAsia="zh-CN"/>
              </w:rPr>
              <w:t>因乙方管理原因，导致</w:t>
            </w:r>
            <w:r>
              <w:rPr>
                <w:rFonts w:hint="eastAsia" w:ascii="仿宋" w:hAnsi="仿宋" w:eastAsia="仿宋" w:cs="仿宋"/>
                <w:color w:val="000000"/>
                <w:sz w:val="28"/>
                <w:szCs w:val="28"/>
                <w:vertAlign w:val="baseline"/>
              </w:rPr>
              <w:t xml:space="preserve">车辆出入厂具有其他问题情形且属于运营方责任义务的（需具体说明），视情节轻重，每项次分别扣0.2、0.5、1.0 分，扣至考核子项得0分为止。 </w:t>
            </w:r>
          </w:p>
        </w:tc>
        <w:tc>
          <w:tcPr>
            <w:tcW w:w="882" w:type="dxa"/>
            <w:vMerge w:val="continue"/>
            <w:noWrap w:val="0"/>
            <w:vAlign w:val="top"/>
          </w:tcPr>
          <w:p w14:paraId="3F9A6BC2">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6BA42379">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174FDC7">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678C232">
            <w:pPr>
              <w:widowControl/>
              <w:spacing w:line="379" w:lineRule="exact"/>
              <w:ind w:right="-20"/>
              <w:jc w:val="center"/>
              <w:rPr>
                <w:rFonts w:hint="eastAsia" w:ascii="仿宋" w:hAnsi="仿宋" w:eastAsia="仿宋" w:cs="仿宋"/>
                <w:color w:val="000000"/>
                <w:sz w:val="20"/>
                <w:szCs w:val="20"/>
                <w:vertAlign w:val="baseline"/>
              </w:rPr>
            </w:pPr>
          </w:p>
        </w:tc>
      </w:tr>
      <w:tr w14:paraId="37200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4F339508">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776F67A">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D521166">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404BB0AB">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垃圾接纳 (HF0102) （2 分） </w:t>
            </w:r>
          </w:p>
        </w:tc>
        <w:tc>
          <w:tcPr>
            <w:tcW w:w="1083" w:type="dxa"/>
            <w:noWrap w:val="0"/>
            <w:vAlign w:val="top"/>
          </w:tcPr>
          <w:p w14:paraId="7BD9644E">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HF010201</w:t>
            </w:r>
          </w:p>
        </w:tc>
        <w:tc>
          <w:tcPr>
            <w:tcW w:w="5989" w:type="dxa"/>
            <w:noWrap w:val="0"/>
            <w:vAlign w:val="top"/>
          </w:tcPr>
          <w:p w14:paraId="280C1339">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1、建立准入车辆信息和准入车辆批准资料台账，执行车辆入厂登记。每缺少一项资料扣0.5分，资料信息存在一条不齐全、准确的，扣0.2分，扣至考核子项得0分为止。</w:t>
            </w:r>
          </w:p>
        </w:tc>
        <w:tc>
          <w:tcPr>
            <w:tcW w:w="882" w:type="dxa"/>
            <w:vMerge w:val="restart"/>
            <w:noWrap w:val="0"/>
            <w:vAlign w:val="top"/>
          </w:tcPr>
          <w:p w14:paraId="61BDDE9F">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查看资料 现场检查 </w:t>
            </w:r>
          </w:p>
        </w:tc>
        <w:tc>
          <w:tcPr>
            <w:tcW w:w="1014" w:type="dxa"/>
            <w:noWrap w:val="0"/>
            <w:vAlign w:val="top"/>
          </w:tcPr>
          <w:p w14:paraId="68599E1B">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5E99D4D">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0955DD3">
            <w:pPr>
              <w:widowControl/>
              <w:spacing w:line="379" w:lineRule="exact"/>
              <w:ind w:right="-20"/>
              <w:jc w:val="center"/>
              <w:rPr>
                <w:rFonts w:hint="eastAsia" w:ascii="仿宋" w:hAnsi="仿宋" w:eastAsia="仿宋" w:cs="仿宋"/>
                <w:color w:val="000000"/>
                <w:sz w:val="20"/>
                <w:szCs w:val="20"/>
                <w:vertAlign w:val="baseline"/>
              </w:rPr>
            </w:pPr>
          </w:p>
        </w:tc>
      </w:tr>
      <w:tr w14:paraId="77CB0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377E9D3">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8F6395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D8F2FB9">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3E5E81F5">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5206B71B">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HF01020</w:t>
            </w:r>
            <w:r>
              <w:rPr>
                <w:rFonts w:hint="eastAsia" w:ascii="仿宋" w:hAnsi="仿宋" w:eastAsia="仿宋" w:cs="仿宋"/>
                <w:color w:val="000000"/>
                <w:sz w:val="20"/>
                <w:szCs w:val="20"/>
                <w:vertAlign w:val="baseline"/>
                <w:lang w:val="en-US" w:eastAsia="zh-CN"/>
              </w:rPr>
              <w:t>2</w:t>
            </w:r>
          </w:p>
        </w:tc>
        <w:tc>
          <w:tcPr>
            <w:tcW w:w="5989" w:type="dxa"/>
            <w:noWrap w:val="0"/>
            <w:vAlign w:val="top"/>
          </w:tcPr>
          <w:p w14:paraId="0D161D8D">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2、未经主管部门批准不得私自接纳生活垃圾、其他固废、以及危险废物。否则考核子项直接得0分。</w:t>
            </w:r>
          </w:p>
        </w:tc>
        <w:tc>
          <w:tcPr>
            <w:tcW w:w="882" w:type="dxa"/>
            <w:vMerge w:val="continue"/>
            <w:noWrap w:val="0"/>
            <w:vAlign w:val="top"/>
          </w:tcPr>
          <w:p w14:paraId="3AD825BD">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624D6877">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BE9FFD3">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7356B62">
            <w:pPr>
              <w:widowControl/>
              <w:spacing w:line="379" w:lineRule="exact"/>
              <w:ind w:right="-20"/>
              <w:jc w:val="center"/>
              <w:rPr>
                <w:rFonts w:hint="eastAsia" w:ascii="仿宋" w:hAnsi="仿宋" w:eastAsia="仿宋" w:cs="仿宋"/>
                <w:color w:val="000000"/>
                <w:sz w:val="20"/>
                <w:szCs w:val="20"/>
                <w:vertAlign w:val="baseline"/>
              </w:rPr>
            </w:pPr>
          </w:p>
        </w:tc>
      </w:tr>
      <w:tr w14:paraId="2B11A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42A87F21">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84BE996">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6507899">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3A2F176">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52C4886B">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rPr>
              <w:t>HF01020</w:t>
            </w:r>
            <w:r>
              <w:rPr>
                <w:rFonts w:hint="eastAsia" w:ascii="仿宋" w:hAnsi="仿宋" w:eastAsia="仿宋" w:cs="仿宋"/>
                <w:color w:val="000000"/>
                <w:sz w:val="20"/>
                <w:szCs w:val="20"/>
                <w:vertAlign w:val="baseline"/>
                <w:lang w:val="en-US" w:eastAsia="zh-CN"/>
              </w:rPr>
              <w:t>3</w:t>
            </w:r>
          </w:p>
        </w:tc>
        <w:tc>
          <w:tcPr>
            <w:tcW w:w="5989" w:type="dxa"/>
            <w:noWrap w:val="0"/>
            <w:vAlign w:val="top"/>
          </w:tcPr>
          <w:p w14:paraId="61C51FBC">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 xml:space="preserve">3、垃圾接纳存在问题隐患的其他情形的（需具体说明），视情节轻重，每项次分别扣0.2、0.5、1.0分，扣至考核子项得0分为止。 </w:t>
            </w:r>
          </w:p>
        </w:tc>
        <w:tc>
          <w:tcPr>
            <w:tcW w:w="882" w:type="dxa"/>
            <w:vMerge w:val="continue"/>
            <w:noWrap w:val="0"/>
            <w:vAlign w:val="top"/>
          </w:tcPr>
          <w:p w14:paraId="192D18D4">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76B2677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69BA53C">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9D0A6C7">
            <w:pPr>
              <w:widowControl/>
              <w:spacing w:line="379" w:lineRule="exact"/>
              <w:ind w:right="-20"/>
              <w:jc w:val="center"/>
              <w:rPr>
                <w:rFonts w:hint="eastAsia" w:ascii="仿宋" w:hAnsi="仿宋" w:eastAsia="仿宋" w:cs="仿宋"/>
                <w:color w:val="000000"/>
                <w:sz w:val="20"/>
                <w:szCs w:val="20"/>
                <w:vertAlign w:val="baseline"/>
              </w:rPr>
            </w:pPr>
          </w:p>
        </w:tc>
      </w:tr>
      <w:tr w14:paraId="2F0B0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6A5055A8">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28D89B7D">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40918AB">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4AAE611B">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地磅计量</w:t>
            </w:r>
          </w:p>
          <w:p w14:paraId="76E87B31">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(HF0103) </w:t>
            </w:r>
          </w:p>
          <w:p w14:paraId="2A3A2807">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（4 分） </w:t>
            </w:r>
          </w:p>
        </w:tc>
        <w:tc>
          <w:tcPr>
            <w:tcW w:w="1083" w:type="dxa"/>
            <w:noWrap w:val="0"/>
            <w:vAlign w:val="top"/>
          </w:tcPr>
          <w:p w14:paraId="19D3D35A">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HF010301</w:t>
            </w:r>
          </w:p>
        </w:tc>
        <w:tc>
          <w:tcPr>
            <w:tcW w:w="5989" w:type="dxa"/>
            <w:noWrap w:val="0"/>
            <w:vAlign w:val="top"/>
          </w:tcPr>
          <w:p w14:paraId="66CA6A2D">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 、汽车衡数量达到要求（设计焚烧能</w:t>
            </w:r>
            <w:r>
              <w:rPr>
                <w:rFonts w:hint="eastAsia" w:ascii="仿宋" w:hAnsi="仿宋" w:eastAsia="仿宋" w:cs="仿宋"/>
                <w:color w:val="000000"/>
                <w:sz w:val="28"/>
                <w:szCs w:val="28"/>
                <w:highlight w:val="none"/>
                <w:vertAlign w:val="baseline"/>
              </w:rPr>
              <w:t>力2000t/d及以上应设置3台或以上；2000t/d 以下应设置2-3台）并实现双向称重,且精度等级不低于Ⅲ级。否则扣1分。</w:t>
            </w:r>
          </w:p>
        </w:tc>
        <w:tc>
          <w:tcPr>
            <w:tcW w:w="882" w:type="dxa"/>
            <w:vMerge w:val="restart"/>
            <w:noWrap w:val="0"/>
            <w:vAlign w:val="top"/>
          </w:tcPr>
          <w:p w14:paraId="0B2183F0">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现场检 查；查计 量系统验 收、维护、 运行台帐 和衡器监 测报告。 </w:t>
            </w:r>
          </w:p>
        </w:tc>
        <w:tc>
          <w:tcPr>
            <w:tcW w:w="1014" w:type="dxa"/>
            <w:noWrap w:val="0"/>
            <w:vAlign w:val="top"/>
          </w:tcPr>
          <w:p w14:paraId="38FF3EC5">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02EE262">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F77A886">
            <w:pPr>
              <w:widowControl/>
              <w:spacing w:line="379" w:lineRule="exact"/>
              <w:ind w:right="-20"/>
              <w:jc w:val="center"/>
              <w:rPr>
                <w:rFonts w:hint="eastAsia" w:ascii="仿宋" w:hAnsi="仿宋" w:eastAsia="仿宋" w:cs="仿宋"/>
                <w:color w:val="000000"/>
                <w:sz w:val="20"/>
                <w:szCs w:val="20"/>
                <w:vertAlign w:val="baseline"/>
              </w:rPr>
            </w:pPr>
          </w:p>
        </w:tc>
      </w:tr>
      <w:tr w14:paraId="0DDA6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12B4F735">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D1DE793">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72611BD5">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5BFA5C4">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4CAC6680">
            <w:pPr>
              <w:widowControl/>
              <w:spacing w:line="379" w:lineRule="exact"/>
              <w:ind w:right="-20"/>
              <w:jc w:val="center"/>
              <w:rPr>
                <w:rFonts w:hint="default" w:ascii="仿宋" w:hAnsi="仿宋" w:eastAsia="仿宋" w:cs="仿宋"/>
                <w:color w:val="000000"/>
                <w:sz w:val="20"/>
                <w:szCs w:val="20"/>
                <w:vertAlign w:val="baseline"/>
                <w:lang w:val="en-US"/>
              </w:rPr>
            </w:pPr>
            <w:r>
              <w:rPr>
                <w:rFonts w:hint="eastAsia" w:ascii="仿宋" w:hAnsi="仿宋" w:eastAsia="仿宋" w:cs="仿宋"/>
                <w:color w:val="000000"/>
                <w:sz w:val="20"/>
                <w:szCs w:val="20"/>
                <w:vertAlign w:val="baseline"/>
                <w:lang w:val="en-US" w:eastAsia="zh-CN"/>
              </w:rPr>
              <w:t>HF010302</w:t>
            </w:r>
          </w:p>
        </w:tc>
        <w:tc>
          <w:tcPr>
            <w:tcW w:w="5989" w:type="dxa"/>
            <w:noWrap w:val="0"/>
            <w:vAlign w:val="top"/>
          </w:tcPr>
          <w:p w14:paraId="3276F523">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2、称重计量系统具备信息实时传输、车牌识 别功能且连续稳定运行，并能够远程登录查看称重计量信息系统信息，每缺少一项功能 或该功能故障的扣0.5分，扣完1分为止。</w:t>
            </w:r>
          </w:p>
        </w:tc>
        <w:tc>
          <w:tcPr>
            <w:tcW w:w="882" w:type="dxa"/>
            <w:vMerge w:val="continue"/>
            <w:noWrap w:val="0"/>
            <w:vAlign w:val="top"/>
          </w:tcPr>
          <w:p w14:paraId="4DB8AF89">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3ABF17C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178C8AB">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A07B6DC">
            <w:pPr>
              <w:widowControl/>
              <w:spacing w:line="379" w:lineRule="exact"/>
              <w:ind w:right="-20"/>
              <w:jc w:val="center"/>
              <w:rPr>
                <w:rFonts w:hint="eastAsia" w:ascii="仿宋" w:hAnsi="仿宋" w:eastAsia="仿宋" w:cs="仿宋"/>
                <w:color w:val="000000"/>
                <w:sz w:val="20"/>
                <w:szCs w:val="20"/>
                <w:vertAlign w:val="baseline"/>
              </w:rPr>
            </w:pPr>
          </w:p>
        </w:tc>
      </w:tr>
      <w:tr w14:paraId="46DCE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44AA01DC">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4F69CB41">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080869F">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117A9BB4">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544C347A">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HF010303</w:t>
            </w:r>
          </w:p>
        </w:tc>
        <w:tc>
          <w:tcPr>
            <w:tcW w:w="5989" w:type="dxa"/>
            <w:noWrap w:val="0"/>
            <w:vAlign w:val="top"/>
          </w:tcPr>
          <w:p w14:paraId="62412DAC">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3、计量台帐资料齐全、数据真实（政府主管部门会签确认）、来源清晰（城乡分别统计）。存在问题的，每项扣0.3分。</w:t>
            </w:r>
          </w:p>
        </w:tc>
        <w:tc>
          <w:tcPr>
            <w:tcW w:w="882" w:type="dxa"/>
            <w:vMerge w:val="continue"/>
            <w:noWrap w:val="0"/>
            <w:vAlign w:val="top"/>
          </w:tcPr>
          <w:p w14:paraId="280855AD">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2C592EF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BFB63C0">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51A3E04">
            <w:pPr>
              <w:widowControl/>
              <w:spacing w:line="379" w:lineRule="exact"/>
              <w:ind w:right="-20"/>
              <w:jc w:val="center"/>
              <w:rPr>
                <w:rFonts w:hint="eastAsia" w:ascii="仿宋" w:hAnsi="仿宋" w:eastAsia="仿宋" w:cs="仿宋"/>
                <w:color w:val="000000"/>
                <w:sz w:val="20"/>
                <w:szCs w:val="20"/>
                <w:vertAlign w:val="baseline"/>
              </w:rPr>
            </w:pPr>
          </w:p>
        </w:tc>
      </w:tr>
      <w:tr w14:paraId="67D77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A627633">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EC1D4B4">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99D5E6A">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3CF19237">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6D8D0EF1">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HF010304</w:t>
            </w:r>
          </w:p>
        </w:tc>
        <w:tc>
          <w:tcPr>
            <w:tcW w:w="5989" w:type="dxa"/>
            <w:noWrap w:val="0"/>
            <w:vAlign w:val="top"/>
          </w:tcPr>
          <w:p w14:paraId="555143B3">
            <w:pPr>
              <w:widowControl/>
              <w:spacing w:line="379" w:lineRule="exact"/>
              <w:ind w:right="-20"/>
              <w:jc w:val="left"/>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4、有地磅称重计量系统运行维护制度且正常开展维护的（按期委托有资质的第三方机构对称重计量系统进行校验，</w:t>
            </w:r>
            <w:r>
              <w:rPr>
                <w:rFonts w:hint="eastAsia" w:ascii="仿宋" w:hAnsi="仿宋" w:eastAsia="仿宋" w:cs="仿宋"/>
                <w:color w:val="000000"/>
                <w:sz w:val="28"/>
                <w:szCs w:val="28"/>
                <w:vertAlign w:val="baseline"/>
                <w:lang w:val="en-US" w:eastAsia="zh-CN"/>
              </w:rPr>
              <w:t>地磅误差在千分之三内，</w:t>
            </w:r>
            <w:r>
              <w:rPr>
                <w:rFonts w:hint="eastAsia" w:ascii="仿宋" w:hAnsi="仿宋" w:eastAsia="仿宋" w:cs="仿宋"/>
                <w:color w:val="000000"/>
                <w:sz w:val="28"/>
                <w:szCs w:val="28"/>
                <w:vertAlign w:val="baseline"/>
              </w:rPr>
              <w:t>并提供相应合格 报告）。有维护制度但逾期实施的扣0.5分， 无维护制度的扣1分。</w:t>
            </w:r>
          </w:p>
        </w:tc>
        <w:tc>
          <w:tcPr>
            <w:tcW w:w="882" w:type="dxa"/>
            <w:vMerge w:val="continue"/>
            <w:noWrap w:val="0"/>
            <w:vAlign w:val="top"/>
          </w:tcPr>
          <w:p w14:paraId="297ED59C">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159BFC15">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2907093">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BDDC922">
            <w:pPr>
              <w:widowControl/>
              <w:spacing w:line="379" w:lineRule="exact"/>
              <w:ind w:right="-20"/>
              <w:jc w:val="center"/>
              <w:rPr>
                <w:rFonts w:hint="eastAsia" w:ascii="仿宋" w:hAnsi="仿宋" w:eastAsia="仿宋" w:cs="仿宋"/>
                <w:color w:val="000000"/>
                <w:sz w:val="20"/>
                <w:szCs w:val="20"/>
                <w:vertAlign w:val="baseline"/>
              </w:rPr>
            </w:pPr>
          </w:p>
        </w:tc>
      </w:tr>
      <w:tr w14:paraId="300F7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43629115">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246B121A">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71FD028">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4DBC1DC">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26564524">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HF010305</w:t>
            </w:r>
          </w:p>
        </w:tc>
        <w:tc>
          <w:tcPr>
            <w:tcW w:w="5989" w:type="dxa"/>
            <w:noWrap w:val="0"/>
            <w:vAlign w:val="top"/>
          </w:tcPr>
          <w:p w14:paraId="1327D35D">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5、称重计量时应发现进出厂车辆超载</w:t>
            </w:r>
            <w:r>
              <w:rPr>
                <w:rFonts w:hint="eastAsia" w:ascii="仿宋" w:hAnsi="仿宋" w:eastAsia="仿宋" w:cs="仿宋"/>
                <w:color w:val="000000"/>
                <w:sz w:val="28"/>
                <w:szCs w:val="28"/>
                <w:vertAlign w:val="baseline"/>
                <w:lang w:eastAsia="zh-CN"/>
              </w:rPr>
              <w:t>（</w:t>
            </w:r>
            <w:r>
              <w:rPr>
                <w:rFonts w:hint="eastAsia" w:ascii="仿宋" w:hAnsi="仿宋" w:eastAsia="仿宋" w:cs="仿宋"/>
                <w:color w:val="000000"/>
                <w:sz w:val="28"/>
                <w:szCs w:val="28"/>
                <w:vertAlign w:val="baseline"/>
                <w:lang w:val="en-US" w:eastAsia="zh-CN"/>
              </w:rPr>
              <w:t>除协助政府部门外</w:t>
            </w:r>
            <w:r>
              <w:rPr>
                <w:rFonts w:hint="eastAsia" w:ascii="仿宋" w:hAnsi="仿宋" w:eastAsia="仿宋" w:cs="仿宋"/>
                <w:color w:val="000000"/>
                <w:sz w:val="28"/>
                <w:szCs w:val="28"/>
                <w:vertAlign w:val="baseline"/>
                <w:lang w:eastAsia="zh-CN"/>
              </w:rPr>
              <w:t>）</w:t>
            </w:r>
            <w:r>
              <w:rPr>
                <w:rFonts w:hint="eastAsia" w:ascii="仿宋" w:hAnsi="仿宋" w:eastAsia="仿宋" w:cs="仿宋"/>
                <w:color w:val="000000"/>
                <w:sz w:val="28"/>
                <w:szCs w:val="28"/>
                <w:vertAlign w:val="baseline"/>
              </w:rPr>
              <w:t>，并且允许其入厂出厂的，每辆次扣0.1分。</w:t>
            </w:r>
          </w:p>
        </w:tc>
        <w:tc>
          <w:tcPr>
            <w:tcW w:w="882" w:type="dxa"/>
            <w:vMerge w:val="continue"/>
            <w:noWrap w:val="0"/>
            <w:vAlign w:val="top"/>
          </w:tcPr>
          <w:p w14:paraId="30F800D3">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C274DD8">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7F06E245">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0D1F753">
            <w:pPr>
              <w:widowControl/>
              <w:spacing w:line="379" w:lineRule="exact"/>
              <w:ind w:right="-20"/>
              <w:jc w:val="center"/>
              <w:rPr>
                <w:rFonts w:hint="eastAsia" w:ascii="仿宋" w:hAnsi="仿宋" w:eastAsia="仿宋" w:cs="仿宋"/>
                <w:color w:val="000000"/>
                <w:sz w:val="20"/>
                <w:szCs w:val="20"/>
                <w:vertAlign w:val="baseline"/>
              </w:rPr>
            </w:pPr>
          </w:p>
        </w:tc>
      </w:tr>
      <w:tr w14:paraId="29F09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A9F2AAC">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FB8C6EA">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4DB652D0">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62054D1">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05FA2323">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HF010306</w:t>
            </w:r>
          </w:p>
        </w:tc>
        <w:tc>
          <w:tcPr>
            <w:tcW w:w="5989" w:type="dxa"/>
            <w:noWrap w:val="0"/>
            <w:vAlign w:val="top"/>
          </w:tcPr>
          <w:p w14:paraId="5DD5333B">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6、地磅计量存在问题隐患的其他情形的（需具体说明），视情节轻重，每项次分别扣0.2、0.5、1.0分，扣至考核子项得0分为止。</w:t>
            </w:r>
          </w:p>
        </w:tc>
        <w:tc>
          <w:tcPr>
            <w:tcW w:w="882" w:type="dxa"/>
            <w:vMerge w:val="continue"/>
            <w:noWrap w:val="0"/>
            <w:vAlign w:val="top"/>
          </w:tcPr>
          <w:p w14:paraId="0B90CAF5">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72DBAACA">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42BEE32">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57884C1">
            <w:pPr>
              <w:widowControl/>
              <w:spacing w:line="379" w:lineRule="exact"/>
              <w:ind w:right="-20"/>
              <w:jc w:val="center"/>
              <w:rPr>
                <w:rFonts w:hint="eastAsia" w:ascii="仿宋" w:hAnsi="仿宋" w:eastAsia="仿宋" w:cs="仿宋"/>
                <w:color w:val="000000"/>
                <w:sz w:val="20"/>
                <w:szCs w:val="20"/>
                <w:vertAlign w:val="baseline"/>
              </w:rPr>
            </w:pPr>
          </w:p>
        </w:tc>
      </w:tr>
      <w:tr w14:paraId="2A741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restart"/>
            <w:noWrap w:val="0"/>
            <w:vAlign w:val="top"/>
          </w:tcPr>
          <w:p w14:paraId="64002C17">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2</w:t>
            </w:r>
          </w:p>
        </w:tc>
        <w:tc>
          <w:tcPr>
            <w:tcW w:w="1245" w:type="dxa"/>
            <w:vMerge w:val="restart"/>
            <w:noWrap w:val="0"/>
            <w:vAlign w:val="top"/>
          </w:tcPr>
          <w:p w14:paraId="7365A967">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工艺控制 (HF02)</w:t>
            </w:r>
          </w:p>
        </w:tc>
        <w:tc>
          <w:tcPr>
            <w:tcW w:w="638" w:type="dxa"/>
            <w:vMerge w:val="restart"/>
            <w:noWrap w:val="0"/>
            <w:vAlign w:val="top"/>
          </w:tcPr>
          <w:p w14:paraId="26A2608D">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29分</w:t>
            </w:r>
          </w:p>
        </w:tc>
        <w:tc>
          <w:tcPr>
            <w:tcW w:w="998" w:type="dxa"/>
            <w:vMerge w:val="restart"/>
            <w:noWrap w:val="0"/>
            <w:vAlign w:val="top"/>
          </w:tcPr>
          <w:p w14:paraId="396C9ABF">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处理能力 (HF0201) </w:t>
            </w:r>
          </w:p>
          <w:p w14:paraId="4018F3E2">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（3 分）</w:t>
            </w:r>
          </w:p>
        </w:tc>
        <w:tc>
          <w:tcPr>
            <w:tcW w:w="1083" w:type="dxa"/>
            <w:noWrap w:val="0"/>
            <w:vAlign w:val="top"/>
          </w:tcPr>
          <w:p w14:paraId="471CB600">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HF020101</w:t>
            </w:r>
          </w:p>
        </w:tc>
        <w:tc>
          <w:tcPr>
            <w:tcW w:w="5989" w:type="dxa"/>
            <w:noWrap w:val="0"/>
            <w:vAlign w:val="top"/>
          </w:tcPr>
          <w:p w14:paraId="7C6FEE82">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1、每条焚烧线稳定连续运行。除按年初检修计划进行检修和政府管控指令进行停炉外（电网公司调停或不可抗力因素需报主管部门批准，免于考核）， 单条焚烧线每出现一次非计划性停炉扣0.5分，扣完2分为止。</w:t>
            </w:r>
          </w:p>
        </w:tc>
        <w:tc>
          <w:tcPr>
            <w:tcW w:w="882" w:type="dxa"/>
            <w:vMerge w:val="restart"/>
            <w:noWrap w:val="0"/>
            <w:vAlign w:val="top"/>
          </w:tcPr>
          <w:p w14:paraId="1ABB07FC">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查看资料</w:t>
            </w:r>
          </w:p>
        </w:tc>
        <w:tc>
          <w:tcPr>
            <w:tcW w:w="1014" w:type="dxa"/>
            <w:noWrap w:val="0"/>
            <w:vAlign w:val="top"/>
          </w:tcPr>
          <w:p w14:paraId="2C1A6482">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34B2F03">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FF66908">
            <w:pPr>
              <w:widowControl/>
              <w:spacing w:line="379" w:lineRule="exact"/>
              <w:ind w:right="-20"/>
              <w:jc w:val="center"/>
              <w:rPr>
                <w:rFonts w:hint="eastAsia" w:ascii="仿宋" w:hAnsi="仿宋" w:eastAsia="仿宋" w:cs="仿宋"/>
                <w:color w:val="000000"/>
                <w:sz w:val="20"/>
                <w:szCs w:val="20"/>
                <w:vertAlign w:val="baseline"/>
              </w:rPr>
            </w:pPr>
          </w:p>
        </w:tc>
      </w:tr>
      <w:tr w14:paraId="1F99B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F76946B">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DC8CCDA">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2B8F366">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12BACC73">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1F372062">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HF020102</w:t>
            </w:r>
          </w:p>
        </w:tc>
        <w:tc>
          <w:tcPr>
            <w:tcW w:w="5989" w:type="dxa"/>
            <w:noWrap w:val="0"/>
            <w:vAlign w:val="top"/>
          </w:tcPr>
          <w:p w14:paraId="756D2525">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2、扣除按年初检修计划进行检修和按政府管控指令停炉的日历天数，当月日均垃圾处理 量（以进厂量计算）达到设计（额定）处理量的90-130%。低于90%的每低1%扣0.1分（有合理事实依据证明由于垃圾供应不足或非运营方原因应政府指令停炉而导致的不扣分）；高于130%的每高1%扣0.05分（采用插入法）；达到140%及以上的还应当向主管部门书面报告原因，没有书面报告的在高于110%的扣分基础上，再加扣1分；书面报告原因未能被认可的，考核子项得0分。</w:t>
            </w:r>
          </w:p>
        </w:tc>
        <w:tc>
          <w:tcPr>
            <w:tcW w:w="882" w:type="dxa"/>
            <w:vMerge w:val="continue"/>
            <w:noWrap w:val="0"/>
            <w:vAlign w:val="top"/>
          </w:tcPr>
          <w:p w14:paraId="05F2FF19">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1B9A9F03">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7D69A18C">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AB89383">
            <w:pPr>
              <w:widowControl/>
              <w:spacing w:line="379" w:lineRule="exact"/>
              <w:ind w:right="-20"/>
              <w:jc w:val="center"/>
              <w:rPr>
                <w:rFonts w:hint="eastAsia" w:ascii="仿宋" w:hAnsi="仿宋" w:eastAsia="仿宋" w:cs="仿宋"/>
                <w:color w:val="000000"/>
                <w:sz w:val="20"/>
                <w:szCs w:val="20"/>
                <w:vertAlign w:val="baseline"/>
              </w:rPr>
            </w:pPr>
          </w:p>
        </w:tc>
      </w:tr>
      <w:tr w14:paraId="48154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35F7214A">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DEE97D2">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783FEFF9">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DB5DB20">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024C6A1B">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HF020103</w:t>
            </w:r>
          </w:p>
        </w:tc>
        <w:tc>
          <w:tcPr>
            <w:tcW w:w="5989" w:type="dxa"/>
            <w:noWrap w:val="0"/>
            <w:vAlign w:val="top"/>
          </w:tcPr>
          <w:p w14:paraId="27D31470">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w:t>
            </w:r>
            <w:r>
              <w:rPr>
                <w:rFonts w:hint="eastAsia" w:ascii="仿宋" w:hAnsi="仿宋" w:eastAsia="仿宋" w:cs="仿宋"/>
                <w:color w:val="000000"/>
                <w:sz w:val="28"/>
                <w:szCs w:val="28"/>
                <w:vertAlign w:val="baseline"/>
                <w:lang w:val="en-US" w:eastAsia="zh-CN"/>
              </w:rPr>
              <w:t>因乙方管理原因导致的</w:t>
            </w:r>
            <w:r>
              <w:rPr>
                <w:rFonts w:hint="eastAsia" w:ascii="仿宋" w:hAnsi="仿宋" w:eastAsia="仿宋" w:cs="仿宋"/>
                <w:color w:val="000000"/>
                <w:sz w:val="28"/>
                <w:szCs w:val="28"/>
                <w:vertAlign w:val="baseline"/>
              </w:rPr>
              <w:t>处理能力存在问题隐患的其他情形的</w:t>
            </w:r>
            <w:r>
              <w:rPr>
                <w:rFonts w:hint="eastAsia" w:ascii="仿宋" w:hAnsi="仿宋" w:eastAsia="仿宋" w:cs="仿宋"/>
                <w:b w:val="0"/>
                <w:bCs w:val="0"/>
                <w:color w:val="000000"/>
                <w:sz w:val="28"/>
                <w:szCs w:val="28"/>
                <w:vertAlign w:val="baseline"/>
              </w:rPr>
              <w:t>（需具体说明）</w:t>
            </w:r>
            <w:r>
              <w:rPr>
                <w:rFonts w:hint="eastAsia" w:ascii="仿宋" w:hAnsi="仿宋" w:eastAsia="仿宋" w:cs="仿宋"/>
                <w:color w:val="000000"/>
                <w:sz w:val="28"/>
                <w:szCs w:val="28"/>
                <w:vertAlign w:val="baseline"/>
              </w:rPr>
              <w:t>，视情节轻重，每项次分别扣0.2、0.5、1.0分，扣至考核子项得0分为止。</w:t>
            </w:r>
          </w:p>
        </w:tc>
        <w:tc>
          <w:tcPr>
            <w:tcW w:w="882" w:type="dxa"/>
            <w:vMerge w:val="continue"/>
            <w:noWrap w:val="0"/>
            <w:vAlign w:val="top"/>
          </w:tcPr>
          <w:p w14:paraId="6E326DA8">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72DF04A5">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049EBBB">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B46FD83">
            <w:pPr>
              <w:widowControl/>
              <w:spacing w:line="379" w:lineRule="exact"/>
              <w:ind w:right="-20"/>
              <w:jc w:val="center"/>
              <w:rPr>
                <w:rFonts w:hint="eastAsia" w:ascii="仿宋" w:hAnsi="仿宋" w:eastAsia="仿宋" w:cs="仿宋"/>
                <w:color w:val="000000"/>
                <w:sz w:val="20"/>
                <w:szCs w:val="20"/>
                <w:vertAlign w:val="baseline"/>
              </w:rPr>
            </w:pPr>
          </w:p>
        </w:tc>
      </w:tr>
      <w:tr w14:paraId="42B13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trPr>
        <w:tc>
          <w:tcPr>
            <w:tcW w:w="1425" w:type="dxa"/>
            <w:vMerge w:val="continue"/>
            <w:noWrap w:val="0"/>
            <w:vAlign w:val="top"/>
          </w:tcPr>
          <w:p w14:paraId="2AE4AC9E">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7595302">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3F86329">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1E7B312A">
            <w:pPr>
              <w:widowControl/>
              <w:spacing w:line="379" w:lineRule="exact"/>
              <w:ind w:right="-20"/>
              <w:jc w:val="both"/>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运行管理（HF0202）2分</w:t>
            </w:r>
          </w:p>
        </w:tc>
        <w:tc>
          <w:tcPr>
            <w:tcW w:w="1083" w:type="dxa"/>
            <w:noWrap w:val="0"/>
            <w:vAlign w:val="top"/>
          </w:tcPr>
          <w:p w14:paraId="31052292">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HF020201</w:t>
            </w:r>
          </w:p>
        </w:tc>
        <w:tc>
          <w:tcPr>
            <w:tcW w:w="5989" w:type="dxa"/>
            <w:noWrap w:val="0"/>
            <w:vAlign w:val="top"/>
          </w:tcPr>
          <w:p w14:paraId="4270847E">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1、有全面、详细的工艺运行管理制度、调控 方案，每月对工艺运行情况进行分析。每少一项扣0.25分。</w:t>
            </w:r>
          </w:p>
        </w:tc>
        <w:tc>
          <w:tcPr>
            <w:tcW w:w="882" w:type="dxa"/>
            <w:vMerge w:val="continue"/>
            <w:noWrap w:val="0"/>
            <w:vAlign w:val="top"/>
          </w:tcPr>
          <w:p w14:paraId="2CEABFFD">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1E862E93">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617B0892">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8C31781">
            <w:pPr>
              <w:widowControl/>
              <w:spacing w:line="379" w:lineRule="exact"/>
              <w:ind w:right="-20"/>
              <w:jc w:val="center"/>
              <w:rPr>
                <w:rFonts w:hint="eastAsia" w:ascii="仿宋" w:hAnsi="仿宋" w:eastAsia="仿宋" w:cs="仿宋"/>
                <w:color w:val="000000"/>
                <w:sz w:val="20"/>
                <w:szCs w:val="20"/>
                <w:vertAlign w:val="baseline"/>
              </w:rPr>
            </w:pPr>
          </w:p>
        </w:tc>
      </w:tr>
      <w:tr w14:paraId="506FD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C049F02">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965677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2116CA9">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7274F15F">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49BD49BB">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HF020202</w:t>
            </w:r>
          </w:p>
        </w:tc>
        <w:tc>
          <w:tcPr>
            <w:tcW w:w="5989" w:type="dxa"/>
            <w:noWrap w:val="0"/>
            <w:vAlign w:val="top"/>
          </w:tcPr>
          <w:p w14:paraId="57E75B25">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2、制定科学、合理的年度、月度生产计划（含运行、检修、维保、检验校准）并按计划实施。有计划但未有效执行的扣0.5分，无计划的扣1分。</w:t>
            </w:r>
          </w:p>
        </w:tc>
        <w:tc>
          <w:tcPr>
            <w:tcW w:w="882" w:type="dxa"/>
            <w:vMerge w:val="continue"/>
            <w:noWrap w:val="0"/>
            <w:vAlign w:val="top"/>
          </w:tcPr>
          <w:p w14:paraId="1A6540A3">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6C4B7A0B">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7F1DB15">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D4F9393">
            <w:pPr>
              <w:widowControl/>
              <w:spacing w:line="379" w:lineRule="exact"/>
              <w:ind w:right="-20"/>
              <w:jc w:val="center"/>
              <w:rPr>
                <w:rFonts w:hint="eastAsia" w:ascii="仿宋" w:hAnsi="仿宋" w:eastAsia="仿宋" w:cs="仿宋"/>
                <w:color w:val="000000"/>
                <w:sz w:val="20"/>
                <w:szCs w:val="20"/>
                <w:vertAlign w:val="baseline"/>
              </w:rPr>
            </w:pPr>
          </w:p>
        </w:tc>
      </w:tr>
      <w:tr w14:paraId="4554B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1ECE0BE5">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F366B2C">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2B9F7AB">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12CE0B8">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73811360">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HF020203</w:t>
            </w:r>
          </w:p>
        </w:tc>
        <w:tc>
          <w:tcPr>
            <w:tcW w:w="5989" w:type="dxa"/>
            <w:noWrap w:val="0"/>
            <w:vAlign w:val="top"/>
          </w:tcPr>
          <w:p w14:paraId="6E02CF16">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3、在线监测系统标记时长应满足生态环境部标记规则要求并确保系统稳定运行，每季度≤30h，每超出1h扣0.5分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120B88D7">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9F8BA8D">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75FDBE87">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FBBEA43">
            <w:pPr>
              <w:widowControl/>
              <w:spacing w:line="379" w:lineRule="exact"/>
              <w:ind w:right="-20"/>
              <w:jc w:val="center"/>
              <w:rPr>
                <w:rFonts w:hint="eastAsia" w:ascii="仿宋" w:hAnsi="仿宋" w:eastAsia="仿宋" w:cs="仿宋"/>
                <w:color w:val="000000"/>
                <w:sz w:val="20"/>
                <w:szCs w:val="20"/>
                <w:vertAlign w:val="baseline"/>
              </w:rPr>
            </w:pPr>
          </w:p>
        </w:tc>
      </w:tr>
      <w:tr w14:paraId="7FE69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E89D43E">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9F9F06A">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798152F0">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3981AF5">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59BFB5CD">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HF020204</w:t>
            </w:r>
          </w:p>
        </w:tc>
        <w:tc>
          <w:tcPr>
            <w:tcW w:w="5989" w:type="dxa"/>
            <w:noWrap w:val="0"/>
            <w:vAlign w:val="top"/>
          </w:tcPr>
          <w:p w14:paraId="1DBB082B">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4、制作全厂用电、水、柴油等能耗一览表并做出能耗分析和运行成本分析，分析内容完整、真实。否则扣0.5分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43912D7B">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3052939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7C9D544">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3A5654E">
            <w:pPr>
              <w:widowControl/>
              <w:spacing w:line="379" w:lineRule="exact"/>
              <w:ind w:right="-20"/>
              <w:jc w:val="center"/>
              <w:rPr>
                <w:rFonts w:hint="eastAsia" w:ascii="仿宋" w:hAnsi="仿宋" w:eastAsia="仿宋" w:cs="仿宋"/>
                <w:color w:val="000000"/>
                <w:sz w:val="20"/>
                <w:szCs w:val="20"/>
                <w:vertAlign w:val="baseline"/>
              </w:rPr>
            </w:pPr>
          </w:p>
        </w:tc>
      </w:tr>
      <w:tr w14:paraId="5EBC5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5D793ACC">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41B96EEF">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82ECA22">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B9377E8">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2B015C62">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HF020205</w:t>
            </w:r>
          </w:p>
        </w:tc>
        <w:tc>
          <w:tcPr>
            <w:tcW w:w="5989" w:type="dxa"/>
            <w:noWrap w:val="0"/>
            <w:vAlign w:val="top"/>
          </w:tcPr>
          <w:p w14:paraId="0246FD02">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lang w:val="en-US" w:eastAsia="zh-CN"/>
              </w:rPr>
              <w:t>5、</w:t>
            </w:r>
            <w:r>
              <w:rPr>
                <w:rFonts w:hint="eastAsia" w:ascii="仿宋" w:hAnsi="仿宋" w:eastAsia="仿宋" w:cs="仿宋"/>
                <w:color w:val="000000"/>
                <w:sz w:val="28"/>
                <w:szCs w:val="28"/>
                <w:vertAlign w:val="baseline"/>
              </w:rPr>
              <w:t>生产用电率控制在合理水平。生产用电率高于18%的每高1个百分点扣0.1分（机组检修期间除外）</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706FAF87">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7CED362">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9169CAC">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2AB654A">
            <w:pPr>
              <w:widowControl/>
              <w:spacing w:line="379" w:lineRule="exact"/>
              <w:ind w:right="-20"/>
              <w:jc w:val="center"/>
              <w:rPr>
                <w:rFonts w:hint="eastAsia" w:ascii="仿宋" w:hAnsi="仿宋" w:eastAsia="仿宋" w:cs="仿宋"/>
                <w:color w:val="000000"/>
                <w:sz w:val="20"/>
                <w:szCs w:val="20"/>
                <w:vertAlign w:val="baseline"/>
              </w:rPr>
            </w:pPr>
          </w:p>
        </w:tc>
      </w:tr>
      <w:tr w14:paraId="5BCCC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EA14D35">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A6B278C">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E5083E8">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EDC64E3">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5CA1DC16">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HF020206</w:t>
            </w:r>
          </w:p>
        </w:tc>
        <w:tc>
          <w:tcPr>
            <w:tcW w:w="5989" w:type="dxa"/>
            <w:noWrap w:val="0"/>
            <w:vAlign w:val="top"/>
          </w:tcPr>
          <w:p w14:paraId="113DB7F5">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6、运行管理存在其他问题情形的</w:t>
            </w:r>
            <w:r>
              <w:rPr>
                <w:rFonts w:hint="eastAsia" w:ascii="仿宋" w:hAnsi="仿宋" w:eastAsia="仿宋" w:cs="仿宋"/>
                <w:b w:val="0"/>
                <w:bCs w:val="0"/>
                <w:color w:val="000000"/>
                <w:sz w:val="28"/>
                <w:szCs w:val="28"/>
                <w:vertAlign w:val="baseline"/>
              </w:rPr>
              <w:t>（需具体说明）</w:t>
            </w:r>
            <w:r>
              <w:rPr>
                <w:rFonts w:hint="eastAsia" w:ascii="仿宋" w:hAnsi="仿宋" w:eastAsia="仿宋" w:cs="仿宋"/>
                <w:color w:val="000000"/>
                <w:sz w:val="28"/>
                <w:szCs w:val="28"/>
                <w:vertAlign w:val="baseline"/>
              </w:rPr>
              <w:t>，视情节轻重，每项次分别扣0.1、0.2、0.5分，扣至考核子项得0分为止。</w:t>
            </w:r>
          </w:p>
        </w:tc>
        <w:tc>
          <w:tcPr>
            <w:tcW w:w="882" w:type="dxa"/>
            <w:vMerge w:val="continue"/>
            <w:noWrap w:val="0"/>
            <w:vAlign w:val="top"/>
          </w:tcPr>
          <w:p w14:paraId="7F3E1498">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01AEDC8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2D13C4A">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400E9EF">
            <w:pPr>
              <w:widowControl/>
              <w:spacing w:line="379" w:lineRule="exact"/>
              <w:ind w:right="-20"/>
              <w:jc w:val="center"/>
              <w:rPr>
                <w:rFonts w:hint="eastAsia" w:ascii="仿宋" w:hAnsi="仿宋" w:eastAsia="仿宋" w:cs="仿宋"/>
                <w:color w:val="000000"/>
                <w:sz w:val="20"/>
                <w:szCs w:val="20"/>
                <w:vertAlign w:val="baseline"/>
              </w:rPr>
            </w:pPr>
          </w:p>
        </w:tc>
      </w:tr>
      <w:tr w14:paraId="1B492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56B92722">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846AED7">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07F91B7">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032E0E00">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垃圾接收系统(HF0203) </w:t>
            </w:r>
          </w:p>
          <w:p w14:paraId="1BF3C65B">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（5 分）</w:t>
            </w:r>
          </w:p>
        </w:tc>
        <w:tc>
          <w:tcPr>
            <w:tcW w:w="1083" w:type="dxa"/>
            <w:noWrap w:val="0"/>
            <w:vAlign w:val="top"/>
          </w:tcPr>
          <w:p w14:paraId="7216D0D6">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HF020301</w:t>
            </w:r>
          </w:p>
        </w:tc>
        <w:tc>
          <w:tcPr>
            <w:tcW w:w="5989" w:type="dxa"/>
            <w:noWrap w:val="0"/>
            <w:vAlign w:val="top"/>
          </w:tcPr>
          <w:p w14:paraId="542AE0A3">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1、卸料大厅交通指示牌、安全消防标识牌清晰、准确、齐全，车辆能够有序进出，物流与人流分开，</w:t>
            </w:r>
            <w:r>
              <w:rPr>
                <w:rFonts w:hint="eastAsia" w:ascii="仿宋" w:hAnsi="仿宋" w:eastAsia="仿宋" w:cs="仿宋"/>
                <w:color w:val="000000"/>
                <w:sz w:val="28"/>
                <w:szCs w:val="28"/>
                <w:vertAlign w:val="baseline"/>
                <w:lang w:val="en-US" w:eastAsia="zh-CN"/>
              </w:rPr>
              <w:t>未及时整改（24小时内）</w:t>
            </w:r>
            <w:r>
              <w:rPr>
                <w:rFonts w:hint="eastAsia" w:ascii="仿宋" w:hAnsi="仿宋" w:eastAsia="仿宋" w:cs="仿宋"/>
                <w:color w:val="000000"/>
                <w:sz w:val="28"/>
                <w:szCs w:val="28"/>
                <w:vertAlign w:val="baseline"/>
              </w:rPr>
              <w:t>达不到要求的每项扣</w:t>
            </w:r>
            <w:r>
              <w:rPr>
                <w:rFonts w:hint="eastAsia" w:ascii="仿宋" w:hAnsi="仿宋" w:eastAsia="仿宋" w:cs="仿宋"/>
                <w:color w:val="000000"/>
                <w:sz w:val="28"/>
                <w:szCs w:val="28"/>
                <w:vertAlign w:val="baseline"/>
                <w:lang w:val="en-US" w:eastAsia="zh-CN"/>
              </w:rPr>
              <w:t>0.5</w:t>
            </w:r>
            <w:r>
              <w:rPr>
                <w:rFonts w:hint="eastAsia" w:ascii="仿宋" w:hAnsi="仿宋" w:eastAsia="仿宋" w:cs="仿宋"/>
                <w:color w:val="000000"/>
                <w:sz w:val="28"/>
                <w:szCs w:val="28"/>
                <w:vertAlign w:val="baseline"/>
              </w:rPr>
              <w:t>分</w:t>
            </w:r>
            <w:r>
              <w:rPr>
                <w:rFonts w:hint="eastAsia" w:ascii="仿宋" w:hAnsi="仿宋" w:eastAsia="仿宋" w:cs="仿宋"/>
                <w:color w:val="000000"/>
                <w:sz w:val="28"/>
                <w:szCs w:val="28"/>
                <w:vertAlign w:val="baseline"/>
                <w:lang w:eastAsia="zh-CN"/>
              </w:rPr>
              <w:t>，</w:t>
            </w:r>
            <w:r>
              <w:rPr>
                <w:rFonts w:hint="eastAsia" w:ascii="仿宋" w:hAnsi="仿宋" w:eastAsia="仿宋" w:cs="仿宋"/>
                <w:color w:val="000000"/>
                <w:sz w:val="28"/>
                <w:szCs w:val="28"/>
                <w:vertAlign w:val="baseline"/>
                <w:lang w:val="en-US" w:eastAsia="zh-CN"/>
              </w:rPr>
              <w:t>扣完5分为止</w:t>
            </w:r>
            <w:r>
              <w:rPr>
                <w:rFonts w:hint="eastAsia" w:ascii="仿宋" w:hAnsi="仿宋" w:eastAsia="仿宋" w:cs="仿宋"/>
                <w:color w:val="000000"/>
                <w:sz w:val="28"/>
                <w:szCs w:val="28"/>
                <w:vertAlign w:val="baseline"/>
                <w:lang w:eastAsia="zh-CN"/>
              </w:rPr>
              <w:t>。</w:t>
            </w:r>
          </w:p>
        </w:tc>
        <w:tc>
          <w:tcPr>
            <w:tcW w:w="882" w:type="dxa"/>
            <w:vMerge w:val="restart"/>
            <w:noWrap w:val="0"/>
            <w:vAlign w:val="top"/>
          </w:tcPr>
          <w:p w14:paraId="2E3FF19F">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查看资料 </w:t>
            </w:r>
          </w:p>
          <w:p w14:paraId="280587E8">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现场检查 </w:t>
            </w:r>
          </w:p>
        </w:tc>
        <w:tc>
          <w:tcPr>
            <w:tcW w:w="1014" w:type="dxa"/>
            <w:noWrap w:val="0"/>
            <w:vAlign w:val="top"/>
          </w:tcPr>
          <w:p w14:paraId="525662B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6AC33F54">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097A2EC">
            <w:pPr>
              <w:widowControl/>
              <w:spacing w:line="379" w:lineRule="exact"/>
              <w:ind w:right="-20"/>
              <w:jc w:val="center"/>
              <w:rPr>
                <w:rFonts w:hint="eastAsia" w:ascii="仿宋" w:hAnsi="仿宋" w:eastAsia="仿宋" w:cs="仿宋"/>
                <w:color w:val="000000"/>
                <w:sz w:val="20"/>
                <w:szCs w:val="20"/>
                <w:vertAlign w:val="baseline"/>
              </w:rPr>
            </w:pPr>
          </w:p>
        </w:tc>
      </w:tr>
      <w:tr w14:paraId="66F07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0EB8C954">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41DB4702">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8CDD508">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321BE265">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2E6C99D2">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HF020302</w:t>
            </w:r>
          </w:p>
        </w:tc>
        <w:tc>
          <w:tcPr>
            <w:tcW w:w="5989" w:type="dxa"/>
            <w:noWrap w:val="0"/>
            <w:vAlign w:val="top"/>
          </w:tcPr>
          <w:p w14:paraId="1BFB87AC">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2、卸料大厅大门风幕或快速关断门等防止臭气外溢的设施完整，建立保洁制度并落实到位、无堆放杂物现象、地面无渗沥液积存腐蚀、消防、消杀、臭味控制、采光或照明满足作业需要。存在问题的每项扣0.2分</w:t>
            </w:r>
            <w:r>
              <w:rPr>
                <w:rFonts w:hint="eastAsia" w:ascii="仿宋" w:hAnsi="仿宋" w:eastAsia="仿宋" w:cs="仿宋"/>
                <w:color w:val="000000"/>
                <w:sz w:val="28"/>
                <w:szCs w:val="28"/>
                <w:vertAlign w:val="baseline"/>
                <w:lang w:eastAsia="zh-CN"/>
              </w:rPr>
              <w:t>，</w:t>
            </w:r>
            <w:r>
              <w:rPr>
                <w:rFonts w:hint="eastAsia" w:ascii="仿宋" w:hAnsi="仿宋" w:eastAsia="仿宋" w:cs="仿宋"/>
                <w:color w:val="000000"/>
                <w:sz w:val="28"/>
                <w:szCs w:val="28"/>
                <w:vertAlign w:val="baseline"/>
                <w:lang w:val="en-US" w:eastAsia="zh-CN"/>
              </w:rPr>
              <w:t>扣完5分为止</w:t>
            </w:r>
            <w:r>
              <w:rPr>
                <w:rFonts w:hint="eastAsia" w:ascii="仿宋" w:hAnsi="仿宋" w:eastAsia="仿宋" w:cs="仿宋"/>
                <w:color w:val="000000"/>
                <w:sz w:val="28"/>
                <w:szCs w:val="28"/>
                <w:vertAlign w:val="baseline"/>
              </w:rPr>
              <w:t>。</w:t>
            </w:r>
          </w:p>
        </w:tc>
        <w:tc>
          <w:tcPr>
            <w:tcW w:w="882" w:type="dxa"/>
            <w:vMerge w:val="continue"/>
            <w:noWrap w:val="0"/>
            <w:vAlign w:val="top"/>
          </w:tcPr>
          <w:p w14:paraId="16DF3690">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B358610">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E6C4772">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615A8BF">
            <w:pPr>
              <w:widowControl/>
              <w:spacing w:line="379" w:lineRule="exact"/>
              <w:ind w:right="-20"/>
              <w:jc w:val="center"/>
              <w:rPr>
                <w:rFonts w:hint="eastAsia" w:ascii="仿宋" w:hAnsi="仿宋" w:eastAsia="仿宋" w:cs="仿宋"/>
                <w:color w:val="000000"/>
                <w:sz w:val="20"/>
                <w:szCs w:val="20"/>
                <w:vertAlign w:val="baseline"/>
              </w:rPr>
            </w:pPr>
          </w:p>
        </w:tc>
      </w:tr>
      <w:tr w14:paraId="1346F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152E056E">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DD6FC6B">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7E6F6EE2">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3CEB9419">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36E2A385">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HF020303</w:t>
            </w:r>
          </w:p>
        </w:tc>
        <w:tc>
          <w:tcPr>
            <w:tcW w:w="5989" w:type="dxa"/>
            <w:noWrap w:val="0"/>
            <w:vAlign w:val="top"/>
          </w:tcPr>
          <w:p w14:paraId="5BDE2D8F">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3、为垃圾车进厂提供有效保障，卸料大厅现场有专人指挥和提供辅助服务，事故照明、安全警示牌、防车辆坠落安全设施等到位并能投入运行、仓门具有自动开启或远程控制 功能、根据进厂车次及时调整打开仓门数量。考核月度内发生车辆坠落事故一次，该考核子项直接扣至0分；存在其他问题每项扣 0.2分。</w:t>
            </w:r>
          </w:p>
        </w:tc>
        <w:tc>
          <w:tcPr>
            <w:tcW w:w="882" w:type="dxa"/>
            <w:vMerge w:val="continue"/>
            <w:noWrap w:val="0"/>
            <w:vAlign w:val="top"/>
          </w:tcPr>
          <w:p w14:paraId="24B86CCF">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28BD28CC">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DA4ECCD">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1598B32">
            <w:pPr>
              <w:widowControl/>
              <w:spacing w:line="379" w:lineRule="exact"/>
              <w:ind w:right="-20"/>
              <w:jc w:val="center"/>
              <w:rPr>
                <w:rFonts w:hint="eastAsia" w:ascii="仿宋" w:hAnsi="仿宋" w:eastAsia="仿宋" w:cs="仿宋"/>
                <w:color w:val="000000"/>
                <w:sz w:val="20"/>
                <w:szCs w:val="20"/>
                <w:vertAlign w:val="baseline"/>
              </w:rPr>
            </w:pPr>
          </w:p>
        </w:tc>
      </w:tr>
      <w:tr w14:paraId="45C00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5E570A02">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2FD8764">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7D03F5DB">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4B5FB8DA">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5434A03C">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HF020304</w:t>
            </w:r>
          </w:p>
        </w:tc>
        <w:tc>
          <w:tcPr>
            <w:tcW w:w="5989" w:type="dxa"/>
            <w:noWrap w:val="0"/>
            <w:vAlign w:val="top"/>
          </w:tcPr>
          <w:p w14:paraId="5B14A292">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4、抓斗及起重机检定、检查、维护和保养制度健全并有效落实。未落实检定、检查、维护和保养制度的扣0.3分，因设备故障影响正常机组运行的每次扣0.2分，控制室观察窗视线差的扣0.2分，抓斗没有计量系统或计量系统故障未修复即运行的扣0.5分，未做到每年校验一次的扣0.5分。</w:t>
            </w:r>
          </w:p>
        </w:tc>
        <w:tc>
          <w:tcPr>
            <w:tcW w:w="882" w:type="dxa"/>
            <w:vMerge w:val="continue"/>
            <w:noWrap w:val="0"/>
            <w:vAlign w:val="top"/>
          </w:tcPr>
          <w:p w14:paraId="4E0358C1">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0465DE4">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5E81F69">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32EBAF9">
            <w:pPr>
              <w:widowControl/>
              <w:spacing w:line="379" w:lineRule="exact"/>
              <w:ind w:right="-20"/>
              <w:jc w:val="center"/>
              <w:rPr>
                <w:rFonts w:hint="eastAsia" w:ascii="仿宋" w:hAnsi="仿宋" w:eastAsia="仿宋" w:cs="仿宋"/>
                <w:color w:val="000000"/>
                <w:sz w:val="20"/>
                <w:szCs w:val="20"/>
                <w:vertAlign w:val="baseline"/>
              </w:rPr>
            </w:pPr>
          </w:p>
        </w:tc>
      </w:tr>
      <w:tr w14:paraId="18C25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0ADABD20">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B5EC45E">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633D5BB">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B4ADF12">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0C815BBE">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HF020305</w:t>
            </w:r>
          </w:p>
        </w:tc>
        <w:tc>
          <w:tcPr>
            <w:tcW w:w="5989" w:type="dxa"/>
            <w:noWrap w:val="0"/>
            <w:vAlign w:val="top"/>
          </w:tcPr>
          <w:p w14:paraId="785F6F35">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5、垃圾池负压监测、消防、有毒有害气体监测、进料监视器、消杀等装置或设施配置到位、运行正常、管理规范，渗沥液导排通畅无积水。保障运行、安全的设备配置不到位或管理不规范的扣0.5分；</w:t>
            </w:r>
            <w:r>
              <w:rPr>
                <w:rFonts w:hint="eastAsia" w:ascii="仿宋" w:hAnsi="仿宋" w:eastAsia="仿宋" w:cs="仿宋"/>
                <w:color w:val="000000"/>
                <w:sz w:val="28"/>
                <w:szCs w:val="28"/>
                <w:vertAlign w:val="baseline"/>
                <w:lang w:val="en-US" w:eastAsia="zh-CN"/>
              </w:rPr>
              <w:t>除接卸料高峰期，因乙方管理问题造成</w:t>
            </w:r>
            <w:r>
              <w:rPr>
                <w:rFonts w:hint="eastAsia" w:ascii="仿宋" w:hAnsi="仿宋" w:eastAsia="仿宋" w:cs="仿宋"/>
                <w:color w:val="000000"/>
                <w:sz w:val="28"/>
                <w:szCs w:val="28"/>
                <w:vertAlign w:val="baseline"/>
              </w:rPr>
              <w:t>垃圾池负压不到位扣0.</w:t>
            </w:r>
            <w:r>
              <w:rPr>
                <w:rFonts w:hint="eastAsia" w:ascii="仿宋" w:hAnsi="仿宋" w:eastAsia="仿宋" w:cs="仿宋"/>
                <w:color w:val="000000"/>
                <w:sz w:val="28"/>
                <w:szCs w:val="28"/>
                <w:vertAlign w:val="baseline"/>
                <w:lang w:val="en-US" w:eastAsia="zh-CN"/>
              </w:rPr>
              <w:t>2</w:t>
            </w:r>
            <w:r>
              <w:rPr>
                <w:rFonts w:hint="eastAsia" w:ascii="仿宋" w:hAnsi="仿宋" w:eastAsia="仿宋" w:cs="仿宋"/>
                <w:color w:val="000000"/>
                <w:sz w:val="28"/>
                <w:szCs w:val="28"/>
                <w:vertAlign w:val="baseline"/>
              </w:rPr>
              <w:t>分、未及时清门、堆垛、渗沥液导排不畅的扣0.</w:t>
            </w:r>
            <w:r>
              <w:rPr>
                <w:rFonts w:hint="eastAsia" w:ascii="仿宋" w:hAnsi="仿宋" w:eastAsia="仿宋" w:cs="仿宋"/>
                <w:color w:val="000000"/>
                <w:sz w:val="28"/>
                <w:szCs w:val="28"/>
                <w:vertAlign w:val="baseline"/>
                <w:lang w:val="en-US" w:eastAsia="zh-CN"/>
              </w:rPr>
              <w:t>5</w:t>
            </w:r>
            <w:r>
              <w:rPr>
                <w:rFonts w:hint="eastAsia" w:ascii="仿宋" w:hAnsi="仿宋" w:eastAsia="仿宋" w:cs="仿宋"/>
                <w:color w:val="000000"/>
                <w:sz w:val="28"/>
                <w:szCs w:val="28"/>
                <w:vertAlign w:val="baseline"/>
              </w:rPr>
              <w:t>分；考核月度内垃圾池内发生冒烟着火事件的，每起事件扣1分；垃圾池其他问题每项扣0.</w:t>
            </w:r>
            <w:r>
              <w:rPr>
                <w:rFonts w:hint="eastAsia" w:ascii="仿宋" w:hAnsi="仿宋" w:eastAsia="仿宋" w:cs="仿宋"/>
                <w:color w:val="000000"/>
                <w:sz w:val="28"/>
                <w:szCs w:val="28"/>
                <w:vertAlign w:val="baseline"/>
                <w:lang w:val="en-US" w:eastAsia="zh-CN"/>
              </w:rPr>
              <w:t>1</w:t>
            </w:r>
            <w:r>
              <w:rPr>
                <w:rFonts w:hint="eastAsia" w:ascii="仿宋" w:hAnsi="仿宋" w:eastAsia="仿宋" w:cs="仿宋"/>
                <w:color w:val="000000"/>
                <w:sz w:val="28"/>
                <w:szCs w:val="28"/>
                <w:vertAlign w:val="baseline"/>
              </w:rPr>
              <w:t>分。</w:t>
            </w:r>
          </w:p>
        </w:tc>
        <w:tc>
          <w:tcPr>
            <w:tcW w:w="882" w:type="dxa"/>
            <w:vMerge w:val="continue"/>
            <w:noWrap w:val="0"/>
            <w:vAlign w:val="top"/>
          </w:tcPr>
          <w:p w14:paraId="4247A818">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14957DAE">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359EE56">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14963CE">
            <w:pPr>
              <w:widowControl/>
              <w:spacing w:line="379" w:lineRule="exact"/>
              <w:ind w:right="-20"/>
              <w:jc w:val="center"/>
              <w:rPr>
                <w:rFonts w:hint="eastAsia" w:ascii="仿宋" w:hAnsi="仿宋" w:eastAsia="仿宋" w:cs="仿宋"/>
                <w:color w:val="000000"/>
                <w:sz w:val="20"/>
                <w:szCs w:val="20"/>
                <w:vertAlign w:val="baseline"/>
              </w:rPr>
            </w:pPr>
          </w:p>
        </w:tc>
      </w:tr>
      <w:tr w14:paraId="0F5EC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6F6B7719">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50702BA">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414BF4F4">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D6D528F">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4F1BFDD6">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HF020306</w:t>
            </w:r>
          </w:p>
        </w:tc>
        <w:tc>
          <w:tcPr>
            <w:tcW w:w="5989" w:type="dxa"/>
            <w:noWrap w:val="0"/>
            <w:vAlign w:val="top"/>
          </w:tcPr>
          <w:p w14:paraId="143B6D47">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6、垃圾接收系统存在问题隐患的其他情形的（需具体说明），视情节轻重，每项次分别扣 0.2、0.5、1.0分，扣至考核子项得0分为止。</w:t>
            </w:r>
          </w:p>
        </w:tc>
        <w:tc>
          <w:tcPr>
            <w:tcW w:w="882" w:type="dxa"/>
            <w:vMerge w:val="continue"/>
            <w:noWrap w:val="0"/>
            <w:vAlign w:val="top"/>
          </w:tcPr>
          <w:p w14:paraId="4C09F3B1">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3E2C9E7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88AC316">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B01738C">
            <w:pPr>
              <w:widowControl/>
              <w:spacing w:line="379" w:lineRule="exact"/>
              <w:ind w:right="-20"/>
              <w:jc w:val="center"/>
              <w:rPr>
                <w:rFonts w:hint="eastAsia" w:ascii="仿宋" w:hAnsi="仿宋" w:eastAsia="仿宋" w:cs="仿宋"/>
                <w:color w:val="000000"/>
                <w:sz w:val="20"/>
                <w:szCs w:val="20"/>
                <w:vertAlign w:val="baseline"/>
              </w:rPr>
            </w:pPr>
          </w:p>
        </w:tc>
      </w:tr>
      <w:tr w14:paraId="2AF76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6C2ED220">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4DCAA547">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25618C6">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5CDA870C">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焚烧炉管理 (HF0204) </w:t>
            </w:r>
          </w:p>
          <w:p w14:paraId="2A35B4D4">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（10 分）</w:t>
            </w:r>
          </w:p>
        </w:tc>
        <w:tc>
          <w:tcPr>
            <w:tcW w:w="1083" w:type="dxa"/>
            <w:noWrap w:val="0"/>
            <w:vAlign w:val="top"/>
          </w:tcPr>
          <w:p w14:paraId="3A9360B8">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HF020401</w:t>
            </w:r>
          </w:p>
        </w:tc>
        <w:tc>
          <w:tcPr>
            <w:tcW w:w="5989" w:type="dxa"/>
            <w:noWrap w:val="0"/>
            <w:vAlign w:val="top"/>
          </w:tcPr>
          <w:p w14:paraId="1956D1B4">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 xml:space="preserve">1、温度测量点满足《生活垃圾焚烧厂评价标 准（CJJ/T137-2010）》“3×3 布点”、按“装树联”要求落实。测量点按三层设置但 数量不足，或测量点二层设置的，或检查时有部分温度测点故障的，每测点扣0.1分，没有“装树联”的扣2分。 </w:t>
            </w:r>
          </w:p>
        </w:tc>
        <w:tc>
          <w:tcPr>
            <w:tcW w:w="882" w:type="dxa"/>
            <w:vMerge w:val="restart"/>
            <w:noWrap w:val="0"/>
            <w:vAlign w:val="top"/>
          </w:tcPr>
          <w:p w14:paraId="308E48D9">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查DCS 及 监管网记 录、相关 制度、图 纸、运行 记录。现 场检查、 调取历史 数据。</w:t>
            </w:r>
          </w:p>
        </w:tc>
        <w:tc>
          <w:tcPr>
            <w:tcW w:w="1014" w:type="dxa"/>
            <w:noWrap w:val="0"/>
            <w:vAlign w:val="top"/>
          </w:tcPr>
          <w:p w14:paraId="6CBBCA5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6282C10">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3528D65">
            <w:pPr>
              <w:widowControl/>
              <w:spacing w:line="379" w:lineRule="exact"/>
              <w:ind w:right="-20"/>
              <w:jc w:val="center"/>
              <w:rPr>
                <w:rFonts w:hint="eastAsia" w:ascii="仿宋" w:hAnsi="仿宋" w:eastAsia="仿宋" w:cs="仿宋"/>
                <w:color w:val="000000"/>
                <w:sz w:val="20"/>
                <w:szCs w:val="20"/>
                <w:vertAlign w:val="baseline"/>
              </w:rPr>
            </w:pPr>
          </w:p>
        </w:tc>
      </w:tr>
      <w:tr w14:paraId="28C83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1DE5FF3F">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405472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CD990AB">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464BE02C">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6B5D766F">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HF020402</w:t>
            </w:r>
          </w:p>
        </w:tc>
        <w:tc>
          <w:tcPr>
            <w:tcW w:w="5989" w:type="dxa"/>
            <w:noWrap w:val="0"/>
            <w:vAlign w:val="top"/>
          </w:tcPr>
          <w:p w14:paraId="2FCA74FB">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 xml:space="preserve">2、有辅助燃烧系统并正常在线备投、一二次风供给系统完善合理。无辅助燃烧系统或未正常使用的扣0.5分,一二次风供给系统存在缺陷扣0.5分。 </w:t>
            </w:r>
          </w:p>
        </w:tc>
        <w:tc>
          <w:tcPr>
            <w:tcW w:w="882" w:type="dxa"/>
            <w:vMerge w:val="continue"/>
            <w:noWrap w:val="0"/>
            <w:vAlign w:val="top"/>
          </w:tcPr>
          <w:p w14:paraId="0ECEB8EB">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966049E">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7A59682">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EF1C08B">
            <w:pPr>
              <w:widowControl/>
              <w:spacing w:line="379" w:lineRule="exact"/>
              <w:ind w:right="-20"/>
              <w:jc w:val="center"/>
              <w:rPr>
                <w:rFonts w:hint="eastAsia" w:ascii="仿宋" w:hAnsi="仿宋" w:eastAsia="仿宋" w:cs="仿宋"/>
                <w:color w:val="000000"/>
                <w:sz w:val="20"/>
                <w:szCs w:val="20"/>
                <w:vertAlign w:val="baseline"/>
              </w:rPr>
            </w:pPr>
          </w:p>
        </w:tc>
      </w:tr>
      <w:tr w14:paraId="322CC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1E34B414">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BF6C22D">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08CFDC71">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69F3E60">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71992254">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HF020403</w:t>
            </w:r>
          </w:p>
        </w:tc>
        <w:tc>
          <w:tcPr>
            <w:tcW w:w="5989" w:type="dxa"/>
            <w:noWrap w:val="0"/>
            <w:vAlign w:val="top"/>
          </w:tcPr>
          <w:p w14:paraId="113DC890">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3、正常运行日炉膛 850℃/2s区一直保持温 度在850℃以上且停留时间不少于2s。存在炉膛温度5分钟均值不达标的每次扣0.5分（生态环境部标记规则豁免的部分除外），提供记录资料不全或不真实的扣2分，系统设置存在重大缺陷或无法提供温度记录资料的扣3分（有电子标记申报成功记录的除外）。</w:t>
            </w:r>
          </w:p>
        </w:tc>
        <w:tc>
          <w:tcPr>
            <w:tcW w:w="882" w:type="dxa"/>
            <w:vMerge w:val="continue"/>
            <w:noWrap w:val="0"/>
            <w:vAlign w:val="top"/>
          </w:tcPr>
          <w:p w14:paraId="7EF5A85C">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DF6CE2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5F004BF">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6F40EFA">
            <w:pPr>
              <w:widowControl/>
              <w:spacing w:line="379" w:lineRule="exact"/>
              <w:ind w:right="-20"/>
              <w:jc w:val="center"/>
              <w:rPr>
                <w:rFonts w:hint="eastAsia" w:ascii="仿宋" w:hAnsi="仿宋" w:eastAsia="仿宋" w:cs="仿宋"/>
                <w:color w:val="000000"/>
                <w:sz w:val="20"/>
                <w:szCs w:val="20"/>
                <w:vertAlign w:val="baseline"/>
              </w:rPr>
            </w:pPr>
          </w:p>
        </w:tc>
      </w:tr>
      <w:tr w14:paraId="1B7EE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1B7DA984">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4CBC45C">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4EEC22D">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08CB95FE">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02BF58E9">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HF020404</w:t>
            </w:r>
          </w:p>
        </w:tc>
        <w:tc>
          <w:tcPr>
            <w:tcW w:w="5989" w:type="dxa"/>
            <w:noWrap w:val="0"/>
            <w:vAlign w:val="top"/>
          </w:tcPr>
          <w:p w14:paraId="23553BD0">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4、安装具有送风、给料量、炉膛温度等自动 控制功能的自动燃烧控制系统（ACC）并保持正常运行。出现低于850℃的情况下未及时 启动的，每次扣1分；有ACC但功能不全或未能实现自动控制功能的扣1分；无ACC的</w:t>
            </w:r>
            <w:r>
              <w:rPr>
                <w:rFonts w:hint="eastAsia" w:ascii="仿宋" w:hAnsi="仿宋" w:eastAsia="仿宋" w:cs="仿宋"/>
                <w:color w:val="000000"/>
                <w:sz w:val="28"/>
                <w:szCs w:val="28"/>
                <w:vertAlign w:val="baseline"/>
                <w:lang w:eastAsia="zh-CN"/>
              </w:rPr>
              <w:t>扣</w:t>
            </w:r>
            <w:r>
              <w:rPr>
                <w:rFonts w:hint="eastAsia" w:ascii="仿宋" w:hAnsi="仿宋" w:eastAsia="仿宋" w:cs="仿宋"/>
                <w:color w:val="000000"/>
                <w:sz w:val="28"/>
                <w:szCs w:val="28"/>
                <w:vertAlign w:val="baseline"/>
                <w:lang w:val="en-US" w:eastAsia="zh-CN"/>
              </w:rPr>
              <w:t>2分。</w:t>
            </w:r>
            <w:r>
              <w:rPr>
                <w:rFonts w:hint="eastAsia" w:ascii="仿宋" w:hAnsi="仿宋" w:eastAsia="仿宋" w:cs="仿宋"/>
                <w:color w:val="000000"/>
                <w:sz w:val="28"/>
                <w:szCs w:val="28"/>
                <w:vertAlign w:val="baseline"/>
              </w:rPr>
              <w:t xml:space="preserve"> </w:t>
            </w:r>
          </w:p>
        </w:tc>
        <w:tc>
          <w:tcPr>
            <w:tcW w:w="882" w:type="dxa"/>
            <w:vMerge w:val="continue"/>
            <w:noWrap w:val="0"/>
            <w:vAlign w:val="top"/>
          </w:tcPr>
          <w:p w14:paraId="28A432E3">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226E36AF">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7360D46C">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A156BD5">
            <w:pPr>
              <w:widowControl/>
              <w:spacing w:line="379" w:lineRule="exact"/>
              <w:ind w:right="-20"/>
              <w:jc w:val="center"/>
              <w:rPr>
                <w:rFonts w:hint="eastAsia" w:ascii="仿宋" w:hAnsi="仿宋" w:eastAsia="仿宋" w:cs="仿宋"/>
                <w:color w:val="000000"/>
                <w:sz w:val="20"/>
                <w:szCs w:val="20"/>
                <w:vertAlign w:val="baseline"/>
              </w:rPr>
            </w:pPr>
          </w:p>
        </w:tc>
      </w:tr>
      <w:tr w14:paraId="3C914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FB21F11">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C012D7E">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7C9C9DD8">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7AB07CCC">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474A39AC">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HF020405</w:t>
            </w:r>
          </w:p>
        </w:tc>
        <w:tc>
          <w:tcPr>
            <w:tcW w:w="5989" w:type="dxa"/>
            <w:noWrap w:val="0"/>
            <w:vAlign w:val="top"/>
          </w:tcPr>
          <w:p w14:paraId="54B68F81">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5、按计划进行停炉检修，检修时启动检修计划，未建立或检修时未启动检修计划的每次扣0.2分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29A86AE9">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3126352D">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71DE97B">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85A65DC">
            <w:pPr>
              <w:widowControl/>
              <w:spacing w:line="379" w:lineRule="exact"/>
              <w:ind w:right="-20"/>
              <w:jc w:val="center"/>
              <w:rPr>
                <w:rFonts w:hint="eastAsia" w:ascii="仿宋" w:hAnsi="仿宋" w:eastAsia="仿宋" w:cs="仿宋"/>
                <w:color w:val="000000"/>
                <w:sz w:val="20"/>
                <w:szCs w:val="20"/>
                <w:vertAlign w:val="baseline"/>
              </w:rPr>
            </w:pPr>
          </w:p>
        </w:tc>
      </w:tr>
      <w:tr w14:paraId="4B991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57664327">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FEB1D51">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840537A">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3D0230E3">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5588A541">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HF020406</w:t>
            </w:r>
          </w:p>
        </w:tc>
        <w:tc>
          <w:tcPr>
            <w:tcW w:w="5989" w:type="dxa"/>
            <w:noWrap w:val="0"/>
            <w:vAlign w:val="top"/>
          </w:tcPr>
          <w:p w14:paraId="182EA1E4">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6、单条焚烧线全年停炉检修次数不超过4次。单条线停炉检修次数（含计划及非计划 停炉）每超过规定一次扣0.2分。</w:t>
            </w:r>
          </w:p>
        </w:tc>
        <w:tc>
          <w:tcPr>
            <w:tcW w:w="882" w:type="dxa"/>
            <w:vMerge w:val="continue"/>
            <w:noWrap w:val="0"/>
            <w:vAlign w:val="top"/>
          </w:tcPr>
          <w:p w14:paraId="6D71880D">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3965CA67">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CD79B06">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586DC13">
            <w:pPr>
              <w:widowControl/>
              <w:spacing w:line="379" w:lineRule="exact"/>
              <w:ind w:right="-20"/>
              <w:jc w:val="center"/>
              <w:rPr>
                <w:rFonts w:hint="eastAsia" w:ascii="仿宋" w:hAnsi="仿宋" w:eastAsia="仿宋" w:cs="仿宋"/>
                <w:color w:val="000000"/>
                <w:sz w:val="20"/>
                <w:szCs w:val="20"/>
                <w:vertAlign w:val="baseline"/>
              </w:rPr>
            </w:pPr>
          </w:p>
        </w:tc>
      </w:tr>
      <w:tr w14:paraId="6BF6F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40E68238">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037FD0E">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D2DC21E">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D0DF30E">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7EB9BA52">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HF020407</w:t>
            </w:r>
          </w:p>
        </w:tc>
        <w:tc>
          <w:tcPr>
            <w:tcW w:w="5989" w:type="dxa"/>
            <w:noWrap w:val="0"/>
            <w:vAlign w:val="top"/>
          </w:tcPr>
          <w:p w14:paraId="4BFCE96D">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7、做好每条焚烧线“烘炉、启炉、停炉、停炉降温、故障、停运”在政府监管网上标记。 缺一项扣0.1分。</w:t>
            </w:r>
          </w:p>
        </w:tc>
        <w:tc>
          <w:tcPr>
            <w:tcW w:w="882" w:type="dxa"/>
            <w:vMerge w:val="continue"/>
            <w:noWrap w:val="0"/>
            <w:vAlign w:val="top"/>
          </w:tcPr>
          <w:p w14:paraId="6EAF3B94">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7C6556C9">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EEA7A39">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70E24BB">
            <w:pPr>
              <w:widowControl/>
              <w:spacing w:line="379" w:lineRule="exact"/>
              <w:ind w:right="-20"/>
              <w:jc w:val="center"/>
              <w:rPr>
                <w:rFonts w:hint="eastAsia" w:ascii="仿宋" w:hAnsi="仿宋" w:eastAsia="仿宋" w:cs="仿宋"/>
                <w:color w:val="000000"/>
                <w:sz w:val="20"/>
                <w:szCs w:val="20"/>
                <w:vertAlign w:val="baseline"/>
              </w:rPr>
            </w:pPr>
          </w:p>
        </w:tc>
      </w:tr>
      <w:tr w14:paraId="3C48B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1EEA86EC">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BF5389D">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7A0B6E2B">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E8E2976">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05B79FDE">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HF020408</w:t>
            </w:r>
          </w:p>
        </w:tc>
        <w:tc>
          <w:tcPr>
            <w:tcW w:w="5989" w:type="dxa"/>
            <w:noWrap w:val="0"/>
            <w:vAlign w:val="top"/>
          </w:tcPr>
          <w:p w14:paraId="729164AD">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8、焚烧炉管理存在问题隐患的其他情形的（需具体说明），视情节轻重，每项次分别扣0.2、0.5、1.0分，扣至考核子项得0分为止。</w:t>
            </w:r>
          </w:p>
        </w:tc>
        <w:tc>
          <w:tcPr>
            <w:tcW w:w="882" w:type="dxa"/>
            <w:vMerge w:val="continue"/>
            <w:noWrap w:val="0"/>
            <w:vAlign w:val="top"/>
          </w:tcPr>
          <w:p w14:paraId="70531D44">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B331DD3">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714E7BCD">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CDFE6BC">
            <w:pPr>
              <w:widowControl/>
              <w:spacing w:line="379" w:lineRule="exact"/>
              <w:ind w:right="-20"/>
              <w:jc w:val="center"/>
              <w:rPr>
                <w:rFonts w:hint="eastAsia" w:ascii="仿宋" w:hAnsi="仿宋" w:eastAsia="仿宋" w:cs="仿宋"/>
                <w:color w:val="000000"/>
                <w:sz w:val="20"/>
                <w:szCs w:val="20"/>
                <w:vertAlign w:val="baseline"/>
              </w:rPr>
            </w:pPr>
          </w:p>
        </w:tc>
      </w:tr>
      <w:tr w14:paraId="111F6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443642DC">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2D3CDAE">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FD99140">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51B60F11">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余热利用 (HF0205) </w:t>
            </w:r>
          </w:p>
          <w:p w14:paraId="0F94A484">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（1 分）</w:t>
            </w:r>
          </w:p>
        </w:tc>
        <w:tc>
          <w:tcPr>
            <w:tcW w:w="1083" w:type="dxa"/>
            <w:noWrap w:val="0"/>
            <w:vAlign w:val="top"/>
          </w:tcPr>
          <w:p w14:paraId="5CA2DBB8">
            <w:pPr>
              <w:widowControl/>
              <w:spacing w:line="379" w:lineRule="exact"/>
              <w:ind w:right="-20"/>
              <w:jc w:val="center"/>
              <w:rPr>
                <w:rFonts w:hint="eastAsia" w:ascii="仿宋" w:hAnsi="仿宋" w:eastAsia="仿宋" w:cs="仿宋"/>
                <w:color w:val="000000"/>
                <w:sz w:val="20"/>
                <w:szCs w:val="20"/>
                <w:vertAlign w:val="baseline"/>
                <w:lang w:val="en-US" w:eastAsia="zh-CN"/>
              </w:rPr>
            </w:pPr>
          </w:p>
          <w:p w14:paraId="7E2FB1E3">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HF020501</w:t>
            </w:r>
          </w:p>
        </w:tc>
        <w:tc>
          <w:tcPr>
            <w:tcW w:w="5989" w:type="dxa"/>
            <w:noWrap w:val="0"/>
            <w:vAlign w:val="top"/>
          </w:tcPr>
          <w:p w14:paraId="071A818B">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1、余热有效利用。热能用于发电的，根据进厂垃圾量折算以每吨上网电量280kWh/t为基数，每低1%扣0.05分（采用插入法）；未实现余热利用的扣1分。</w:t>
            </w:r>
          </w:p>
        </w:tc>
        <w:tc>
          <w:tcPr>
            <w:tcW w:w="882" w:type="dxa"/>
            <w:vMerge w:val="restart"/>
            <w:noWrap w:val="0"/>
            <w:vAlign w:val="top"/>
          </w:tcPr>
          <w:p w14:paraId="12C3DEA2">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查看资料 </w:t>
            </w:r>
          </w:p>
          <w:p w14:paraId="298E4B63">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生产报表</w:t>
            </w:r>
          </w:p>
        </w:tc>
        <w:tc>
          <w:tcPr>
            <w:tcW w:w="1014" w:type="dxa"/>
            <w:noWrap w:val="0"/>
            <w:vAlign w:val="top"/>
          </w:tcPr>
          <w:p w14:paraId="24DF4D17">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6F29ADF2">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96B5795">
            <w:pPr>
              <w:widowControl/>
              <w:spacing w:line="379" w:lineRule="exact"/>
              <w:ind w:right="-20"/>
              <w:jc w:val="center"/>
              <w:rPr>
                <w:rFonts w:hint="eastAsia" w:ascii="仿宋" w:hAnsi="仿宋" w:eastAsia="仿宋" w:cs="仿宋"/>
                <w:color w:val="000000"/>
                <w:sz w:val="20"/>
                <w:szCs w:val="20"/>
                <w:vertAlign w:val="baseline"/>
              </w:rPr>
            </w:pPr>
          </w:p>
        </w:tc>
      </w:tr>
      <w:tr w14:paraId="796E0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5F50D9E9">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2F4407CE">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955588A">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793797E5">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49892CBD">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HF020502</w:t>
            </w:r>
          </w:p>
        </w:tc>
        <w:tc>
          <w:tcPr>
            <w:tcW w:w="5989" w:type="dxa"/>
            <w:noWrap w:val="0"/>
            <w:vAlign w:val="top"/>
          </w:tcPr>
          <w:p w14:paraId="75697EFC">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 xml:space="preserve">2、余热利用存在问题隐患的其他情形的（需具体说明），视情节轻重，每项次分别扣0.1、0.2、0.5分，扣至考核子项得0分为止。 </w:t>
            </w:r>
          </w:p>
        </w:tc>
        <w:tc>
          <w:tcPr>
            <w:tcW w:w="882" w:type="dxa"/>
            <w:vMerge w:val="continue"/>
            <w:noWrap w:val="0"/>
            <w:vAlign w:val="top"/>
          </w:tcPr>
          <w:p w14:paraId="0A3C09DF">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7E20ADB">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06F8683">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4A73F6F">
            <w:pPr>
              <w:widowControl/>
              <w:spacing w:line="379" w:lineRule="exact"/>
              <w:ind w:right="-20"/>
              <w:jc w:val="center"/>
              <w:rPr>
                <w:rFonts w:hint="eastAsia" w:ascii="仿宋" w:hAnsi="仿宋" w:eastAsia="仿宋" w:cs="仿宋"/>
                <w:color w:val="000000"/>
                <w:sz w:val="20"/>
                <w:szCs w:val="20"/>
                <w:vertAlign w:val="baseline"/>
              </w:rPr>
            </w:pPr>
          </w:p>
        </w:tc>
      </w:tr>
      <w:tr w14:paraId="5DEE1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5D353D2D">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6097817">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9DC44F1">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79797745">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仪表设备 (HF0206) </w:t>
            </w:r>
          </w:p>
          <w:p w14:paraId="691F2B7A">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（4 分） </w:t>
            </w:r>
          </w:p>
        </w:tc>
        <w:tc>
          <w:tcPr>
            <w:tcW w:w="1083" w:type="dxa"/>
            <w:noWrap w:val="0"/>
            <w:vAlign w:val="top"/>
          </w:tcPr>
          <w:p w14:paraId="7339E834">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HF020601</w:t>
            </w:r>
          </w:p>
        </w:tc>
        <w:tc>
          <w:tcPr>
            <w:tcW w:w="5989" w:type="dxa"/>
            <w:noWrap w:val="0"/>
            <w:vAlign w:val="top"/>
          </w:tcPr>
          <w:p w14:paraId="3AA9AE5F">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1、按规定做好各类仪表设备的检验校准、保养、校验、更换工作，并做好记录台账，保证各设备正常使用、仪表设备表面保持清洁、标识齐全清晰。存在问题的每</w:t>
            </w:r>
            <w:r>
              <w:rPr>
                <w:rFonts w:hint="eastAsia" w:ascii="仿宋" w:hAnsi="仿宋" w:eastAsia="仿宋" w:cs="仿宋"/>
                <w:color w:val="000000"/>
                <w:sz w:val="28"/>
                <w:szCs w:val="28"/>
                <w:vertAlign w:val="baseline"/>
                <w:lang w:eastAsia="zh-CN"/>
              </w:rPr>
              <w:t>项</w:t>
            </w:r>
            <w:r>
              <w:rPr>
                <w:rFonts w:hint="eastAsia" w:ascii="仿宋" w:hAnsi="仿宋" w:eastAsia="仿宋" w:cs="仿宋"/>
                <w:color w:val="000000"/>
                <w:sz w:val="28"/>
                <w:szCs w:val="28"/>
                <w:vertAlign w:val="baseline"/>
              </w:rPr>
              <w:t>处扣0.2</w:t>
            </w:r>
            <w:r>
              <w:rPr>
                <w:rFonts w:hint="eastAsia" w:ascii="仿宋" w:hAnsi="仿宋" w:eastAsia="仿宋" w:cs="仿宋"/>
                <w:color w:val="000000"/>
                <w:sz w:val="28"/>
                <w:szCs w:val="28"/>
                <w:vertAlign w:val="baseline"/>
                <w:lang w:eastAsia="zh-CN"/>
              </w:rPr>
              <w:t>、</w:t>
            </w:r>
            <w:r>
              <w:rPr>
                <w:rFonts w:hint="eastAsia" w:ascii="仿宋" w:hAnsi="仿宋" w:eastAsia="仿宋" w:cs="仿宋"/>
                <w:color w:val="000000"/>
                <w:sz w:val="28"/>
                <w:szCs w:val="28"/>
                <w:vertAlign w:val="baseline"/>
                <w:lang w:val="en-US" w:eastAsia="zh-CN"/>
              </w:rPr>
              <w:t>0.</w:t>
            </w:r>
            <w:r>
              <w:rPr>
                <w:rFonts w:hint="eastAsia" w:ascii="仿宋" w:hAnsi="仿宋" w:eastAsia="仿宋" w:cs="仿宋"/>
                <w:color w:val="000000"/>
                <w:sz w:val="28"/>
                <w:szCs w:val="28"/>
                <w:vertAlign w:val="baseline"/>
              </w:rPr>
              <w:t>5 分</w:t>
            </w:r>
            <w:r>
              <w:rPr>
                <w:rFonts w:hint="eastAsia" w:ascii="仿宋" w:hAnsi="仿宋" w:eastAsia="仿宋" w:cs="仿宋"/>
                <w:color w:val="000000"/>
                <w:sz w:val="28"/>
                <w:szCs w:val="28"/>
                <w:vertAlign w:val="baseline"/>
                <w:lang w:eastAsia="zh-CN"/>
              </w:rPr>
              <w:t>，扣至考核子项得0分为止。</w:t>
            </w:r>
          </w:p>
        </w:tc>
        <w:tc>
          <w:tcPr>
            <w:tcW w:w="882" w:type="dxa"/>
            <w:vMerge w:val="restart"/>
            <w:noWrap w:val="0"/>
            <w:vAlign w:val="top"/>
          </w:tcPr>
          <w:p w14:paraId="68DA682E">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查阅设备 及备品备 件等台 帐，现场 检查。 </w:t>
            </w:r>
          </w:p>
        </w:tc>
        <w:tc>
          <w:tcPr>
            <w:tcW w:w="1014" w:type="dxa"/>
            <w:noWrap w:val="0"/>
            <w:vAlign w:val="top"/>
          </w:tcPr>
          <w:p w14:paraId="33C841DB">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8234F25">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0F7AE3C">
            <w:pPr>
              <w:widowControl/>
              <w:spacing w:line="379" w:lineRule="exact"/>
              <w:ind w:right="-20"/>
              <w:jc w:val="center"/>
              <w:rPr>
                <w:rFonts w:hint="eastAsia" w:ascii="仿宋" w:hAnsi="仿宋" w:eastAsia="仿宋" w:cs="仿宋"/>
                <w:color w:val="000000"/>
                <w:sz w:val="20"/>
                <w:szCs w:val="20"/>
                <w:vertAlign w:val="baseline"/>
              </w:rPr>
            </w:pPr>
          </w:p>
        </w:tc>
      </w:tr>
      <w:tr w14:paraId="4C34D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33A2A3C8">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9E0B36D">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B2546C2">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13AA1AF8">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2AB77DF4">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HF020602</w:t>
            </w:r>
          </w:p>
        </w:tc>
        <w:tc>
          <w:tcPr>
            <w:tcW w:w="5989" w:type="dxa"/>
            <w:noWrap w:val="0"/>
            <w:vAlign w:val="top"/>
          </w:tcPr>
          <w:p w14:paraId="4099A5CA">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2、特种设备、压力容器应按期进行检验。未按期检验的，每处扣0.5分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3E6CBDF6">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0CE911E7">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16B96A1">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A645161">
            <w:pPr>
              <w:widowControl/>
              <w:spacing w:line="379" w:lineRule="exact"/>
              <w:ind w:right="-20"/>
              <w:jc w:val="center"/>
              <w:rPr>
                <w:rFonts w:hint="eastAsia" w:ascii="仿宋" w:hAnsi="仿宋" w:eastAsia="仿宋" w:cs="仿宋"/>
                <w:color w:val="000000"/>
                <w:sz w:val="20"/>
                <w:szCs w:val="20"/>
                <w:vertAlign w:val="baseline"/>
              </w:rPr>
            </w:pPr>
          </w:p>
        </w:tc>
      </w:tr>
      <w:tr w14:paraId="77F13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51A694C8">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DF1999B">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6609FDF">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D540D3F">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1B25C54C">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HF020603</w:t>
            </w:r>
          </w:p>
        </w:tc>
        <w:tc>
          <w:tcPr>
            <w:tcW w:w="5989" w:type="dxa"/>
            <w:noWrap w:val="0"/>
            <w:vAlign w:val="top"/>
          </w:tcPr>
          <w:p w14:paraId="2AFD4C1B">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3、仪表设备存在问题隐患的其他情形的（需 具体说明），视情节轻重，每项次分别扣0.2、0.5、1分，扣至考核子项得0分为止。</w:t>
            </w:r>
          </w:p>
        </w:tc>
        <w:tc>
          <w:tcPr>
            <w:tcW w:w="882" w:type="dxa"/>
            <w:vMerge w:val="continue"/>
            <w:noWrap w:val="0"/>
            <w:vAlign w:val="top"/>
          </w:tcPr>
          <w:p w14:paraId="02A65A55">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34A45AB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4DE5C33">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F0C6A3B">
            <w:pPr>
              <w:widowControl/>
              <w:spacing w:line="379" w:lineRule="exact"/>
              <w:ind w:right="-20"/>
              <w:jc w:val="center"/>
              <w:rPr>
                <w:rFonts w:hint="eastAsia" w:ascii="仿宋" w:hAnsi="仿宋" w:eastAsia="仿宋" w:cs="仿宋"/>
                <w:color w:val="000000"/>
                <w:sz w:val="20"/>
                <w:szCs w:val="20"/>
                <w:vertAlign w:val="baseline"/>
              </w:rPr>
            </w:pPr>
          </w:p>
        </w:tc>
      </w:tr>
      <w:tr w14:paraId="4F223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3CBCD874">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20B280D8">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71268922">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07320612">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焚烧效果 (HF0207) </w:t>
            </w:r>
          </w:p>
          <w:p w14:paraId="142B373D">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（4 分） </w:t>
            </w:r>
          </w:p>
        </w:tc>
        <w:tc>
          <w:tcPr>
            <w:tcW w:w="1083" w:type="dxa"/>
            <w:noWrap w:val="0"/>
            <w:vAlign w:val="top"/>
          </w:tcPr>
          <w:p w14:paraId="6A62E31A">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HF020701</w:t>
            </w:r>
          </w:p>
        </w:tc>
        <w:tc>
          <w:tcPr>
            <w:tcW w:w="5989" w:type="dxa"/>
            <w:noWrap w:val="0"/>
            <w:vAlign w:val="top"/>
          </w:tcPr>
          <w:p w14:paraId="07E2B108">
            <w:pPr>
              <w:widowControl/>
              <w:spacing w:line="379" w:lineRule="exact"/>
              <w:ind w:right="-20"/>
              <w:jc w:val="both"/>
              <w:rPr>
                <w:rFonts w:hint="eastAsia" w:ascii="仿宋" w:hAnsi="仿宋" w:eastAsia="仿宋" w:cs="仿宋"/>
                <w:color w:val="000000"/>
                <w:sz w:val="28"/>
                <w:szCs w:val="28"/>
                <w:vertAlign w:val="baseline"/>
                <w:lang w:val="en-US" w:eastAsia="zh-CN"/>
              </w:rPr>
            </w:pPr>
            <w:r>
              <w:rPr>
                <w:rFonts w:hint="eastAsia" w:ascii="仿宋" w:hAnsi="仿宋" w:eastAsia="仿宋" w:cs="仿宋"/>
                <w:color w:val="000000"/>
                <w:sz w:val="28"/>
                <w:szCs w:val="28"/>
                <w:vertAlign w:val="baseline"/>
              </w:rPr>
              <w:t>1、</w:t>
            </w:r>
            <w:r>
              <w:rPr>
                <w:rFonts w:hint="eastAsia" w:ascii="仿宋" w:hAnsi="仿宋" w:eastAsia="仿宋" w:cs="仿宋"/>
                <w:color w:val="000000"/>
                <w:sz w:val="28"/>
                <w:szCs w:val="28"/>
                <w:highlight w:val="none"/>
                <w:vertAlign w:val="baseline"/>
              </w:rPr>
              <w:t>每周</w:t>
            </w:r>
            <w:r>
              <w:rPr>
                <w:rFonts w:hint="eastAsia" w:ascii="仿宋" w:hAnsi="仿宋" w:eastAsia="仿宋" w:cs="仿宋"/>
                <w:color w:val="000000"/>
                <w:sz w:val="28"/>
                <w:szCs w:val="28"/>
                <w:vertAlign w:val="baseline"/>
              </w:rPr>
              <w:t>至少自行监测1次炉渣热灼减率，每周平均热灼减率不大于3%。未达按月检测频次的扣2分，未委托的扣4分</w:t>
            </w:r>
            <w:r>
              <w:rPr>
                <w:rFonts w:hint="eastAsia" w:ascii="仿宋" w:hAnsi="仿宋" w:eastAsia="仿宋" w:cs="仿宋"/>
                <w:color w:val="000000"/>
                <w:sz w:val="28"/>
                <w:szCs w:val="28"/>
                <w:vertAlign w:val="baseline"/>
                <w:lang w:eastAsia="zh-CN"/>
              </w:rPr>
              <w:t>。</w:t>
            </w:r>
          </w:p>
        </w:tc>
        <w:tc>
          <w:tcPr>
            <w:tcW w:w="882" w:type="dxa"/>
            <w:vMerge w:val="restart"/>
            <w:noWrap w:val="0"/>
            <w:vAlign w:val="top"/>
          </w:tcPr>
          <w:p w14:paraId="21CCA493">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查看资料现场检查 </w:t>
            </w:r>
          </w:p>
        </w:tc>
        <w:tc>
          <w:tcPr>
            <w:tcW w:w="1014" w:type="dxa"/>
            <w:noWrap w:val="0"/>
            <w:vAlign w:val="top"/>
          </w:tcPr>
          <w:p w14:paraId="2343F757">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79BC150">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46A99B3">
            <w:pPr>
              <w:widowControl/>
              <w:spacing w:line="379" w:lineRule="exact"/>
              <w:ind w:right="-20"/>
              <w:jc w:val="center"/>
              <w:rPr>
                <w:rFonts w:hint="eastAsia" w:ascii="仿宋" w:hAnsi="仿宋" w:eastAsia="仿宋" w:cs="仿宋"/>
                <w:color w:val="000000"/>
                <w:sz w:val="20"/>
                <w:szCs w:val="20"/>
                <w:vertAlign w:val="baseline"/>
              </w:rPr>
            </w:pPr>
          </w:p>
        </w:tc>
      </w:tr>
      <w:tr w14:paraId="2FDE7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6DA33F8C">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E96B476">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6697503">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40F929B3">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6655D56A">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HF020702</w:t>
            </w:r>
          </w:p>
        </w:tc>
        <w:tc>
          <w:tcPr>
            <w:tcW w:w="5989" w:type="dxa"/>
            <w:noWrap w:val="0"/>
            <w:vAlign w:val="top"/>
          </w:tcPr>
          <w:p w14:paraId="4304EBD3">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2、自行监测热灼减率频次不够的扣2分；炉渣取样不规范的扣0.5分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47336AED">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3DD8F39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53BF728">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87487F7">
            <w:pPr>
              <w:widowControl/>
              <w:spacing w:line="379" w:lineRule="exact"/>
              <w:ind w:right="-20"/>
              <w:jc w:val="center"/>
              <w:rPr>
                <w:rFonts w:hint="eastAsia" w:ascii="仿宋" w:hAnsi="仿宋" w:eastAsia="仿宋" w:cs="仿宋"/>
                <w:color w:val="000000"/>
                <w:sz w:val="20"/>
                <w:szCs w:val="20"/>
                <w:vertAlign w:val="baseline"/>
              </w:rPr>
            </w:pPr>
          </w:p>
        </w:tc>
      </w:tr>
      <w:tr w14:paraId="78B8A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47881E2E">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E44CBAE">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4CC59F6">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A9D4785">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3A538CA4">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HF020703</w:t>
            </w:r>
          </w:p>
        </w:tc>
        <w:tc>
          <w:tcPr>
            <w:tcW w:w="5989" w:type="dxa"/>
            <w:noWrap w:val="0"/>
            <w:vAlign w:val="top"/>
          </w:tcPr>
          <w:p w14:paraId="5731A5A6">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3、热灼减率监测结果：单炉超过3%每炉每次扣0.5分，当月平均值超3%但不超5%扣0.5分，超5%扣1分；现场查看有明显生渣扣1-2分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2F2D35C6">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09BC9DF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19B96BF">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4DD4941">
            <w:pPr>
              <w:widowControl/>
              <w:spacing w:line="379" w:lineRule="exact"/>
              <w:ind w:right="-20"/>
              <w:jc w:val="center"/>
              <w:rPr>
                <w:rFonts w:hint="eastAsia" w:ascii="仿宋" w:hAnsi="仿宋" w:eastAsia="仿宋" w:cs="仿宋"/>
                <w:color w:val="000000"/>
                <w:sz w:val="20"/>
                <w:szCs w:val="20"/>
                <w:vertAlign w:val="baseline"/>
              </w:rPr>
            </w:pPr>
          </w:p>
        </w:tc>
      </w:tr>
      <w:tr w14:paraId="5F061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4654F6A2">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149EDEC">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462D08D4">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FC7F0F1">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12158CFB">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HF020704</w:t>
            </w:r>
          </w:p>
        </w:tc>
        <w:tc>
          <w:tcPr>
            <w:tcW w:w="5989" w:type="dxa"/>
            <w:noWrap w:val="0"/>
            <w:vAlign w:val="top"/>
          </w:tcPr>
          <w:p w14:paraId="2DE5137E">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 xml:space="preserve">4、影响焚烧效果的其他情形，视情节轻重， 每项次分别扣0.2、0.5、1.0分，扣至考核子项得0分为止。 </w:t>
            </w:r>
          </w:p>
        </w:tc>
        <w:tc>
          <w:tcPr>
            <w:tcW w:w="882" w:type="dxa"/>
            <w:vMerge w:val="continue"/>
            <w:noWrap w:val="0"/>
            <w:vAlign w:val="top"/>
          </w:tcPr>
          <w:p w14:paraId="7ECC21E7">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6783AEA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63865748">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874B12B">
            <w:pPr>
              <w:widowControl/>
              <w:spacing w:line="379" w:lineRule="exact"/>
              <w:ind w:right="-20"/>
              <w:jc w:val="center"/>
              <w:rPr>
                <w:rFonts w:hint="eastAsia" w:ascii="仿宋" w:hAnsi="仿宋" w:eastAsia="仿宋" w:cs="仿宋"/>
                <w:color w:val="000000"/>
                <w:sz w:val="20"/>
                <w:szCs w:val="20"/>
                <w:vertAlign w:val="baseline"/>
              </w:rPr>
            </w:pPr>
          </w:p>
        </w:tc>
      </w:tr>
      <w:tr w14:paraId="4892A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restart"/>
            <w:noWrap w:val="0"/>
            <w:vAlign w:val="top"/>
          </w:tcPr>
          <w:p w14:paraId="0F397FD3">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3</w:t>
            </w:r>
          </w:p>
        </w:tc>
        <w:tc>
          <w:tcPr>
            <w:tcW w:w="1245" w:type="dxa"/>
            <w:vMerge w:val="restart"/>
            <w:noWrap w:val="0"/>
            <w:vAlign w:val="top"/>
          </w:tcPr>
          <w:p w14:paraId="5E783AF0">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污染控制 (HF03) </w:t>
            </w:r>
          </w:p>
        </w:tc>
        <w:tc>
          <w:tcPr>
            <w:tcW w:w="638" w:type="dxa"/>
            <w:vMerge w:val="restart"/>
            <w:noWrap w:val="0"/>
            <w:vAlign w:val="top"/>
          </w:tcPr>
          <w:p w14:paraId="371E0C0C">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36分</w:t>
            </w:r>
          </w:p>
        </w:tc>
        <w:tc>
          <w:tcPr>
            <w:tcW w:w="998" w:type="dxa"/>
            <w:vMerge w:val="restart"/>
            <w:noWrap w:val="0"/>
            <w:vAlign w:val="top"/>
          </w:tcPr>
          <w:p w14:paraId="0CB88659">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环境监测 (HF0301) </w:t>
            </w:r>
          </w:p>
          <w:p w14:paraId="38C9DDC1">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（3 分）</w:t>
            </w:r>
          </w:p>
        </w:tc>
        <w:tc>
          <w:tcPr>
            <w:tcW w:w="1083" w:type="dxa"/>
            <w:noWrap w:val="0"/>
            <w:vAlign w:val="top"/>
          </w:tcPr>
          <w:p w14:paraId="51477FDD">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HF030101</w:t>
            </w:r>
          </w:p>
        </w:tc>
        <w:tc>
          <w:tcPr>
            <w:tcW w:w="5989" w:type="dxa"/>
            <w:noWrap w:val="0"/>
            <w:vAlign w:val="top"/>
          </w:tcPr>
          <w:p w14:paraId="68983771">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按规定制定各项污染排放指标监测计划（监测周期满足相关标准及排污许可证要求），并进行公开、按时委托有资质单位进行监测。未公开的扣1分、监测项目不全或监测周期超过规定的扣1分，无监测计划或未委托有资质单位监测的扣2分。</w:t>
            </w:r>
          </w:p>
        </w:tc>
        <w:tc>
          <w:tcPr>
            <w:tcW w:w="882" w:type="dxa"/>
            <w:vMerge w:val="restart"/>
            <w:noWrap w:val="0"/>
            <w:vAlign w:val="top"/>
          </w:tcPr>
          <w:p w14:paraId="07A2091F">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查委托监 测协议、 监测计 划、台帐 及报告， 现场检 查。 </w:t>
            </w:r>
          </w:p>
        </w:tc>
        <w:tc>
          <w:tcPr>
            <w:tcW w:w="1014" w:type="dxa"/>
            <w:noWrap w:val="0"/>
            <w:vAlign w:val="top"/>
          </w:tcPr>
          <w:p w14:paraId="0CCB863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3F0C99E">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41F65FD">
            <w:pPr>
              <w:widowControl/>
              <w:spacing w:line="379" w:lineRule="exact"/>
              <w:ind w:right="-20"/>
              <w:jc w:val="center"/>
              <w:rPr>
                <w:rFonts w:hint="eastAsia" w:ascii="仿宋" w:hAnsi="仿宋" w:eastAsia="仿宋" w:cs="仿宋"/>
                <w:color w:val="000000"/>
                <w:sz w:val="20"/>
                <w:szCs w:val="20"/>
                <w:vertAlign w:val="baseline"/>
              </w:rPr>
            </w:pPr>
          </w:p>
        </w:tc>
      </w:tr>
      <w:tr w14:paraId="12294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10294DD2">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8C16737">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A3957C5">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B7B6906">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2E268040">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HF030102</w:t>
            </w:r>
          </w:p>
        </w:tc>
        <w:tc>
          <w:tcPr>
            <w:tcW w:w="5989" w:type="dxa"/>
            <w:noWrap w:val="0"/>
            <w:vAlign w:val="top"/>
          </w:tcPr>
          <w:p w14:paraId="3A0271F0">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2、监测仪器配置到位、化验人员配备合理且持证上岗。必要的监测仪器配置不足的扣 0.5分，化验人员配备不足或未持证上岗的扣0.5分。</w:t>
            </w:r>
          </w:p>
        </w:tc>
        <w:tc>
          <w:tcPr>
            <w:tcW w:w="882" w:type="dxa"/>
            <w:vMerge w:val="continue"/>
            <w:noWrap w:val="0"/>
            <w:vAlign w:val="top"/>
          </w:tcPr>
          <w:p w14:paraId="28D563B6">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BE6A204">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5140CF4">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F120F9F">
            <w:pPr>
              <w:widowControl/>
              <w:spacing w:line="379" w:lineRule="exact"/>
              <w:ind w:right="-20"/>
              <w:jc w:val="center"/>
              <w:rPr>
                <w:rFonts w:hint="eastAsia" w:ascii="仿宋" w:hAnsi="仿宋" w:eastAsia="仿宋" w:cs="仿宋"/>
                <w:color w:val="000000"/>
                <w:sz w:val="20"/>
                <w:szCs w:val="20"/>
                <w:vertAlign w:val="baseline"/>
              </w:rPr>
            </w:pPr>
          </w:p>
        </w:tc>
      </w:tr>
      <w:tr w14:paraId="1539F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38401ABD">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9BAF127">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75806B0">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A5FBA66">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679ABBB0">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HF030103</w:t>
            </w:r>
          </w:p>
        </w:tc>
        <w:tc>
          <w:tcPr>
            <w:tcW w:w="5989" w:type="dxa"/>
            <w:noWrap w:val="0"/>
            <w:vAlign w:val="top"/>
          </w:tcPr>
          <w:p w14:paraId="45ADBC34">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3、环境监测存在其他问题的情形，视情节轻 重，每项次分别扣0.1、0.2、0.5分，扣至考核子项得0分为止。</w:t>
            </w:r>
          </w:p>
        </w:tc>
        <w:tc>
          <w:tcPr>
            <w:tcW w:w="882" w:type="dxa"/>
            <w:vMerge w:val="continue"/>
            <w:noWrap w:val="0"/>
            <w:vAlign w:val="top"/>
          </w:tcPr>
          <w:p w14:paraId="43403D95">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E6852F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68E9871">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FDD625E">
            <w:pPr>
              <w:widowControl/>
              <w:spacing w:line="379" w:lineRule="exact"/>
              <w:ind w:right="-20"/>
              <w:jc w:val="center"/>
              <w:rPr>
                <w:rFonts w:hint="eastAsia" w:ascii="仿宋" w:hAnsi="仿宋" w:eastAsia="仿宋" w:cs="仿宋"/>
                <w:color w:val="000000"/>
                <w:sz w:val="20"/>
                <w:szCs w:val="20"/>
                <w:vertAlign w:val="baseline"/>
              </w:rPr>
            </w:pPr>
          </w:p>
        </w:tc>
      </w:tr>
      <w:tr w14:paraId="1BAD9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0F992AC8">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3643BB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E78845B">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2468F0DA">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恶臭控制 (HF0302) </w:t>
            </w:r>
          </w:p>
          <w:p w14:paraId="5A1FF7D4">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（2 分）</w:t>
            </w:r>
          </w:p>
        </w:tc>
        <w:tc>
          <w:tcPr>
            <w:tcW w:w="1083" w:type="dxa"/>
            <w:noWrap w:val="0"/>
            <w:vAlign w:val="top"/>
          </w:tcPr>
          <w:p w14:paraId="257EDC15">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HF030201</w:t>
            </w:r>
          </w:p>
        </w:tc>
        <w:tc>
          <w:tcPr>
            <w:tcW w:w="5989" w:type="dxa"/>
            <w:noWrap w:val="0"/>
            <w:vAlign w:val="top"/>
          </w:tcPr>
          <w:p w14:paraId="1D2DB02E">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1、垃圾贮坑、渗沥液贮存池、螯合飞灰暂存间等恶臭源密封、采用负压机械收集处置措施、进出卸料大厅设置有效隔离措施。未达到的每项扣0.2分。</w:t>
            </w:r>
          </w:p>
        </w:tc>
        <w:tc>
          <w:tcPr>
            <w:tcW w:w="882" w:type="dxa"/>
            <w:vMerge w:val="restart"/>
            <w:noWrap w:val="0"/>
            <w:vAlign w:val="top"/>
          </w:tcPr>
          <w:p w14:paraId="215CB0B2">
            <w:pPr>
              <w:widowControl/>
              <w:spacing w:line="379" w:lineRule="exact"/>
              <w:ind w:right="-20"/>
              <w:jc w:val="center"/>
              <w:rPr>
                <w:rFonts w:hint="eastAsia" w:ascii="仿宋" w:hAnsi="仿宋" w:eastAsia="仿宋" w:cs="仿宋"/>
                <w:color w:val="000000"/>
                <w:sz w:val="20"/>
                <w:szCs w:val="20"/>
                <w:vertAlign w:val="baseline"/>
              </w:rPr>
            </w:pPr>
          </w:p>
          <w:p w14:paraId="006431F0">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查看资料 </w:t>
            </w:r>
          </w:p>
          <w:p w14:paraId="21FCA51C">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现场检查</w:t>
            </w:r>
          </w:p>
        </w:tc>
        <w:tc>
          <w:tcPr>
            <w:tcW w:w="1014" w:type="dxa"/>
            <w:noWrap w:val="0"/>
            <w:vAlign w:val="top"/>
          </w:tcPr>
          <w:p w14:paraId="4F3B1B35">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B2E4C1D">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F0ED141">
            <w:pPr>
              <w:widowControl/>
              <w:spacing w:line="379" w:lineRule="exact"/>
              <w:ind w:right="-20"/>
              <w:jc w:val="center"/>
              <w:rPr>
                <w:rFonts w:hint="eastAsia" w:ascii="仿宋" w:hAnsi="仿宋" w:eastAsia="仿宋" w:cs="仿宋"/>
                <w:color w:val="000000"/>
                <w:sz w:val="20"/>
                <w:szCs w:val="20"/>
                <w:vertAlign w:val="baseline"/>
              </w:rPr>
            </w:pPr>
          </w:p>
        </w:tc>
      </w:tr>
      <w:tr w14:paraId="0D9C0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01ACA947">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1EF954C">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0DE8DD80">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11146EB2">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23DABC32">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HF030202</w:t>
            </w:r>
          </w:p>
        </w:tc>
        <w:tc>
          <w:tcPr>
            <w:tcW w:w="5989" w:type="dxa"/>
            <w:noWrap w:val="0"/>
            <w:vAlign w:val="top"/>
          </w:tcPr>
          <w:p w14:paraId="28AA36FA">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2、有独立应急除臭设施并能正常运行。有设施但除臭效果不满足排污许可证要求的扣 0.5分，无设施或除臭无效的扣1分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0E03CF7B">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D437BF4">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21293E8">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1C2C876">
            <w:pPr>
              <w:widowControl/>
              <w:spacing w:line="379" w:lineRule="exact"/>
              <w:ind w:right="-20"/>
              <w:jc w:val="center"/>
              <w:rPr>
                <w:rFonts w:hint="eastAsia" w:ascii="仿宋" w:hAnsi="仿宋" w:eastAsia="仿宋" w:cs="仿宋"/>
                <w:color w:val="000000"/>
                <w:sz w:val="20"/>
                <w:szCs w:val="20"/>
                <w:vertAlign w:val="baseline"/>
              </w:rPr>
            </w:pPr>
          </w:p>
        </w:tc>
      </w:tr>
      <w:tr w14:paraId="4CAEF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48C508E1">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1F96CAB">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B6B6CD6">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448BCC66">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4BACF1FB">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HF030203</w:t>
            </w:r>
          </w:p>
        </w:tc>
        <w:tc>
          <w:tcPr>
            <w:tcW w:w="5989" w:type="dxa"/>
            <w:noWrap w:val="0"/>
            <w:vAlign w:val="top"/>
          </w:tcPr>
          <w:p w14:paraId="662926FF">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3、厂区道路、参观走廊通道、等处有异味的，每处扣1分；厂区周界有明显异味的（其他企业影响除外），扣2分。扣至考核子项得0分为止。</w:t>
            </w:r>
          </w:p>
        </w:tc>
        <w:tc>
          <w:tcPr>
            <w:tcW w:w="882" w:type="dxa"/>
            <w:vMerge w:val="continue"/>
            <w:noWrap w:val="0"/>
            <w:vAlign w:val="top"/>
          </w:tcPr>
          <w:p w14:paraId="792AE2AC">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6716DC6F">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04C464D">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0A1509D">
            <w:pPr>
              <w:widowControl/>
              <w:spacing w:line="379" w:lineRule="exact"/>
              <w:ind w:right="-20"/>
              <w:jc w:val="center"/>
              <w:rPr>
                <w:rFonts w:hint="eastAsia" w:ascii="仿宋" w:hAnsi="仿宋" w:eastAsia="仿宋" w:cs="仿宋"/>
                <w:color w:val="000000"/>
                <w:sz w:val="20"/>
                <w:szCs w:val="20"/>
                <w:vertAlign w:val="baseline"/>
              </w:rPr>
            </w:pPr>
          </w:p>
        </w:tc>
      </w:tr>
      <w:tr w14:paraId="0FE4D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1869357">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D23F41F">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487119B">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4E331E33">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65981F6A">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HF030204</w:t>
            </w:r>
          </w:p>
        </w:tc>
        <w:tc>
          <w:tcPr>
            <w:tcW w:w="5989" w:type="dxa"/>
            <w:noWrap w:val="0"/>
            <w:vAlign w:val="top"/>
          </w:tcPr>
          <w:p w14:paraId="20352550">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4、恶臭控制不到位的其他情形，视情节轻重，每项次分别扣0.2、0.5、1.0分，扣至考核子项得0分为止。</w:t>
            </w:r>
          </w:p>
        </w:tc>
        <w:tc>
          <w:tcPr>
            <w:tcW w:w="882" w:type="dxa"/>
            <w:vMerge w:val="continue"/>
            <w:noWrap w:val="0"/>
            <w:vAlign w:val="top"/>
          </w:tcPr>
          <w:p w14:paraId="3CA39F0D">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246C133C">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6DDAA006">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1E51949">
            <w:pPr>
              <w:widowControl/>
              <w:spacing w:line="379" w:lineRule="exact"/>
              <w:ind w:right="-20"/>
              <w:jc w:val="center"/>
              <w:rPr>
                <w:rFonts w:hint="eastAsia" w:ascii="仿宋" w:hAnsi="仿宋" w:eastAsia="仿宋" w:cs="仿宋"/>
                <w:color w:val="000000"/>
                <w:sz w:val="20"/>
                <w:szCs w:val="20"/>
                <w:vertAlign w:val="baseline"/>
              </w:rPr>
            </w:pPr>
          </w:p>
        </w:tc>
      </w:tr>
      <w:tr w14:paraId="0AFB7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56C7238A">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4E7E74B2">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90C518A">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3D4386BB">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烟气处理 (HF0303) （9分）</w:t>
            </w:r>
          </w:p>
        </w:tc>
        <w:tc>
          <w:tcPr>
            <w:tcW w:w="1083" w:type="dxa"/>
            <w:noWrap w:val="0"/>
            <w:vAlign w:val="top"/>
          </w:tcPr>
          <w:p w14:paraId="7A4A67BA">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HF030301</w:t>
            </w:r>
          </w:p>
        </w:tc>
        <w:tc>
          <w:tcPr>
            <w:tcW w:w="5989" w:type="dxa"/>
            <w:noWrap w:val="0"/>
            <w:vAlign w:val="top"/>
          </w:tcPr>
          <w:p w14:paraId="77BC47F8">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1、建有脱硝、脱酸、活性炭喷射、袋式除尘等烟气处理净化系统并保持正常运行。运行不稳定且未采取有效措施的每项扣0.5分，每缺一项系统扣1分。</w:t>
            </w:r>
          </w:p>
        </w:tc>
        <w:tc>
          <w:tcPr>
            <w:tcW w:w="882" w:type="dxa"/>
            <w:vMerge w:val="restart"/>
            <w:noWrap w:val="0"/>
            <w:vAlign w:val="top"/>
          </w:tcPr>
          <w:p w14:paraId="2573E13B">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查设备运行台帐、故障记录、监测数据、校 核报告及现场检查。</w:t>
            </w:r>
          </w:p>
        </w:tc>
        <w:tc>
          <w:tcPr>
            <w:tcW w:w="1014" w:type="dxa"/>
            <w:noWrap w:val="0"/>
            <w:vAlign w:val="top"/>
          </w:tcPr>
          <w:p w14:paraId="107CFCBA">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6557506">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A96A997">
            <w:pPr>
              <w:widowControl/>
              <w:spacing w:line="379" w:lineRule="exact"/>
              <w:ind w:right="-20"/>
              <w:jc w:val="center"/>
              <w:rPr>
                <w:rFonts w:hint="eastAsia" w:ascii="仿宋" w:hAnsi="仿宋" w:eastAsia="仿宋" w:cs="仿宋"/>
                <w:color w:val="000000"/>
                <w:sz w:val="20"/>
                <w:szCs w:val="20"/>
                <w:vertAlign w:val="baseline"/>
              </w:rPr>
            </w:pPr>
          </w:p>
        </w:tc>
      </w:tr>
      <w:tr w14:paraId="510A1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3C77768D">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240D84D">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01D0B3B7">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4FAE8B0">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7ADB1A19">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HF030302</w:t>
            </w:r>
          </w:p>
        </w:tc>
        <w:tc>
          <w:tcPr>
            <w:tcW w:w="5989" w:type="dxa"/>
            <w:noWrap w:val="0"/>
            <w:vAlign w:val="top"/>
          </w:tcPr>
          <w:p w14:paraId="22729D61">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2、每条焚烧线独立设置烟气在线监测系统（CEMS）、指标（见附录2）齐全、运行稳定、计量准确且每年至少校准一次、在线监测指标达标的且能够导出历史监测数据。在线监测系统未独立设置的扣0.5分，监测指标每少一项扣0.2分，校验周期超过一年或出现重大偏差时未能及时校验的扣0.5分，监测指标小时均值每出现1%超标的扣0.3分（采用插入法），不能导出历史数据的扣1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556A88AF">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88A78C8">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10DB977">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4A662BF">
            <w:pPr>
              <w:widowControl/>
              <w:spacing w:line="379" w:lineRule="exact"/>
              <w:ind w:right="-20"/>
              <w:jc w:val="center"/>
              <w:rPr>
                <w:rFonts w:hint="eastAsia" w:ascii="仿宋" w:hAnsi="仿宋" w:eastAsia="仿宋" w:cs="仿宋"/>
                <w:color w:val="000000"/>
                <w:sz w:val="20"/>
                <w:szCs w:val="20"/>
                <w:vertAlign w:val="baseline"/>
              </w:rPr>
            </w:pPr>
          </w:p>
        </w:tc>
      </w:tr>
      <w:tr w14:paraId="75781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7D429B3">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18CB172">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4294882">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4F39B443">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7330CCF2">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HF030303</w:t>
            </w:r>
          </w:p>
        </w:tc>
        <w:tc>
          <w:tcPr>
            <w:tcW w:w="5989" w:type="dxa"/>
            <w:noWrap w:val="0"/>
            <w:vAlign w:val="top"/>
          </w:tcPr>
          <w:p w14:paraId="7AA1D8CA">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3、烟气排放指标抽检结果均达标。二噁英超 标扣3分；其他废气排放指标超标每项次扣0.5分，扣至考核子项得0分为止</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73EDAB20">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67CB362E">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533BB7D">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B8068DE">
            <w:pPr>
              <w:widowControl/>
              <w:spacing w:line="379" w:lineRule="exact"/>
              <w:ind w:right="-20"/>
              <w:jc w:val="center"/>
              <w:rPr>
                <w:rFonts w:hint="eastAsia" w:ascii="仿宋" w:hAnsi="仿宋" w:eastAsia="仿宋" w:cs="仿宋"/>
                <w:color w:val="000000"/>
                <w:sz w:val="20"/>
                <w:szCs w:val="20"/>
                <w:vertAlign w:val="baseline"/>
              </w:rPr>
            </w:pPr>
          </w:p>
        </w:tc>
      </w:tr>
      <w:tr w14:paraId="03BC9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6D507BAD">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719712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58B19CA">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3A1FB02">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796A6AD1">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HF030304</w:t>
            </w:r>
          </w:p>
        </w:tc>
        <w:tc>
          <w:tcPr>
            <w:tcW w:w="5989" w:type="dxa"/>
            <w:noWrap w:val="0"/>
            <w:vAlign w:val="top"/>
          </w:tcPr>
          <w:p w14:paraId="4CB16053">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4、烟气在线监测系统运维、检定、校准不规 范，视情节轻重，每项次分别扣0.2、0.5、1.0分，扣至考核子项得0分为止。</w:t>
            </w:r>
          </w:p>
        </w:tc>
        <w:tc>
          <w:tcPr>
            <w:tcW w:w="882" w:type="dxa"/>
            <w:vMerge w:val="continue"/>
            <w:noWrap w:val="0"/>
            <w:vAlign w:val="top"/>
          </w:tcPr>
          <w:p w14:paraId="5236A0DA">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CE1B2B9">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6A5927C7">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B92037C">
            <w:pPr>
              <w:widowControl/>
              <w:spacing w:line="379" w:lineRule="exact"/>
              <w:ind w:right="-20"/>
              <w:jc w:val="center"/>
              <w:rPr>
                <w:rFonts w:hint="eastAsia" w:ascii="仿宋" w:hAnsi="仿宋" w:eastAsia="仿宋" w:cs="仿宋"/>
                <w:color w:val="000000"/>
                <w:sz w:val="20"/>
                <w:szCs w:val="20"/>
                <w:vertAlign w:val="baseline"/>
              </w:rPr>
            </w:pPr>
          </w:p>
        </w:tc>
      </w:tr>
      <w:tr w14:paraId="7D860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5E9F1A32">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C2D4634">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F3C03AA">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8321665">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1781EAC3">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HF030305</w:t>
            </w:r>
          </w:p>
        </w:tc>
        <w:tc>
          <w:tcPr>
            <w:tcW w:w="5989" w:type="dxa"/>
            <w:noWrap w:val="0"/>
            <w:vAlign w:val="top"/>
          </w:tcPr>
          <w:p w14:paraId="781B5052">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5、每年2-12月，考核上一月度烟气（烟尘、二氧化硫、氮氧化物）月度累计实际排放量＞项目排污许可或环评批复的全年烟气排放总量÷12，任意一种大气污染物每超出月均许可或批复排放量1%，结合考虑月均锅炉机械负荷率，每类超排烟气扣0.1-0.2分，各类超排烟气扣分累加，扣至考核子项得0分为止。</w:t>
            </w:r>
          </w:p>
        </w:tc>
        <w:tc>
          <w:tcPr>
            <w:tcW w:w="882" w:type="dxa"/>
            <w:vMerge w:val="continue"/>
            <w:noWrap w:val="0"/>
            <w:vAlign w:val="top"/>
          </w:tcPr>
          <w:p w14:paraId="51DDC9DC">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6DA14DC5">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555EBD1">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48AE0A5">
            <w:pPr>
              <w:widowControl/>
              <w:spacing w:line="379" w:lineRule="exact"/>
              <w:ind w:right="-20"/>
              <w:jc w:val="center"/>
              <w:rPr>
                <w:rFonts w:hint="eastAsia" w:ascii="仿宋" w:hAnsi="仿宋" w:eastAsia="仿宋" w:cs="仿宋"/>
                <w:color w:val="000000"/>
                <w:sz w:val="20"/>
                <w:szCs w:val="20"/>
                <w:vertAlign w:val="baseline"/>
              </w:rPr>
            </w:pPr>
          </w:p>
        </w:tc>
      </w:tr>
      <w:tr w14:paraId="11AAE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3759E10C">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4417BC9E">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0477D17A">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7391526E">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7A0599C6">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HF030306</w:t>
            </w:r>
          </w:p>
        </w:tc>
        <w:tc>
          <w:tcPr>
            <w:tcW w:w="5989" w:type="dxa"/>
            <w:noWrap w:val="0"/>
            <w:vAlign w:val="top"/>
          </w:tcPr>
          <w:p w14:paraId="72DF5EFA">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6、每年1月，考核上一年度烟气（烟尘、二氧化硫、氮氧化物）年度累计实际排放量＞项目排污许可或环评批复的全年烟气排放总量，任意一种大气污染物每超出年度许可或批复排放量1%，结合考虑年均锅炉机械负荷率，每类超排烟气扣0.1-0.2分，各类超排烟气扣分累加，扣至考核子项得0分为止。</w:t>
            </w:r>
          </w:p>
        </w:tc>
        <w:tc>
          <w:tcPr>
            <w:tcW w:w="882" w:type="dxa"/>
            <w:vMerge w:val="continue"/>
            <w:noWrap w:val="0"/>
            <w:vAlign w:val="top"/>
          </w:tcPr>
          <w:p w14:paraId="7759DDC1">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8DBC1DC">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709CC78D">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B799792">
            <w:pPr>
              <w:widowControl/>
              <w:spacing w:line="379" w:lineRule="exact"/>
              <w:ind w:right="-20"/>
              <w:jc w:val="center"/>
              <w:rPr>
                <w:rFonts w:hint="eastAsia" w:ascii="仿宋" w:hAnsi="仿宋" w:eastAsia="仿宋" w:cs="仿宋"/>
                <w:color w:val="000000"/>
                <w:sz w:val="20"/>
                <w:szCs w:val="20"/>
                <w:vertAlign w:val="baseline"/>
              </w:rPr>
            </w:pPr>
          </w:p>
        </w:tc>
      </w:tr>
      <w:tr w14:paraId="516AB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330E093B">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0739111">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73FC6148">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01E963D">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42378FF2">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HF030307</w:t>
            </w:r>
          </w:p>
        </w:tc>
        <w:tc>
          <w:tcPr>
            <w:tcW w:w="5989" w:type="dxa"/>
            <w:noWrap w:val="0"/>
            <w:vAlign w:val="top"/>
          </w:tcPr>
          <w:p w14:paraId="63F7D024">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lang w:val="en-US" w:eastAsia="zh-CN"/>
              </w:rPr>
              <w:t>7、</w:t>
            </w:r>
            <w:r>
              <w:rPr>
                <w:rFonts w:hint="eastAsia" w:ascii="仿宋" w:hAnsi="仿宋" w:eastAsia="仿宋" w:cs="仿宋"/>
                <w:color w:val="000000"/>
                <w:sz w:val="28"/>
                <w:szCs w:val="28"/>
                <w:vertAlign w:val="baseline"/>
              </w:rPr>
              <w:t>烟气在线监测系统（CEMS）运行、维护、检定等方面出现其他问题的，视情节轻重，每项次分别扣0.2、0.5、1.0分，扣至考核子项得0分为止。</w:t>
            </w:r>
          </w:p>
        </w:tc>
        <w:tc>
          <w:tcPr>
            <w:tcW w:w="882" w:type="dxa"/>
            <w:vMerge w:val="continue"/>
            <w:noWrap w:val="0"/>
            <w:vAlign w:val="top"/>
          </w:tcPr>
          <w:p w14:paraId="510C9A44">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A172765">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C88154F">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EFBBD47">
            <w:pPr>
              <w:widowControl/>
              <w:spacing w:line="379" w:lineRule="exact"/>
              <w:ind w:right="-20"/>
              <w:jc w:val="center"/>
              <w:rPr>
                <w:rFonts w:hint="eastAsia" w:ascii="仿宋" w:hAnsi="仿宋" w:eastAsia="仿宋" w:cs="仿宋"/>
                <w:color w:val="000000"/>
                <w:sz w:val="20"/>
                <w:szCs w:val="20"/>
                <w:vertAlign w:val="baseline"/>
              </w:rPr>
            </w:pPr>
          </w:p>
        </w:tc>
      </w:tr>
      <w:tr w14:paraId="62550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CAB979B">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2DE2CCA4">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49E9519D">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08719D7A">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环保耗材 (HF0304) </w:t>
            </w:r>
          </w:p>
          <w:p w14:paraId="283AA590">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（4 分）</w:t>
            </w:r>
          </w:p>
        </w:tc>
        <w:tc>
          <w:tcPr>
            <w:tcW w:w="1083" w:type="dxa"/>
            <w:noWrap w:val="0"/>
            <w:vAlign w:val="top"/>
          </w:tcPr>
          <w:p w14:paraId="6059FED2">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HF030401</w:t>
            </w:r>
          </w:p>
        </w:tc>
        <w:tc>
          <w:tcPr>
            <w:tcW w:w="5989" w:type="dxa"/>
            <w:noWrap w:val="0"/>
            <w:vAlign w:val="top"/>
          </w:tcPr>
          <w:p w14:paraId="27CB2B39">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1、活性炭、石灰浆等环保耗材使用量、品质、浓度达到要求并建立每条焚烧线消耗台账记录。活性炭（</w:t>
            </w:r>
            <w:r>
              <w:rPr>
                <w:rFonts w:hint="eastAsia" w:ascii="仿宋" w:hAnsi="仿宋" w:eastAsia="仿宋" w:cs="仿宋"/>
                <w:color w:val="000000"/>
                <w:sz w:val="28"/>
                <w:szCs w:val="28"/>
                <w:vertAlign w:val="baseline"/>
                <w:lang w:val="en-US" w:eastAsia="zh-CN"/>
              </w:rPr>
              <w:t>应符合环评和排污许可要求</w:t>
            </w:r>
            <w:r>
              <w:rPr>
                <w:rFonts w:hint="eastAsia" w:ascii="仿宋" w:hAnsi="仿宋" w:eastAsia="仿宋" w:cs="仿宋"/>
                <w:color w:val="000000"/>
                <w:sz w:val="28"/>
                <w:szCs w:val="28"/>
                <w:vertAlign w:val="baseline"/>
              </w:rPr>
              <w:t>）喷射量未达到要求的扣1分、品质未达到要求或缺少有资质单位检测报告的扣1分。其他环保耗材使用量、品质、浓度等未达到要求的每项扣0.5分，出 现跑、冒石灰浆、石灰粉等现象的扣0.5分， 没有建立消耗台账的扣1分。</w:t>
            </w:r>
          </w:p>
        </w:tc>
        <w:tc>
          <w:tcPr>
            <w:tcW w:w="882" w:type="dxa"/>
            <w:vMerge w:val="restart"/>
            <w:noWrap w:val="0"/>
            <w:vAlign w:val="top"/>
          </w:tcPr>
          <w:p w14:paraId="70A70AF4">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查环保耗材购买、 进厂使用、配比记录、购买票据及品质</w:t>
            </w:r>
            <w:r>
              <w:rPr>
                <w:rFonts w:hint="eastAsia" w:ascii="仿宋" w:hAnsi="仿宋" w:eastAsia="仿宋" w:cs="仿宋"/>
                <w:color w:val="000000"/>
                <w:sz w:val="20"/>
                <w:szCs w:val="20"/>
                <w:vertAlign w:val="baseline"/>
                <w:lang w:eastAsia="zh-CN"/>
              </w:rPr>
              <w:t>检</w:t>
            </w:r>
            <w:r>
              <w:rPr>
                <w:rFonts w:hint="eastAsia" w:ascii="仿宋" w:hAnsi="仿宋" w:eastAsia="仿宋" w:cs="仿宋"/>
                <w:color w:val="000000"/>
                <w:sz w:val="20"/>
                <w:szCs w:val="20"/>
                <w:vertAlign w:val="baseline"/>
              </w:rPr>
              <w:t>测报告、现场检查。</w:t>
            </w:r>
          </w:p>
        </w:tc>
        <w:tc>
          <w:tcPr>
            <w:tcW w:w="1014" w:type="dxa"/>
            <w:noWrap w:val="0"/>
            <w:vAlign w:val="top"/>
          </w:tcPr>
          <w:p w14:paraId="0008B41C">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64BF627A">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E8B5FFA">
            <w:pPr>
              <w:widowControl/>
              <w:spacing w:line="379" w:lineRule="exact"/>
              <w:ind w:right="-20"/>
              <w:jc w:val="center"/>
              <w:rPr>
                <w:rFonts w:hint="eastAsia" w:ascii="仿宋" w:hAnsi="仿宋" w:eastAsia="仿宋" w:cs="仿宋"/>
                <w:color w:val="000000"/>
                <w:sz w:val="20"/>
                <w:szCs w:val="20"/>
                <w:vertAlign w:val="baseline"/>
              </w:rPr>
            </w:pPr>
          </w:p>
        </w:tc>
      </w:tr>
      <w:tr w14:paraId="686CA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F5ECBEB">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D979C74">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D9E105D">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48A40263">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6998FDE5">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HF030402</w:t>
            </w:r>
          </w:p>
        </w:tc>
        <w:tc>
          <w:tcPr>
            <w:tcW w:w="5989" w:type="dxa"/>
            <w:noWrap w:val="0"/>
            <w:vAlign w:val="top"/>
          </w:tcPr>
          <w:p w14:paraId="7033A43A">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2、投料系统安装计量装置并正常使用、计量准确。使用不正常或未按时校验的扣0.5分，未安装的扣1分。</w:t>
            </w:r>
          </w:p>
        </w:tc>
        <w:tc>
          <w:tcPr>
            <w:tcW w:w="882" w:type="dxa"/>
            <w:vMerge w:val="continue"/>
            <w:noWrap w:val="0"/>
            <w:vAlign w:val="top"/>
          </w:tcPr>
          <w:p w14:paraId="2DB3C00E">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02E97E25">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5083A80">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5F041DE">
            <w:pPr>
              <w:widowControl/>
              <w:spacing w:line="379" w:lineRule="exact"/>
              <w:ind w:right="-20"/>
              <w:jc w:val="center"/>
              <w:rPr>
                <w:rFonts w:hint="eastAsia" w:ascii="仿宋" w:hAnsi="仿宋" w:eastAsia="仿宋" w:cs="仿宋"/>
                <w:color w:val="000000"/>
                <w:sz w:val="20"/>
                <w:szCs w:val="20"/>
                <w:vertAlign w:val="baseline"/>
              </w:rPr>
            </w:pPr>
          </w:p>
        </w:tc>
      </w:tr>
      <w:tr w14:paraId="241DE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3E0ED78D">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8695790">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9A045B9">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4566B30">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3B5583A1">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HF030403</w:t>
            </w:r>
          </w:p>
        </w:tc>
        <w:tc>
          <w:tcPr>
            <w:tcW w:w="5989" w:type="dxa"/>
            <w:noWrap w:val="0"/>
            <w:vAlign w:val="top"/>
          </w:tcPr>
          <w:p w14:paraId="3869DB7C">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3、环保耗材入厂、存储、投用等环节导致其品质降低，或对交通、消防、安全、环境造成负面影响的，视情节轻重，每项次分别扣0.1、0.2、0.5分，扣至考核子项得0分为止。</w:t>
            </w:r>
          </w:p>
        </w:tc>
        <w:tc>
          <w:tcPr>
            <w:tcW w:w="882" w:type="dxa"/>
            <w:vMerge w:val="continue"/>
            <w:noWrap w:val="0"/>
            <w:vAlign w:val="top"/>
          </w:tcPr>
          <w:p w14:paraId="063C3D43">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7E06AAD7">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71A77B7">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C0C09A2">
            <w:pPr>
              <w:widowControl/>
              <w:spacing w:line="379" w:lineRule="exact"/>
              <w:ind w:right="-20"/>
              <w:jc w:val="center"/>
              <w:rPr>
                <w:rFonts w:hint="eastAsia" w:ascii="仿宋" w:hAnsi="仿宋" w:eastAsia="仿宋" w:cs="仿宋"/>
                <w:color w:val="000000"/>
                <w:sz w:val="20"/>
                <w:szCs w:val="20"/>
                <w:vertAlign w:val="baseline"/>
              </w:rPr>
            </w:pPr>
          </w:p>
        </w:tc>
      </w:tr>
      <w:tr w14:paraId="7E08A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601049BD">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FD0B016">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C1F5D3F">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04A42E11">
            <w:pPr>
              <w:widowControl/>
              <w:spacing w:line="379" w:lineRule="exact"/>
              <w:ind w:right="-20"/>
              <w:jc w:val="center"/>
              <w:rPr>
                <w:rFonts w:hint="eastAsia" w:ascii="仿宋" w:hAnsi="仿宋" w:eastAsia="仿宋" w:cs="仿宋"/>
                <w:color w:val="000000"/>
                <w:sz w:val="20"/>
                <w:szCs w:val="20"/>
                <w:vertAlign w:val="baseline"/>
              </w:rPr>
            </w:pPr>
          </w:p>
        </w:tc>
        <w:tc>
          <w:tcPr>
            <w:tcW w:w="1083" w:type="dxa"/>
            <w:noWrap w:val="0"/>
            <w:vAlign w:val="top"/>
          </w:tcPr>
          <w:p w14:paraId="1CE0F2D6">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HF030404</w:t>
            </w:r>
          </w:p>
        </w:tc>
        <w:tc>
          <w:tcPr>
            <w:tcW w:w="5989" w:type="dxa"/>
            <w:noWrap w:val="0"/>
            <w:vAlign w:val="top"/>
          </w:tcPr>
          <w:p w14:paraId="3702FDAD">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4、环保耗材其他方面存在问题的情形，视情节轻重，每项次分别扣0.1、0.2、0.5分，扣至考核子项得0分为止。</w:t>
            </w:r>
          </w:p>
        </w:tc>
        <w:tc>
          <w:tcPr>
            <w:tcW w:w="882" w:type="dxa"/>
            <w:vMerge w:val="continue"/>
            <w:noWrap w:val="0"/>
            <w:vAlign w:val="top"/>
          </w:tcPr>
          <w:p w14:paraId="1B379768">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792666D7">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70D30DA5">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8B28E10">
            <w:pPr>
              <w:widowControl/>
              <w:spacing w:line="379" w:lineRule="exact"/>
              <w:ind w:right="-20"/>
              <w:jc w:val="center"/>
              <w:rPr>
                <w:rFonts w:hint="eastAsia" w:ascii="仿宋" w:hAnsi="仿宋" w:eastAsia="仿宋" w:cs="仿宋"/>
                <w:color w:val="000000"/>
                <w:sz w:val="20"/>
                <w:szCs w:val="20"/>
                <w:vertAlign w:val="baseline"/>
              </w:rPr>
            </w:pPr>
          </w:p>
        </w:tc>
      </w:tr>
      <w:tr w14:paraId="61F91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5E93189F">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57FEBC3">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0B672E69">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37291347">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飞灰处理 (HF0305) </w:t>
            </w:r>
          </w:p>
          <w:p w14:paraId="3F20BDBA">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（7 分）</w:t>
            </w:r>
          </w:p>
        </w:tc>
        <w:tc>
          <w:tcPr>
            <w:tcW w:w="1083" w:type="dxa"/>
            <w:noWrap w:val="0"/>
            <w:vAlign w:val="top"/>
          </w:tcPr>
          <w:p w14:paraId="53CF6F1C">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HF030501</w:t>
            </w:r>
          </w:p>
        </w:tc>
        <w:tc>
          <w:tcPr>
            <w:tcW w:w="5989" w:type="dxa"/>
            <w:noWrap w:val="0"/>
            <w:vAlign w:val="top"/>
          </w:tcPr>
          <w:p w14:paraId="0CA64C9D">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1、螯合飞灰浸出毒性试验自检或委外监测频次不够、取样不规范的，每次扣0.5分；样品保管不规范的扣0.2分；无样品台账记录的扣0.5分；台账记录遗漏或失实的每批次扣0.1分。</w:t>
            </w:r>
          </w:p>
        </w:tc>
        <w:tc>
          <w:tcPr>
            <w:tcW w:w="882" w:type="dxa"/>
            <w:vMerge w:val="restart"/>
            <w:noWrap w:val="0"/>
            <w:vAlign w:val="top"/>
          </w:tcPr>
          <w:p w14:paraId="3F4DF502">
            <w:pPr>
              <w:widowControl/>
              <w:spacing w:line="379" w:lineRule="exact"/>
              <w:ind w:right="-20"/>
              <w:jc w:val="both"/>
              <w:rPr>
                <w:rFonts w:hint="eastAsia" w:ascii="仿宋" w:hAnsi="仿宋" w:eastAsia="仿宋" w:cs="仿宋"/>
                <w:color w:val="000000"/>
                <w:sz w:val="20"/>
                <w:szCs w:val="20"/>
                <w:vertAlign w:val="baseline"/>
                <w:lang w:eastAsia="zh-CN"/>
              </w:rPr>
            </w:pPr>
            <w:r>
              <w:rPr>
                <w:rFonts w:hint="eastAsia" w:ascii="仿宋" w:hAnsi="仿宋" w:eastAsia="仿宋" w:cs="仿宋"/>
                <w:color w:val="000000"/>
                <w:sz w:val="20"/>
                <w:szCs w:val="20"/>
                <w:vertAlign w:val="baseline"/>
              </w:rPr>
              <w:t>查环评批复、飞灰运输委托协议、运输单位资质、运输记录、监测报告，现场</w:t>
            </w:r>
            <w:r>
              <w:rPr>
                <w:rFonts w:hint="eastAsia" w:ascii="仿宋" w:hAnsi="仿宋" w:eastAsia="仿宋" w:cs="仿宋"/>
                <w:color w:val="000000"/>
                <w:sz w:val="20"/>
                <w:szCs w:val="20"/>
                <w:vertAlign w:val="baseline"/>
                <w:lang w:eastAsia="zh-CN"/>
              </w:rPr>
              <w:t>查看资料</w:t>
            </w:r>
          </w:p>
        </w:tc>
        <w:tc>
          <w:tcPr>
            <w:tcW w:w="1014" w:type="dxa"/>
            <w:noWrap w:val="0"/>
            <w:vAlign w:val="top"/>
          </w:tcPr>
          <w:p w14:paraId="505C15E9">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B8A41B0">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A65ED9A">
            <w:pPr>
              <w:widowControl/>
              <w:spacing w:line="379" w:lineRule="exact"/>
              <w:ind w:right="-20"/>
              <w:jc w:val="center"/>
              <w:rPr>
                <w:rFonts w:hint="eastAsia" w:ascii="仿宋" w:hAnsi="仿宋" w:eastAsia="仿宋" w:cs="仿宋"/>
                <w:color w:val="000000"/>
                <w:sz w:val="20"/>
                <w:szCs w:val="20"/>
                <w:vertAlign w:val="baseline"/>
              </w:rPr>
            </w:pPr>
          </w:p>
        </w:tc>
      </w:tr>
      <w:tr w14:paraId="4C6D6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25" w:type="dxa"/>
            <w:vMerge w:val="continue"/>
            <w:noWrap w:val="0"/>
            <w:vAlign w:val="top"/>
          </w:tcPr>
          <w:p w14:paraId="74CD0545">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BF5BD2B">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062EB07">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04BE3157">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30EC449E">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HF030502</w:t>
            </w:r>
          </w:p>
        </w:tc>
        <w:tc>
          <w:tcPr>
            <w:tcW w:w="5989" w:type="dxa"/>
            <w:noWrap w:val="0"/>
            <w:vAlign w:val="top"/>
          </w:tcPr>
          <w:p w14:paraId="4AAEBE72">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2、螯合飞灰浸出毒性试验不合格批次未进行再次螯合，或螯合飞灰浸出毒性试验不合格即行出厂的，直接扣至0分；重新螯合但无台账记录的扣1分。</w:t>
            </w:r>
          </w:p>
        </w:tc>
        <w:tc>
          <w:tcPr>
            <w:tcW w:w="882" w:type="dxa"/>
            <w:vMerge w:val="continue"/>
            <w:noWrap w:val="0"/>
            <w:vAlign w:val="top"/>
          </w:tcPr>
          <w:p w14:paraId="371CBC58">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21809F4F">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9FDD47B">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2E6F987">
            <w:pPr>
              <w:widowControl/>
              <w:spacing w:line="379" w:lineRule="exact"/>
              <w:ind w:right="-20"/>
              <w:jc w:val="center"/>
              <w:rPr>
                <w:rFonts w:hint="eastAsia" w:ascii="仿宋" w:hAnsi="仿宋" w:eastAsia="仿宋" w:cs="仿宋"/>
                <w:color w:val="000000"/>
                <w:sz w:val="20"/>
                <w:szCs w:val="20"/>
                <w:vertAlign w:val="baseline"/>
              </w:rPr>
            </w:pPr>
          </w:p>
        </w:tc>
      </w:tr>
      <w:tr w14:paraId="664B6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4F13218A">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C08A984">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D8F4DC0">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A10D1EB">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694ED7EF">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HF030503</w:t>
            </w:r>
          </w:p>
        </w:tc>
        <w:tc>
          <w:tcPr>
            <w:tcW w:w="5989" w:type="dxa"/>
            <w:noWrap w:val="0"/>
            <w:vAlign w:val="top"/>
          </w:tcPr>
          <w:p w14:paraId="2D975CD0">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飞灰送有资质的危废处理厂处理或稳定化处理后进卫生填埋场分区单独填埋处置、程序规范、各项指标达标、吨袋规范且外表标识准确完整。处置方式不符合环评要求的扣2分。飞灰收集和预处理车间不规范的扣1分，预处理设施不能正常投运的扣2分，飞灰在运输过程中发生遗撒现象，扣0.5分，飞灰暂存库未按照危险废物暂存标准建设、管理及运行，暂存库容不满足填埋作业运行管理要求的扣3分，送有资质的危废处理单位处理但无运出联单记录的扣3分、记录不全的扣1分。飞灰预处理及最终处置措施不规范或预处理后出现超标的，每项次扣0.5分。无有效处置方式的扣5分。此项扣分满6分为止。</w:t>
            </w:r>
          </w:p>
        </w:tc>
        <w:tc>
          <w:tcPr>
            <w:tcW w:w="882" w:type="dxa"/>
            <w:vMerge w:val="continue"/>
            <w:noWrap w:val="0"/>
            <w:vAlign w:val="top"/>
          </w:tcPr>
          <w:p w14:paraId="17CC219A">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71F8D658">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7B90805">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5B896B6">
            <w:pPr>
              <w:widowControl/>
              <w:spacing w:line="379" w:lineRule="exact"/>
              <w:ind w:right="-20"/>
              <w:jc w:val="center"/>
              <w:rPr>
                <w:rFonts w:hint="eastAsia" w:ascii="仿宋" w:hAnsi="仿宋" w:eastAsia="仿宋" w:cs="仿宋"/>
                <w:color w:val="000000"/>
                <w:sz w:val="20"/>
                <w:szCs w:val="20"/>
                <w:vertAlign w:val="baseline"/>
              </w:rPr>
            </w:pPr>
          </w:p>
        </w:tc>
      </w:tr>
      <w:tr w14:paraId="4903B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00EDB0D3">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1B4F19A">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C275F8E">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8A8B5FF">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74B28FEA">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HF030504</w:t>
            </w:r>
          </w:p>
        </w:tc>
        <w:tc>
          <w:tcPr>
            <w:tcW w:w="5989" w:type="dxa"/>
            <w:noWrap w:val="0"/>
            <w:vAlign w:val="top"/>
          </w:tcPr>
          <w:p w14:paraId="782C22F1">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4、飞灰运输、处置协议及计量台账、检测报告齐全、规范、准确。计量数据明显出现偏差的扣1分，记录不全的每处扣0.5分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6BCE61DA">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C7E54B0">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D0E2BDF">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D561847">
            <w:pPr>
              <w:widowControl/>
              <w:spacing w:line="379" w:lineRule="exact"/>
              <w:ind w:right="-20"/>
              <w:jc w:val="center"/>
              <w:rPr>
                <w:rFonts w:hint="eastAsia" w:ascii="仿宋" w:hAnsi="仿宋" w:eastAsia="仿宋" w:cs="仿宋"/>
                <w:color w:val="000000"/>
                <w:sz w:val="20"/>
                <w:szCs w:val="20"/>
                <w:vertAlign w:val="baseline"/>
              </w:rPr>
            </w:pPr>
          </w:p>
        </w:tc>
      </w:tr>
      <w:tr w14:paraId="4E2B8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69BA302A">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B07B854">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AD50105">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CD14D58">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0F8D881F">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HF030505</w:t>
            </w:r>
          </w:p>
        </w:tc>
        <w:tc>
          <w:tcPr>
            <w:tcW w:w="5989" w:type="dxa"/>
            <w:noWrap w:val="0"/>
            <w:vAlign w:val="top"/>
          </w:tcPr>
          <w:p w14:paraId="1E3F2148">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5、飞灰运输规范、运输过程密闭。飞灰运输到危废处理厂或焚烧厂区外稳定化处理车间扣0.5分，运输过程存在抛洒现象的扣0.5分。稳定化后飞灰未按规范吨袋或其他有效防尘措施的、且未按批次建立检验台账的扣 0.5分。</w:t>
            </w:r>
          </w:p>
        </w:tc>
        <w:tc>
          <w:tcPr>
            <w:tcW w:w="882" w:type="dxa"/>
            <w:vMerge w:val="continue"/>
            <w:noWrap w:val="0"/>
            <w:vAlign w:val="top"/>
          </w:tcPr>
          <w:p w14:paraId="7B6D9FBE">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AAE6FCC">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3750597">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2E43E95">
            <w:pPr>
              <w:widowControl/>
              <w:spacing w:line="379" w:lineRule="exact"/>
              <w:ind w:right="-20"/>
              <w:jc w:val="center"/>
              <w:rPr>
                <w:rFonts w:hint="eastAsia" w:ascii="仿宋" w:hAnsi="仿宋" w:eastAsia="仿宋" w:cs="仿宋"/>
                <w:color w:val="000000"/>
                <w:sz w:val="20"/>
                <w:szCs w:val="20"/>
                <w:vertAlign w:val="baseline"/>
              </w:rPr>
            </w:pPr>
          </w:p>
        </w:tc>
      </w:tr>
      <w:tr w14:paraId="10A4F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3373A7F">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4E38C08">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423B8D23">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08655884">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185A0C7B">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HF030506</w:t>
            </w:r>
          </w:p>
        </w:tc>
        <w:tc>
          <w:tcPr>
            <w:tcW w:w="5989" w:type="dxa"/>
            <w:noWrap w:val="0"/>
            <w:vAlign w:val="top"/>
          </w:tcPr>
          <w:p w14:paraId="4F9CF901">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6、飞灰预处理、螯合飞灰浸出毒性检验、飞灰暂存、记录台账、吨袋二维码、运输、出厂管理过程中出现的其他不规范、 不安全问题，或造成粉尘、污染、噪音等环境负面影响的，视情节轻重，每项次分别扣0.2、0.5、1.0 分，扣至考核子项得0分为止。</w:t>
            </w:r>
          </w:p>
        </w:tc>
        <w:tc>
          <w:tcPr>
            <w:tcW w:w="882" w:type="dxa"/>
            <w:vMerge w:val="continue"/>
            <w:noWrap w:val="0"/>
            <w:vAlign w:val="top"/>
          </w:tcPr>
          <w:p w14:paraId="2C3743A8">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29434CE4">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3F3660B">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7A7B58D">
            <w:pPr>
              <w:widowControl/>
              <w:spacing w:line="379" w:lineRule="exact"/>
              <w:ind w:right="-20"/>
              <w:jc w:val="center"/>
              <w:rPr>
                <w:rFonts w:hint="eastAsia" w:ascii="仿宋" w:hAnsi="仿宋" w:eastAsia="仿宋" w:cs="仿宋"/>
                <w:color w:val="000000"/>
                <w:sz w:val="20"/>
                <w:szCs w:val="20"/>
                <w:vertAlign w:val="baseline"/>
              </w:rPr>
            </w:pPr>
          </w:p>
        </w:tc>
      </w:tr>
      <w:tr w14:paraId="5C013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DDA7CDA">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B9625A4">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73B157AC">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55EC3A51">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炉渣处理 (HF0306) </w:t>
            </w:r>
          </w:p>
          <w:p w14:paraId="6AA8C89D">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（2 分）</w:t>
            </w:r>
          </w:p>
        </w:tc>
        <w:tc>
          <w:tcPr>
            <w:tcW w:w="1083" w:type="dxa"/>
            <w:noWrap w:val="0"/>
            <w:vAlign w:val="top"/>
          </w:tcPr>
          <w:p w14:paraId="71B8C1E3">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HF030601</w:t>
            </w:r>
          </w:p>
        </w:tc>
        <w:tc>
          <w:tcPr>
            <w:tcW w:w="5989" w:type="dxa"/>
            <w:noWrap w:val="0"/>
            <w:vAlign w:val="top"/>
          </w:tcPr>
          <w:p w14:paraId="6C828D19">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1、热灼减率检测不合格炉渣或明显生渣未重新入炉返烧，直接外运处置的扣2分；重新返烧但无台账记录的扣1分。</w:t>
            </w:r>
          </w:p>
        </w:tc>
        <w:tc>
          <w:tcPr>
            <w:tcW w:w="882" w:type="dxa"/>
            <w:vMerge w:val="restart"/>
            <w:noWrap w:val="0"/>
            <w:vAlign w:val="top"/>
          </w:tcPr>
          <w:p w14:paraId="04999174">
            <w:pPr>
              <w:widowControl/>
              <w:spacing w:line="379" w:lineRule="exact"/>
              <w:ind w:right="-20"/>
              <w:jc w:val="center"/>
              <w:rPr>
                <w:rFonts w:hint="eastAsia" w:ascii="仿宋" w:hAnsi="仿宋" w:eastAsia="仿宋" w:cs="仿宋"/>
                <w:color w:val="000000"/>
                <w:sz w:val="20"/>
                <w:szCs w:val="20"/>
                <w:vertAlign w:val="baseline"/>
              </w:rPr>
            </w:pPr>
          </w:p>
          <w:p w14:paraId="70C0FEAF">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查看资料 </w:t>
            </w:r>
          </w:p>
          <w:p w14:paraId="090D9C22">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现场检查 </w:t>
            </w:r>
          </w:p>
        </w:tc>
        <w:tc>
          <w:tcPr>
            <w:tcW w:w="1014" w:type="dxa"/>
            <w:noWrap w:val="0"/>
            <w:vAlign w:val="top"/>
          </w:tcPr>
          <w:p w14:paraId="5FAC4A5B">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863A604">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7ECC410">
            <w:pPr>
              <w:widowControl/>
              <w:spacing w:line="379" w:lineRule="exact"/>
              <w:ind w:right="-20"/>
              <w:jc w:val="center"/>
              <w:rPr>
                <w:rFonts w:hint="eastAsia" w:ascii="仿宋" w:hAnsi="仿宋" w:eastAsia="仿宋" w:cs="仿宋"/>
                <w:color w:val="000000"/>
                <w:sz w:val="20"/>
                <w:szCs w:val="20"/>
                <w:vertAlign w:val="baseline"/>
              </w:rPr>
            </w:pPr>
          </w:p>
        </w:tc>
      </w:tr>
      <w:tr w14:paraId="1F9FF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CF87E85">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43A4012">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4D2A8797">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269BB86">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75E87E02">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HF030602</w:t>
            </w:r>
          </w:p>
        </w:tc>
        <w:tc>
          <w:tcPr>
            <w:tcW w:w="5989" w:type="dxa"/>
            <w:noWrap w:val="0"/>
            <w:vAlign w:val="top"/>
          </w:tcPr>
          <w:p w14:paraId="46B6F49D">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2、渣库地面无油污、杂物、积水等，得0.5分。否则扣0.5分。</w:t>
            </w:r>
          </w:p>
        </w:tc>
        <w:tc>
          <w:tcPr>
            <w:tcW w:w="882" w:type="dxa"/>
            <w:vMerge w:val="continue"/>
            <w:noWrap w:val="0"/>
            <w:vAlign w:val="top"/>
          </w:tcPr>
          <w:p w14:paraId="7C37700B">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C1437E7">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31B5005">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FAF7EBF">
            <w:pPr>
              <w:widowControl/>
              <w:spacing w:line="379" w:lineRule="exact"/>
              <w:ind w:right="-20"/>
              <w:jc w:val="center"/>
              <w:rPr>
                <w:rFonts w:hint="eastAsia" w:ascii="仿宋" w:hAnsi="仿宋" w:eastAsia="仿宋" w:cs="仿宋"/>
                <w:color w:val="000000"/>
                <w:sz w:val="20"/>
                <w:szCs w:val="20"/>
                <w:vertAlign w:val="baseline"/>
              </w:rPr>
            </w:pPr>
          </w:p>
        </w:tc>
      </w:tr>
      <w:tr w14:paraId="2EF7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687D7C0">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68A8833">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C567256">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DA0868E">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74D8EF23">
            <w:pPr>
              <w:widowControl/>
              <w:spacing w:line="379" w:lineRule="exact"/>
              <w:ind w:right="-20"/>
              <w:jc w:val="center"/>
              <w:rPr>
                <w:rFonts w:hint="default" w:ascii="仿宋" w:hAnsi="仿宋" w:eastAsia="仿宋" w:cs="仿宋"/>
                <w:color w:val="000000"/>
                <w:sz w:val="20"/>
                <w:szCs w:val="20"/>
                <w:highlight w:val="none"/>
                <w:vertAlign w:val="baseline"/>
                <w:lang w:val="en-US" w:eastAsia="zh-CN"/>
              </w:rPr>
            </w:pPr>
            <w:r>
              <w:rPr>
                <w:rFonts w:hint="eastAsia" w:ascii="仿宋" w:hAnsi="仿宋" w:eastAsia="仿宋" w:cs="仿宋"/>
                <w:color w:val="000000"/>
                <w:sz w:val="20"/>
                <w:szCs w:val="20"/>
                <w:highlight w:val="none"/>
                <w:vertAlign w:val="baseline"/>
                <w:lang w:val="en-US" w:eastAsia="zh-CN"/>
              </w:rPr>
              <w:t>HF030603</w:t>
            </w:r>
          </w:p>
        </w:tc>
        <w:tc>
          <w:tcPr>
            <w:tcW w:w="5989" w:type="dxa"/>
            <w:noWrap w:val="0"/>
            <w:vAlign w:val="top"/>
          </w:tcPr>
          <w:p w14:paraId="17A5A3EA">
            <w:pPr>
              <w:widowControl/>
              <w:spacing w:line="379" w:lineRule="exact"/>
              <w:ind w:right="-20"/>
              <w:jc w:val="both"/>
              <w:rPr>
                <w:rFonts w:hint="eastAsia" w:ascii="仿宋" w:hAnsi="仿宋" w:eastAsia="仿宋" w:cs="仿宋"/>
                <w:color w:val="000000"/>
                <w:sz w:val="28"/>
                <w:szCs w:val="28"/>
                <w:highlight w:val="none"/>
                <w:vertAlign w:val="baseline"/>
              </w:rPr>
            </w:pPr>
            <w:r>
              <w:rPr>
                <w:rFonts w:hint="eastAsia" w:ascii="仿宋" w:hAnsi="仿宋" w:eastAsia="仿宋" w:cs="仿宋"/>
                <w:color w:val="000000"/>
                <w:sz w:val="28"/>
                <w:szCs w:val="28"/>
                <w:highlight w:val="none"/>
                <w:vertAlign w:val="baseline"/>
              </w:rPr>
              <w:t>3、炉渣产出率过高的(一般不大于垃圾进厂量的20%，特殊情况据环评批复、排污许可、原生垃圾成分等综合分析判断、掺烧</w:t>
            </w:r>
            <w:r>
              <w:rPr>
                <w:rFonts w:hint="eastAsia" w:ascii="仿宋" w:hAnsi="仿宋" w:eastAsia="仿宋" w:cs="仿宋"/>
                <w:color w:val="000000"/>
                <w:sz w:val="28"/>
                <w:szCs w:val="28"/>
                <w:highlight w:val="none"/>
                <w:vertAlign w:val="baseline"/>
                <w:lang w:eastAsia="zh-CN"/>
              </w:rPr>
              <w:t>建筑垃圾筛分物</w:t>
            </w:r>
            <w:r>
              <w:rPr>
                <w:rFonts w:hint="eastAsia" w:ascii="仿宋" w:hAnsi="仿宋" w:eastAsia="仿宋" w:cs="仿宋"/>
                <w:color w:val="000000"/>
                <w:sz w:val="28"/>
                <w:szCs w:val="28"/>
                <w:highlight w:val="none"/>
                <w:vertAlign w:val="baseline"/>
              </w:rPr>
              <w:t>除外), 视情节轻重，酌扣0.1、0.2、0.5 分。</w:t>
            </w:r>
          </w:p>
        </w:tc>
        <w:tc>
          <w:tcPr>
            <w:tcW w:w="882" w:type="dxa"/>
            <w:vMerge w:val="continue"/>
            <w:noWrap w:val="0"/>
            <w:vAlign w:val="top"/>
          </w:tcPr>
          <w:p w14:paraId="6074A63F">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AFF20DA">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5C4D951">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7FD72CC">
            <w:pPr>
              <w:widowControl/>
              <w:spacing w:line="379" w:lineRule="exact"/>
              <w:ind w:right="-20"/>
              <w:jc w:val="center"/>
              <w:rPr>
                <w:rFonts w:hint="eastAsia" w:ascii="仿宋" w:hAnsi="仿宋" w:eastAsia="仿宋" w:cs="仿宋"/>
                <w:color w:val="000000"/>
                <w:sz w:val="20"/>
                <w:szCs w:val="20"/>
                <w:vertAlign w:val="baseline"/>
              </w:rPr>
            </w:pPr>
          </w:p>
        </w:tc>
      </w:tr>
      <w:tr w14:paraId="74187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51CE6DC8">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D8DB92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24EE166">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A3AFB97">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1C3AB5D6">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HF030604</w:t>
            </w:r>
          </w:p>
        </w:tc>
        <w:tc>
          <w:tcPr>
            <w:tcW w:w="5989" w:type="dxa"/>
            <w:noWrap w:val="0"/>
            <w:vAlign w:val="top"/>
          </w:tcPr>
          <w:p w14:paraId="7BB2645D">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4、炉渣运输过程做到覆盖无抛洒。车辆覆盖措施不到位或运输过程存在抛洒现象的扣0.5分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7732A918">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0D53E5A2">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6042AC03">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F965E77">
            <w:pPr>
              <w:widowControl/>
              <w:spacing w:line="379" w:lineRule="exact"/>
              <w:ind w:right="-20"/>
              <w:jc w:val="center"/>
              <w:rPr>
                <w:rFonts w:hint="eastAsia" w:ascii="仿宋" w:hAnsi="仿宋" w:eastAsia="仿宋" w:cs="仿宋"/>
                <w:color w:val="000000"/>
                <w:sz w:val="20"/>
                <w:szCs w:val="20"/>
                <w:vertAlign w:val="baseline"/>
              </w:rPr>
            </w:pPr>
          </w:p>
        </w:tc>
      </w:tr>
      <w:tr w14:paraId="7C55B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36A6D30B">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08857F0">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09EEEB8F">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AEC8FAC">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46927EE1">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HF030605</w:t>
            </w:r>
          </w:p>
        </w:tc>
        <w:tc>
          <w:tcPr>
            <w:tcW w:w="5989" w:type="dxa"/>
            <w:noWrap w:val="0"/>
            <w:vAlign w:val="top"/>
          </w:tcPr>
          <w:p w14:paraId="1207628B">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5、炉渣全部实现无害化处置。否则扣1分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612688E2">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722263B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B9674BF">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1AD9997">
            <w:pPr>
              <w:widowControl/>
              <w:spacing w:line="379" w:lineRule="exact"/>
              <w:ind w:right="-20"/>
              <w:jc w:val="center"/>
              <w:rPr>
                <w:rFonts w:hint="eastAsia" w:ascii="仿宋" w:hAnsi="仿宋" w:eastAsia="仿宋" w:cs="仿宋"/>
                <w:color w:val="000000"/>
                <w:sz w:val="20"/>
                <w:szCs w:val="20"/>
                <w:vertAlign w:val="baseline"/>
              </w:rPr>
            </w:pPr>
          </w:p>
        </w:tc>
      </w:tr>
      <w:tr w14:paraId="33357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322BEBFF">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B8B18BE">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3ECFCE2">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06C7B0CF">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6B844587">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HF030606</w:t>
            </w:r>
          </w:p>
        </w:tc>
        <w:tc>
          <w:tcPr>
            <w:tcW w:w="5989" w:type="dxa"/>
            <w:noWrap w:val="0"/>
            <w:vAlign w:val="top"/>
          </w:tcPr>
          <w:p w14:paraId="0DA86576">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6、炉渣处理其他方面存在问题的，视情节轻重，酌扣0.1、0.2、0.5分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013D8E03">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3009A56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91EBD91">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1D67BDF">
            <w:pPr>
              <w:widowControl/>
              <w:spacing w:line="379" w:lineRule="exact"/>
              <w:ind w:right="-20"/>
              <w:jc w:val="center"/>
              <w:rPr>
                <w:rFonts w:hint="eastAsia" w:ascii="仿宋" w:hAnsi="仿宋" w:eastAsia="仿宋" w:cs="仿宋"/>
                <w:color w:val="000000"/>
                <w:sz w:val="20"/>
                <w:szCs w:val="20"/>
                <w:vertAlign w:val="baseline"/>
              </w:rPr>
            </w:pPr>
          </w:p>
        </w:tc>
      </w:tr>
      <w:tr w14:paraId="060FD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425" w:type="dxa"/>
            <w:vMerge w:val="continue"/>
            <w:noWrap w:val="0"/>
            <w:vAlign w:val="top"/>
          </w:tcPr>
          <w:p w14:paraId="32AB0F3E">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454B03BA">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FA67FC6">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42F62CAA">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污水处理 </w:t>
            </w:r>
          </w:p>
          <w:p w14:paraId="09575C81">
            <w:pPr>
              <w:widowControl/>
              <w:spacing w:line="379" w:lineRule="exact"/>
              <w:ind w:right="-20"/>
              <w:jc w:val="both"/>
              <w:rPr>
                <w:rFonts w:hint="eastAsia" w:ascii="仿宋" w:hAnsi="仿宋" w:eastAsia="仿宋" w:cs="仿宋"/>
                <w:color w:val="000000"/>
                <w:sz w:val="20"/>
                <w:szCs w:val="20"/>
                <w:vertAlign w:val="baseline"/>
                <w:lang w:eastAsia="zh-CN"/>
              </w:rPr>
            </w:pPr>
            <w:r>
              <w:rPr>
                <w:rFonts w:hint="eastAsia" w:ascii="仿宋" w:hAnsi="仿宋" w:eastAsia="仿宋" w:cs="仿宋"/>
                <w:color w:val="000000"/>
                <w:sz w:val="20"/>
                <w:szCs w:val="20"/>
                <w:vertAlign w:val="baseline"/>
              </w:rPr>
              <w:t>(HF0307)</w:t>
            </w:r>
            <w:r>
              <w:rPr>
                <w:rFonts w:hint="eastAsia" w:ascii="仿宋" w:hAnsi="仿宋" w:eastAsia="仿宋" w:cs="仿宋"/>
                <w:color w:val="000000"/>
                <w:sz w:val="20"/>
                <w:szCs w:val="20"/>
                <w:vertAlign w:val="baseline"/>
                <w:lang w:eastAsia="zh-CN"/>
              </w:rPr>
              <w:t>（</w:t>
            </w:r>
            <w:r>
              <w:rPr>
                <w:rFonts w:hint="eastAsia" w:ascii="仿宋" w:hAnsi="仿宋" w:eastAsia="仿宋" w:cs="仿宋"/>
                <w:color w:val="000000"/>
                <w:sz w:val="20"/>
                <w:szCs w:val="20"/>
                <w:vertAlign w:val="baseline"/>
                <w:lang w:val="en-US" w:eastAsia="zh-CN"/>
              </w:rPr>
              <w:t>6分</w:t>
            </w:r>
            <w:r>
              <w:rPr>
                <w:rFonts w:hint="eastAsia" w:ascii="仿宋" w:hAnsi="仿宋" w:eastAsia="仿宋" w:cs="仿宋"/>
                <w:color w:val="000000"/>
                <w:sz w:val="20"/>
                <w:szCs w:val="20"/>
                <w:vertAlign w:val="baseline"/>
                <w:lang w:eastAsia="zh-CN"/>
              </w:rPr>
              <w:t>）</w:t>
            </w:r>
          </w:p>
        </w:tc>
        <w:tc>
          <w:tcPr>
            <w:tcW w:w="1083" w:type="dxa"/>
            <w:noWrap w:val="0"/>
            <w:vAlign w:val="top"/>
          </w:tcPr>
          <w:p w14:paraId="3E4EF0A8">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HF030701</w:t>
            </w:r>
          </w:p>
        </w:tc>
        <w:tc>
          <w:tcPr>
            <w:tcW w:w="5989" w:type="dxa"/>
            <w:noWrap w:val="0"/>
            <w:vAlign w:val="top"/>
          </w:tcPr>
          <w:p w14:paraId="2203C60A">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1、建有完善的渗沥液收集、贮存系统且运行稳定。否则视情节轻重，扣0.5-1.0分。</w:t>
            </w:r>
          </w:p>
        </w:tc>
        <w:tc>
          <w:tcPr>
            <w:tcW w:w="882" w:type="dxa"/>
            <w:vMerge w:val="restart"/>
            <w:noWrap w:val="0"/>
            <w:vAlign w:val="top"/>
          </w:tcPr>
          <w:p w14:paraId="51C63D6D">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查环评批复、运行及检修记录、监测报告，现场检查。 </w:t>
            </w:r>
          </w:p>
        </w:tc>
        <w:tc>
          <w:tcPr>
            <w:tcW w:w="1014" w:type="dxa"/>
            <w:noWrap w:val="0"/>
            <w:vAlign w:val="top"/>
          </w:tcPr>
          <w:p w14:paraId="3C94355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7D141E72">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1E81E9E">
            <w:pPr>
              <w:widowControl/>
              <w:spacing w:line="379" w:lineRule="exact"/>
              <w:ind w:right="-20"/>
              <w:jc w:val="center"/>
              <w:rPr>
                <w:rFonts w:hint="eastAsia" w:ascii="仿宋" w:hAnsi="仿宋" w:eastAsia="仿宋" w:cs="仿宋"/>
                <w:color w:val="000000"/>
                <w:sz w:val="20"/>
                <w:szCs w:val="20"/>
                <w:vertAlign w:val="baseline"/>
              </w:rPr>
            </w:pPr>
          </w:p>
        </w:tc>
      </w:tr>
      <w:tr w14:paraId="07CBE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EBD687E">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37BFE6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41B8F07E">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3799E80F">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584FF40C">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HF030702</w:t>
            </w:r>
          </w:p>
        </w:tc>
        <w:tc>
          <w:tcPr>
            <w:tcW w:w="5989" w:type="dxa"/>
            <w:noWrap w:val="0"/>
            <w:vAlign w:val="top"/>
          </w:tcPr>
          <w:p w14:paraId="460EE932">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2、按环评要求对各项污水进行规范处置。炉渣冷却水、地面冲洗水、生活污水等不规范处置扣1.0分。</w:t>
            </w:r>
          </w:p>
        </w:tc>
        <w:tc>
          <w:tcPr>
            <w:tcW w:w="882" w:type="dxa"/>
            <w:vMerge w:val="continue"/>
            <w:noWrap w:val="0"/>
            <w:vAlign w:val="top"/>
          </w:tcPr>
          <w:p w14:paraId="290DC6CD">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3E8C579A">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2CE74B5">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CBBE187">
            <w:pPr>
              <w:widowControl/>
              <w:spacing w:line="379" w:lineRule="exact"/>
              <w:ind w:right="-20"/>
              <w:jc w:val="center"/>
              <w:rPr>
                <w:rFonts w:hint="eastAsia" w:ascii="仿宋" w:hAnsi="仿宋" w:eastAsia="仿宋" w:cs="仿宋"/>
                <w:color w:val="000000"/>
                <w:sz w:val="20"/>
                <w:szCs w:val="20"/>
                <w:vertAlign w:val="baseline"/>
              </w:rPr>
            </w:pPr>
          </w:p>
        </w:tc>
      </w:tr>
      <w:tr w14:paraId="31AB6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6BECDD6">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403B7A7">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0A68DCD7">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31809A5">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18B2C34A">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HF030703</w:t>
            </w:r>
          </w:p>
        </w:tc>
        <w:tc>
          <w:tcPr>
            <w:tcW w:w="5989" w:type="dxa"/>
            <w:noWrap w:val="0"/>
            <w:vAlign w:val="top"/>
          </w:tcPr>
          <w:p w14:paraId="6B991906">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3、生产生活污水处理后出水水质达到环评要求，且去向符合规定。处理后出水去向不符合要求的扣1分，出水水质超标的每项次扣0.3分。</w:t>
            </w:r>
          </w:p>
        </w:tc>
        <w:tc>
          <w:tcPr>
            <w:tcW w:w="882" w:type="dxa"/>
            <w:vMerge w:val="continue"/>
            <w:noWrap w:val="0"/>
            <w:vAlign w:val="top"/>
          </w:tcPr>
          <w:p w14:paraId="4742E625">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63BD8E5B">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0D71C38">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3D6D485">
            <w:pPr>
              <w:widowControl/>
              <w:spacing w:line="379" w:lineRule="exact"/>
              <w:ind w:right="-20"/>
              <w:jc w:val="center"/>
              <w:rPr>
                <w:rFonts w:hint="eastAsia" w:ascii="仿宋" w:hAnsi="仿宋" w:eastAsia="仿宋" w:cs="仿宋"/>
                <w:color w:val="000000"/>
                <w:sz w:val="20"/>
                <w:szCs w:val="20"/>
                <w:vertAlign w:val="baseline"/>
              </w:rPr>
            </w:pPr>
          </w:p>
        </w:tc>
      </w:tr>
      <w:tr w14:paraId="18981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AE299D7">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287ADDA6">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694A34C">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4C73806D">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2FDF600E">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HF030704</w:t>
            </w:r>
          </w:p>
        </w:tc>
        <w:tc>
          <w:tcPr>
            <w:tcW w:w="5989" w:type="dxa"/>
            <w:noWrap w:val="0"/>
            <w:vAlign w:val="top"/>
          </w:tcPr>
          <w:p w14:paraId="57FF5281">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4、按环评批复要求建有完善的厂区生产生活污水、雨水收集、雨污分流、处理系统并正常运行。否则有问题的每项次扣0.5</w:t>
            </w:r>
            <w:r>
              <w:rPr>
                <w:rFonts w:hint="eastAsia" w:ascii="仿宋" w:hAnsi="仿宋" w:eastAsia="仿宋" w:cs="仿宋"/>
                <w:color w:val="000000"/>
                <w:sz w:val="28"/>
                <w:szCs w:val="28"/>
                <w:vertAlign w:val="baseline"/>
                <w:lang w:eastAsia="zh-CN"/>
              </w:rPr>
              <w:t>分。</w:t>
            </w:r>
          </w:p>
        </w:tc>
        <w:tc>
          <w:tcPr>
            <w:tcW w:w="882" w:type="dxa"/>
            <w:vMerge w:val="continue"/>
            <w:noWrap w:val="0"/>
            <w:vAlign w:val="top"/>
          </w:tcPr>
          <w:p w14:paraId="5975C8DB">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00CB1EE4">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77F79851">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1C3B06B">
            <w:pPr>
              <w:widowControl/>
              <w:spacing w:line="379" w:lineRule="exact"/>
              <w:ind w:right="-20"/>
              <w:jc w:val="center"/>
              <w:rPr>
                <w:rFonts w:hint="eastAsia" w:ascii="仿宋" w:hAnsi="仿宋" w:eastAsia="仿宋" w:cs="仿宋"/>
                <w:color w:val="000000"/>
                <w:sz w:val="20"/>
                <w:szCs w:val="20"/>
                <w:vertAlign w:val="baseline"/>
              </w:rPr>
            </w:pPr>
          </w:p>
        </w:tc>
      </w:tr>
      <w:tr w14:paraId="6AF3C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3A8EC30A">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02CDB6F">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19B1B02">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0CDE9D6E">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714CDEB8">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HF030705</w:t>
            </w:r>
          </w:p>
        </w:tc>
        <w:tc>
          <w:tcPr>
            <w:tcW w:w="5989" w:type="dxa"/>
            <w:noWrap w:val="0"/>
            <w:vAlign w:val="top"/>
          </w:tcPr>
          <w:p w14:paraId="1EEA736C">
            <w:pPr>
              <w:widowControl/>
              <w:spacing w:line="379" w:lineRule="exact"/>
              <w:ind w:right="-20"/>
              <w:jc w:val="both"/>
              <w:rPr>
                <w:rFonts w:hint="default" w:ascii="仿宋" w:hAnsi="仿宋" w:eastAsia="仿宋" w:cs="仿宋"/>
                <w:color w:val="000000"/>
                <w:sz w:val="28"/>
                <w:szCs w:val="28"/>
                <w:vertAlign w:val="baseline"/>
                <w:lang w:val="en-US" w:eastAsia="zh-CN"/>
              </w:rPr>
            </w:pPr>
            <w:r>
              <w:rPr>
                <w:rFonts w:hint="eastAsia" w:ascii="仿宋" w:hAnsi="仿宋" w:eastAsia="仿宋" w:cs="仿宋"/>
                <w:color w:val="000000"/>
                <w:sz w:val="28"/>
                <w:szCs w:val="28"/>
                <w:vertAlign w:val="baseline"/>
                <w:lang w:val="en-US" w:eastAsia="zh-CN"/>
              </w:rPr>
              <w:t>5、根据规范要求开展全厂水平衡系统分析，进出水源、去向、台账清晰合理。没有全厂水平衡系统扣3分，不合理去向的每一项扣0.5分。</w:t>
            </w:r>
          </w:p>
        </w:tc>
        <w:tc>
          <w:tcPr>
            <w:tcW w:w="882" w:type="dxa"/>
            <w:vMerge w:val="continue"/>
            <w:noWrap w:val="0"/>
            <w:vAlign w:val="top"/>
          </w:tcPr>
          <w:p w14:paraId="5CAEBD64">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28DC109C">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9584B06">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49D41B9">
            <w:pPr>
              <w:widowControl/>
              <w:spacing w:line="379" w:lineRule="exact"/>
              <w:ind w:right="-20"/>
              <w:jc w:val="center"/>
              <w:rPr>
                <w:rFonts w:hint="eastAsia" w:ascii="仿宋" w:hAnsi="仿宋" w:eastAsia="仿宋" w:cs="仿宋"/>
                <w:color w:val="000000"/>
                <w:sz w:val="20"/>
                <w:szCs w:val="20"/>
                <w:vertAlign w:val="baseline"/>
              </w:rPr>
            </w:pPr>
          </w:p>
        </w:tc>
      </w:tr>
      <w:tr w14:paraId="648BE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4CE827BA">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8AF4576">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C417645">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7AE788BA">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027E5A61">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HF030706</w:t>
            </w:r>
          </w:p>
        </w:tc>
        <w:tc>
          <w:tcPr>
            <w:tcW w:w="5989" w:type="dxa"/>
            <w:noWrap w:val="0"/>
            <w:vAlign w:val="top"/>
          </w:tcPr>
          <w:p w14:paraId="2A81D1EC">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6、每年2-12月，考核上一月度污水及废水排放总量不得超过年度环评批复及排污许可排放总量÷12。否则结合考虑设施当月月均负荷率按超排量酌扣0.2-0.5分。</w:t>
            </w:r>
          </w:p>
        </w:tc>
        <w:tc>
          <w:tcPr>
            <w:tcW w:w="882" w:type="dxa"/>
            <w:vMerge w:val="continue"/>
            <w:noWrap w:val="0"/>
            <w:vAlign w:val="top"/>
          </w:tcPr>
          <w:p w14:paraId="511458F2">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74DDABF3">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EC48237">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978CF66">
            <w:pPr>
              <w:widowControl/>
              <w:spacing w:line="379" w:lineRule="exact"/>
              <w:ind w:right="-20"/>
              <w:jc w:val="center"/>
              <w:rPr>
                <w:rFonts w:hint="eastAsia" w:ascii="仿宋" w:hAnsi="仿宋" w:eastAsia="仿宋" w:cs="仿宋"/>
                <w:color w:val="000000"/>
                <w:sz w:val="20"/>
                <w:szCs w:val="20"/>
                <w:vertAlign w:val="baseline"/>
              </w:rPr>
            </w:pPr>
          </w:p>
        </w:tc>
      </w:tr>
      <w:tr w14:paraId="00A51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1A4DE895">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E89D29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3C2BE07">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EBB5A20">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72D9CE82">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HF030707</w:t>
            </w:r>
          </w:p>
        </w:tc>
        <w:tc>
          <w:tcPr>
            <w:tcW w:w="5989" w:type="dxa"/>
            <w:noWrap w:val="0"/>
            <w:vAlign w:val="top"/>
          </w:tcPr>
          <w:p w14:paraId="4CFFED16">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 xml:space="preserve">7、每年1月，考核上一年度污水及废水排放总量不得超过年度环评批复及排污许可总量。否则结合考虑设施当年年均负荷率按超排量酌扣0.2-0.5分。 </w:t>
            </w:r>
          </w:p>
        </w:tc>
        <w:tc>
          <w:tcPr>
            <w:tcW w:w="882" w:type="dxa"/>
            <w:vMerge w:val="continue"/>
            <w:noWrap w:val="0"/>
            <w:vAlign w:val="top"/>
          </w:tcPr>
          <w:p w14:paraId="0C4C4609">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09CF394">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A4A9F09">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E6DA8DF">
            <w:pPr>
              <w:widowControl/>
              <w:spacing w:line="379" w:lineRule="exact"/>
              <w:ind w:right="-20"/>
              <w:jc w:val="center"/>
              <w:rPr>
                <w:rFonts w:hint="eastAsia" w:ascii="仿宋" w:hAnsi="仿宋" w:eastAsia="仿宋" w:cs="仿宋"/>
                <w:color w:val="000000"/>
                <w:sz w:val="20"/>
                <w:szCs w:val="20"/>
                <w:vertAlign w:val="baseline"/>
              </w:rPr>
            </w:pPr>
          </w:p>
        </w:tc>
      </w:tr>
      <w:tr w14:paraId="50AC2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10D971A">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486E855">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6E19831">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74019196">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77EC2344">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HF030708</w:t>
            </w:r>
          </w:p>
        </w:tc>
        <w:tc>
          <w:tcPr>
            <w:tcW w:w="5989" w:type="dxa"/>
            <w:noWrap w:val="0"/>
            <w:vAlign w:val="top"/>
          </w:tcPr>
          <w:p w14:paraId="707C03AD">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8、污水处理及废水排放等环节存在其他问题的情形，视情节轻重，酌扣0.2、0.5、1.0分。</w:t>
            </w:r>
          </w:p>
        </w:tc>
        <w:tc>
          <w:tcPr>
            <w:tcW w:w="882" w:type="dxa"/>
            <w:vMerge w:val="continue"/>
            <w:noWrap w:val="0"/>
            <w:vAlign w:val="top"/>
          </w:tcPr>
          <w:p w14:paraId="13250183">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3B29A39C">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49C7BB2">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307A583">
            <w:pPr>
              <w:widowControl/>
              <w:spacing w:line="379" w:lineRule="exact"/>
              <w:ind w:right="-20"/>
              <w:jc w:val="center"/>
              <w:rPr>
                <w:rFonts w:hint="eastAsia" w:ascii="仿宋" w:hAnsi="仿宋" w:eastAsia="仿宋" w:cs="仿宋"/>
                <w:color w:val="000000"/>
                <w:sz w:val="20"/>
                <w:szCs w:val="20"/>
                <w:vertAlign w:val="baseline"/>
              </w:rPr>
            </w:pPr>
          </w:p>
        </w:tc>
      </w:tr>
      <w:tr w14:paraId="41A1E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19200240">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8FC0B9A">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4C127A95">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444E0042">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噪声控制</w:t>
            </w:r>
          </w:p>
          <w:p w14:paraId="56FCE55B">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(HF0308) </w:t>
            </w:r>
          </w:p>
          <w:p w14:paraId="5BEB6439">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（2 分</w:t>
            </w:r>
          </w:p>
        </w:tc>
        <w:tc>
          <w:tcPr>
            <w:tcW w:w="1083" w:type="dxa"/>
            <w:noWrap w:val="0"/>
            <w:vAlign w:val="top"/>
          </w:tcPr>
          <w:p w14:paraId="03701478">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HF030801</w:t>
            </w:r>
          </w:p>
        </w:tc>
        <w:tc>
          <w:tcPr>
            <w:tcW w:w="5989" w:type="dxa"/>
            <w:noWrap w:val="0"/>
            <w:vAlign w:val="top"/>
          </w:tcPr>
          <w:p w14:paraId="74CAE244">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 xml:space="preserve">1、厂界、设备噪声全面达标。检测指标超标每项次扣0.2分，降噪防噪现场管理不到位的扣0.5分。 </w:t>
            </w:r>
          </w:p>
        </w:tc>
        <w:tc>
          <w:tcPr>
            <w:tcW w:w="882" w:type="dxa"/>
            <w:vMerge w:val="restart"/>
            <w:noWrap w:val="0"/>
            <w:vAlign w:val="top"/>
          </w:tcPr>
          <w:p w14:paraId="0C041BD8">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查看资料 </w:t>
            </w:r>
          </w:p>
          <w:p w14:paraId="60756707">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现场检查</w:t>
            </w:r>
          </w:p>
        </w:tc>
        <w:tc>
          <w:tcPr>
            <w:tcW w:w="1014" w:type="dxa"/>
            <w:noWrap w:val="0"/>
            <w:vAlign w:val="top"/>
          </w:tcPr>
          <w:p w14:paraId="1B8AD13D">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8964EFF">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D0909C2">
            <w:pPr>
              <w:widowControl/>
              <w:spacing w:line="379" w:lineRule="exact"/>
              <w:ind w:right="-20"/>
              <w:jc w:val="center"/>
              <w:rPr>
                <w:rFonts w:hint="eastAsia" w:ascii="仿宋" w:hAnsi="仿宋" w:eastAsia="仿宋" w:cs="仿宋"/>
                <w:color w:val="000000"/>
                <w:sz w:val="20"/>
                <w:szCs w:val="20"/>
                <w:vertAlign w:val="baseline"/>
              </w:rPr>
            </w:pPr>
          </w:p>
        </w:tc>
      </w:tr>
      <w:tr w14:paraId="25567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535F2FD4">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08B12FB">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62D3ED1">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146F50C7">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31E7A4CB">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HF030802</w:t>
            </w:r>
          </w:p>
        </w:tc>
        <w:tc>
          <w:tcPr>
            <w:tcW w:w="5989" w:type="dxa"/>
            <w:noWrap w:val="0"/>
            <w:vAlign w:val="top"/>
          </w:tcPr>
          <w:p w14:paraId="048B4A47">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 xml:space="preserve">2、因厂界、设备噪声超标造成投诉经查实等其他问题的，视情节轻重，酌扣0.2、0.5、1分。 </w:t>
            </w:r>
          </w:p>
        </w:tc>
        <w:tc>
          <w:tcPr>
            <w:tcW w:w="882" w:type="dxa"/>
            <w:vMerge w:val="continue"/>
            <w:noWrap w:val="0"/>
            <w:vAlign w:val="top"/>
          </w:tcPr>
          <w:p w14:paraId="43A5C224">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D35102B">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06D2FC2">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45D112A">
            <w:pPr>
              <w:widowControl/>
              <w:spacing w:line="379" w:lineRule="exact"/>
              <w:ind w:right="-20"/>
              <w:jc w:val="center"/>
              <w:rPr>
                <w:rFonts w:hint="eastAsia" w:ascii="仿宋" w:hAnsi="仿宋" w:eastAsia="仿宋" w:cs="仿宋"/>
                <w:color w:val="000000"/>
                <w:sz w:val="20"/>
                <w:szCs w:val="20"/>
                <w:vertAlign w:val="baseline"/>
              </w:rPr>
            </w:pPr>
          </w:p>
        </w:tc>
      </w:tr>
      <w:tr w14:paraId="5FE11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C402C6E">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2CD92B0">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7CB12D4">
            <w:pPr>
              <w:widowControl/>
              <w:spacing w:line="379" w:lineRule="exact"/>
              <w:ind w:right="-20"/>
              <w:jc w:val="center"/>
              <w:rPr>
                <w:rFonts w:hint="eastAsia" w:ascii="仿宋" w:hAnsi="仿宋" w:eastAsia="仿宋" w:cs="仿宋"/>
                <w:color w:val="000000"/>
                <w:sz w:val="20"/>
                <w:szCs w:val="20"/>
                <w:vertAlign w:val="baseline"/>
              </w:rPr>
            </w:pPr>
          </w:p>
        </w:tc>
        <w:tc>
          <w:tcPr>
            <w:tcW w:w="998" w:type="dxa"/>
            <w:noWrap w:val="0"/>
            <w:vAlign w:val="top"/>
          </w:tcPr>
          <w:p w14:paraId="6A4DC934">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其他危废 (HF0309) </w:t>
            </w:r>
          </w:p>
          <w:p w14:paraId="2072A177">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（1 分） </w:t>
            </w:r>
          </w:p>
        </w:tc>
        <w:tc>
          <w:tcPr>
            <w:tcW w:w="1083" w:type="dxa"/>
            <w:noWrap w:val="0"/>
            <w:vAlign w:val="top"/>
          </w:tcPr>
          <w:p w14:paraId="4579C35D">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HF030901</w:t>
            </w:r>
          </w:p>
        </w:tc>
        <w:tc>
          <w:tcPr>
            <w:tcW w:w="5989" w:type="dxa"/>
            <w:noWrap w:val="0"/>
            <w:vAlign w:val="top"/>
          </w:tcPr>
          <w:p w14:paraId="646187E3">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设施运维产生的其他危废应按国家相关法规管理，满足分类保管、登记、定期处置等规范要求。存在问题隐患的，视情节轻重，酌扣0.2、0.5、1.0分。</w:t>
            </w:r>
          </w:p>
        </w:tc>
        <w:tc>
          <w:tcPr>
            <w:tcW w:w="882" w:type="dxa"/>
            <w:noWrap w:val="0"/>
            <w:vAlign w:val="top"/>
          </w:tcPr>
          <w:p w14:paraId="48E670C5">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查看资料 </w:t>
            </w:r>
          </w:p>
          <w:p w14:paraId="321F7675">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现场检查 </w:t>
            </w:r>
          </w:p>
        </w:tc>
        <w:tc>
          <w:tcPr>
            <w:tcW w:w="1014" w:type="dxa"/>
            <w:noWrap w:val="0"/>
            <w:vAlign w:val="top"/>
          </w:tcPr>
          <w:p w14:paraId="03288969">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8D262D2">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012E878">
            <w:pPr>
              <w:widowControl/>
              <w:spacing w:line="379" w:lineRule="exact"/>
              <w:ind w:right="-20"/>
              <w:jc w:val="center"/>
              <w:rPr>
                <w:rFonts w:hint="eastAsia" w:ascii="仿宋" w:hAnsi="仿宋" w:eastAsia="仿宋" w:cs="仿宋"/>
                <w:color w:val="000000"/>
                <w:sz w:val="20"/>
                <w:szCs w:val="20"/>
                <w:vertAlign w:val="baseline"/>
              </w:rPr>
            </w:pPr>
          </w:p>
        </w:tc>
      </w:tr>
      <w:tr w14:paraId="0FD86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2B8CAEF0">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4</w:t>
            </w:r>
          </w:p>
        </w:tc>
        <w:tc>
          <w:tcPr>
            <w:tcW w:w="1245" w:type="dxa"/>
            <w:vMerge w:val="restart"/>
            <w:noWrap w:val="0"/>
            <w:vAlign w:val="top"/>
          </w:tcPr>
          <w:p w14:paraId="3FC09E6F">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内部管理 (HF04) </w:t>
            </w:r>
          </w:p>
        </w:tc>
        <w:tc>
          <w:tcPr>
            <w:tcW w:w="638" w:type="dxa"/>
            <w:vMerge w:val="restart"/>
            <w:noWrap w:val="0"/>
            <w:vAlign w:val="top"/>
          </w:tcPr>
          <w:p w14:paraId="7B6071C8">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21分</w:t>
            </w:r>
          </w:p>
        </w:tc>
        <w:tc>
          <w:tcPr>
            <w:tcW w:w="998" w:type="dxa"/>
            <w:vMerge w:val="restart"/>
            <w:noWrap w:val="0"/>
            <w:vAlign w:val="top"/>
          </w:tcPr>
          <w:p w14:paraId="6FE9E0D1">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制度建设 (HF0401) </w:t>
            </w:r>
          </w:p>
          <w:p w14:paraId="36BCDE99">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（4 分）</w:t>
            </w:r>
          </w:p>
        </w:tc>
        <w:tc>
          <w:tcPr>
            <w:tcW w:w="1083" w:type="dxa"/>
            <w:noWrap w:val="0"/>
            <w:vAlign w:val="top"/>
          </w:tcPr>
          <w:p w14:paraId="6F43861B">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HF040101</w:t>
            </w:r>
          </w:p>
        </w:tc>
        <w:tc>
          <w:tcPr>
            <w:tcW w:w="5989" w:type="dxa"/>
            <w:noWrap w:val="0"/>
            <w:vAlign w:val="top"/>
          </w:tcPr>
          <w:p w14:paraId="617BB54F">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lang w:val="en-US" w:eastAsia="zh-CN"/>
              </w:rPr>
              <w:t>1、</w:t>
            </w:r>
            <w:r>
              <w:rPr>
                <w:rFonts w:hint="eastAsia" w:ascii="仿宋" w:hAnsi="仿宋" w:eastAsia="仿宋" w:cs="仿宋"/>
                <w:color w:val="000000"/>
                <w:sz w:val="28"/>
                <w:szCs w:val="28"/>
                <w:vertAlign w:val="baseline"/>
              </w:rPr>
              <w:t>根据生产工艺和岗位设置等情况制定规章制度、岗位职责、操作规程，规章制度、岗位职责、操作规程健全，每缺一项扣0.2分。</w:t>
            </w:r>
          </w:p>
        </w:tc>
        <w:tc>
          <w:tcPr>
            <w:tcW w:w="882" w:type="dxa"/>
            <w:vMerge w:val="restart"/>
            <w:noWrap w:val="0"/>
            <w:vAlign w:val="top"/>
          </w:tcPr>
          <w:p w14:paraId="015FD6CF">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查看资料 </w:t>
            </w:r>
          </w:p>
          <w:p w14:paraId="3865D378">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现场检查 </w:t>
            </w:r>
          </w:p>
        </w:tc>
        <w:tc>
          <w:tcPr>
            <w:tcW w:w="1014" w:type="dxa"/>
            <w:noWrap w:val="0"/>
            <w:vAlign w:val="top"/>
          </w:tcPr>
          <w:p w14:paraId="15DDD6F4">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3A90BBD">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F1BCF7A">
            <w:pPr>
              <w:widowControl/>
              <w:spacing w:line="379" w:lineRule="exact"/>
              <w:ind w:right="-20"/>
              <w:jc w:val="center"/>
              <w:rPr>
                <w:rFonts w:hint="eastAsia" w:ascii="仿宋" w:hAnsi="仿宋" w:eastAsia="仿宋" w:cs="仿宋"/>
                <w:color w:val="000000"/>
                <w:sz w:val="20"/>
                <w:szCs w:val="20"/>
                <w:vertAlign w:val="baseline"/>
              </w:rPr>
            </w:pPr>
          </w:p>
        </w:tc>
      </w:tr>
      <w:tr w14:paraId="5AEEC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36004737">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42F8F84">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77F78D0">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7CB9578A">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529C53C7">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HF040102</w:t>
            </w:r>
          </w:p>
        </w:tc>
        <w:tc>
          <w:tcPr>
            <w:tcW w:w="5989" w:type="dxa"/>
            <w:noWrap w:val="0"/>
            <w:vAlign w:val="top"/>
          </w:tcPr>
          <w:p w14:paraId="565A4EB8">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2、运行作业手册及设备操作维护保养手册规范齐全。每缺一项扣0.2分。</w:t>
            </w:r>
          </w:p>
        </w:tc>
        <w:tc>
          <w:tcPr>
            <w:tcW w:w="882" w:type="dxa"/>
            <w:vMerge w:val="continue"/>
            <w:noWrap w:val="0"/>
            <w:vAlign w:val="top"/>
          </w:tcPr>
          <w:p w14:paraId="27512437">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16B9FC3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5B84C22">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E8C5E3A">
            <w:pPr>
              <w:widowControl/>
              <w:spacing w:line="379" w:lineRule="exact"/>
              <w:ind w:right="-20"/>
              <w:jc w:val="center"/>
              <w:rPr>
                <w:rFonts w:hint="eastAsia" w:ascii="仿宋" w:hAnsi="仿宋" w:eastAsia="仿宋" w:cs="仿宋"/>
                <w:color w:val="000000"/>
                <w:sz w:val="20"/>
                <w:szCs w:val="20"/>
                <w:vertAlign w:val="baseline"/>
              </w:rPr>
            </w:pPr>
          </w:p>
        </w:tc>
      </w:tr>
      <w:tr w14:paraId="69765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1425" w:type="dxa"/>
            <w:noWrap w:val="0"/>
            <w:vAlign w:val="top"/>
          </w:tcPr>
          <w:p w14:paraId="2C8335C2">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22B7298D">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E841DED">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442D9D7D">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32E5B75B">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HF040103</w:t>
            </w:r>
          </w:p>
        </w:tc>
        <w:tc>
          <w:tcPr>
            <w:tcW w:w="5989" w:type="dxa"/>
            <w:noWrap w:val="0"/>
            <w:vAlign w:val="top"/>
          </w:tcPr>
          <w:p w14:paraId="1088470A">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3、有完善的内部运行考核制度并认真实施。有内部运行考核制度但没有组织实施的扣0.5分，没有内部运行考核制度的扣1分。</w:t>
            </w:r>
          </w:p>
        </w:tc>
        <w:tc>
          <w:tcPr>
            <w:tcW w:w="882" w:type="dxa"/>
            <w:vMerge w:val="continue"/>
            <w:noWrap w:val="0"/>
            <w:vAlign w:val="top"/>
          </w:tcPr>
          <w:p w14:paraId="2719123A">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3FAEED08">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EE9EFA8">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4726C5C">
            <w:pPr>
              <w:widowControl/>
              <w:spacing w:line="379" w:lineRule="exact"/>
              <w:ind w:right="-20"/>
              <w:jc w:val="center"/>
              <w:rPr>
                <w:rFonts w:hint="eastAsia" w:ascii="仿宋" w:hAnsi="仿宋" w:eastAsia="仿宋" w:cs="仿宋"/>
                <w:color w:val="000000"/>
                <w:sz w:val="20"/>
                <w:szCs w:val="20"/>
                <w:vertAlign w:val="baseline"/>
              </w:rPr>
            </w:pPr>
          </w:p>
        </w:tc>
      </w:tr>
      <w:tr w14:paraId="561B6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19B83EBA">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BE878CE">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8D21F88">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77FF17CC">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1F632DBC">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HF040104</w:t>
            </w:r>
          </w:p>
        </w:tc>
        <w:tc>
          <w:tcPr>
            <w:tcW w:w="5989" w:type="dxa"/>
            <w:noWrap w:val="0"/>
            <w:vAlign w:val="top"/>
          </w:tcPr>
          <w:p w14:paraId="3626B5B1">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lang w:val="en-US" w:eastAsia="zh-CN"/>
              </w:rPr>
              <w:t>4</w:t>
            </w:r>
            <w:r>
              <w:rPr>
                <w:rFonts w:hint="eastAsia" w:ascii="仿宋" w:hAnsi="仿宋" w:eastAsia="仿宋" w:cs="仿宋"/>
                <w:color w:val="000000"/>
                <w:sz w:val="28"/>
                <w:szCs w:val="28"/>
                <w:vertAlign w:val="baseline"/>
              </w:rPr>
              <w:t>、制度建设方面存在其他问题的，视情节轻重，酌扣0.1、0.2、0.5分。</w:t>
            </w:r>
          </w:p>
        </w:tc>
        <w:tc>
          <w:tcPr>
            <w:tcW w:w="882" w:type="dxa"/>
            <w:vMerge w:val="continue"/>
            <w:noWrap w:val="0"/>
            <w:vAlign w:val="top"/>
          </w:tcPr>
          <w:p w14:paraId="0B1B00D9">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6CF1551F">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C3BD880">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124C4B9">
            <w:pPr>
              <w:widowControl/>
              <w:spacing w:line="379" w:lineRule="exact"/>
              <w:ind w:right="-20"/>
              <w:jc w:val="center"/>
              <w:rPr>
                <w:rFonts w:hint="eastAsia" w:ascii="仿宋" w:hAnsi="仿宋" w:eastAsia="仿宋" w:cs="仿宋"/>
                <w:color w:val="000000"/>
                <w:sz w:val="20"/>
                <w:szCs w:val="20"/>
                <w:vertAlign w:val="baseline"/>
              </w:rPr>
            </w:pPr>
          </w:p>
        </w:tc>
      </w:tr>
      <w:tr w14:paraId="60A10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09804F3A">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4E506485">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559956C">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23D97B2B">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人员配置 (HF0402) </w:t>
            </w:r>
          </w:p>
          <w:p w14:paraId="55FF2873">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（2 分）</w:t>
            </w:r>
          </w:p>
        </w:tc>
        <w:tc>
          <w:tcPr>
            <w:tcW w:w="1083" w:type="dxa"/>
            <w:noWrap w:val="0"/>
            <w:vAlign w:val="top"/>
          </w:tcPr>
          <w:p w14:paraId="19008518">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HF040201</w:t>
            </w:r>
          </w:p>
        </w:tc>
        <w:tc>
          <w:tcPr>
            <w:tcW w:w="5989" w:type="dxa"/>
            <w:noWrap w:val="0"/>
            <w:vAlign w:val="top"/>
          </w:tcPr>
          <w:p w14:paraId="008E4AE9">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1、具有完善的培训体系，制定培训计划并组织实施，有培训计划没有组织实施的扣0.5分，没有建立培训体系的扣1分。</w:t>
            </w:r>
          </w:p>
        </w:tc>
        <w:tc>
          <w:tcPr>
            <w:tcW w:w="882" w:type="dxa"/>
            <w:vMerge w:val="restart"/>
            <w:noWrap w:val="0"/>
            <w:vAlign w:val="top"/>
          </w:tcPr>
          <w:p w14:paraId="7E286F74">
            <w:pPr>
              <w:widowControl/>
              <w:spacing w:line="379" w:lineRule="exact"/>
              <w:ind w:right="-20"/>
              <w:jc w:val="both"/>
              <w:rPr>
                <w:rFonts w:hint="eastAsia" w:ascii="仿宋" w:hAnsi="仿宋" w:eastAsia="仿宋" w:cs="仿宋"/>
                <w:color w:val="000000"/>
                <w:sz w:val="20"/>
                <w:szCs w:val="20"/>
                <w:vertAlign w:val="baseline"/>
                <w:lang w:eastAsia="zh-CN"/>
              </w:rPr>
            </w:pPr>
            <w:r>
              <w:rPr>
                <w:rFonts w:hint="eastAsia" w:ascii="仿宋" w:hAnsi="仿宋" w:eastAsia="仿宋" w:cs="仿宋"/>
                <w:color w:val="000000"/>
                <w:sz w:val="20"/>
                <w:szCs w:val="20"/>
                <w:vertAlign w:val="baseline"/>
              </w:rPr>
              <w:t>查职工名 册、分工 及</w:t>
            </w:r>
            <w:r>
              <w:rPr>
                <w:rFonts w:hint="eastAsia" w:ascii="仿宋" w:hAnsi="仿宋" w:eastAsia="仿宋" w:cs="仿宋"/>
                <w:color w:val="000000"/>
                <w:sz w:val="20"/>
                <w:szCs w:val="20"/>
                <w:vertAlign w:val="baseline"/>
                <w:lang w:eastAsia="zh-CN"/>
              </w:rPr>
              <w:t>相关证书</w:t>
            </w:r>
          </w:p>
        </w:tc>
        <w:tc>
          <w:tcPr>
            <w:tcW w:w="1014" w:type="dxa"/>
            <w:noWrap w:val="0"/>
            <w:vAlign w:val="top"/>
          </w:tcPr>
          <w:p w14:paraId="783C5CD7">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C42DF00">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2A2AEE4">
            <w:pPr>
              <w:widowControl/>
              <w:spacing w:line="379" w:lineRule="exact"/>
              <w:ind w:right="-20"/>
              <w:jc w:val="center"/>
              <w:rPr>
                <w:rFonts w:hint="eastAsia" w:ascii="仿宋" w:hAnsi="仿宋" w:eastAsia="仿宋" w:cs="仿宋"/>
                <w:color w:val="000000"/>
                <w:sz w:val="20"/>
                <w:szCs w:val="20"/>
                <w:vertAlign w:val="baseline"/>
              </w:rPr>
            </w:pPr>
          </w:p>
        </w:tc>
      </w:tr>
      <w:tr w14:paraId="4FEBE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3DAFB0B6">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71FB613">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27F0677">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2C96FA5">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5FEE0037">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HF040202</w:t>
            </w:r>
          </w:p>
        </w:tc>
        <w:tc>
          <w:tcPr>
            <w:tcW w:w="5989" w:type="dxa"/>
            <w:noWrap w:val="0"/>
            <w:vAlign w:val="top"/>
          </w:tcPr>
          <w:p w14:paraId="63E417E9">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2、特种作业人员 100%持证上岗，操作资格证在有效期内。有1人不持证上岗或资格证过期的扣0.5分。</w:t>
            </w:r>
          </w:p>
        </w:tc>
        <w:tc>
          <w:tcPr>
            <w:tcW w:w="882" w:type="dxa"/>
            <w:vMerge w:val="continue"/>
            <w:noWrap w:val="0"/>
            <w:vAlign w:val="top"/>
          </w:tcPr>
          <w:p w14:paraId="7E28EC41">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12C47888">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6BCC686A">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F1171AF">
            <w:pPr>
              <w:widowControl/>
              <w:spacing w:line="379" w:lineRule="exact"/>
              <w:ind w:right="-20"/>
              <w:jc w:val="center"/>
              <w:rPr>
                <w:rFonts w:hint="eastAsia" w:ascii="仿宋" w:hAnsi="仿宋" w:eastAsia="仿宋" w:cs="仿宋"/>
                <w:color w:val="000000"/>
                <w:sz w:val="20"/>
                <w:szCs w:val="20"/>
                <w:vertAlign w:val="baseline"/>
              </w:rPr>
            </w:pPr>
          </w:p>
        </w:tc>
      </w:tr>
      <w:tr w14:paraId="78102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066DFB02">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41C44BE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411801D9">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4D47E6D0">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007F4B7B">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HF040203</w:t>
            </w:r>
          </w:p>
        </w:tc>
        <w:tc>
          <w:tcPr>
            <w:tcW w:w="5989" w:type="dxa"/>
            <w:noWrap w:val="0"/>
            <w:vAlign w:val="top"/>
          </w:tcPr>
          <w:p w14:paraId="580237DB">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3、人员配置存在其他方面问题的，视情节轻 重，酌扣0.1、0.2、0.5分。</w:t>
            </w:r>
          </w:p>
        </w:tc>
        <w:tc>
          <w:tcPr>
            <w:tcW w:w="882" w:type="dxa"/>
            <w:vMerge w:val="continue"/>
            <w:noWrap w:val="0"/>
            <w:vAlign w:val="top"/>
          </w:tcPr>
          <w:p w14:paraId="28E93758">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1BC961E">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FA4719E">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35A258B">
            <w:pPr>
              <w:widowControl/>
              <w:spacing w:line="379" w:lineRule="exact"/>
              <w:ind w:right="-20"/>
              <w:jc w:val="center"/>
              <w:rPr>
                <w:rFonts w:hint="eastAsia" w:ascii="仿宋" w:hAnsi="仿宋" w:eastAsia="仿宋" w:cs="仿宋"/>
                <w:color w:val="000000"/>
                <w:sz w:val="20"/>
                <w:szCs w:val="20"/>
                <w:vertAlign w:val="baseline"/>
              </w:rPr>
            </w:pPr>
          </w:p>
        </w:tc>
      </w:tr>
      <w:tr w14:paraId="0A5C2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026E5642">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F619E9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537C188">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65571CD8">
            <w:pPr>
              <w:widowControl/>
              <w:spacing w:line="379" w:lineRule="exact"/>
              <w:ind w:right="-20"/>
              <w:jc w:val="both"/>
              <w:rPr>
                <w:rFonts w:hint="eastAsia" w:ascii="仿宋" w:hAnsi="仿宋" w:eastAsia="仿宋" w:cs="仿宋"/>
                <w:color w:val="000000"/>
                <w:sz w:val="20"/>
                <w:szCs w:val="20"/>
                <w:vertAlign w:val="baseline"/>
              </w:rPr>
            </w:pPr>
          </w:p>
          <w:p w14:paraId="19BE5C0B">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安全管理 (HF0403) </w:t>
            </w:r>
          </w:p>
          <w:p w14:paraId="75893B23">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（10 分）</w:t>
            </w:r>
          </w:p>
        </w:tc>
        <w:tc>
          <w:tcPr>
            <w:tcW w:w="1083" w:type="dxa"/>
            <w:noWrap w:val="0"/>
            <w:vAlign w:val="top"/>
          </w:tcPr>
          <w:p w14:paraId="71F300E8">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HF040301</w:t>
            </w:r>
          </w:p>
        </w:tc>
        <w:tc>
          <w:tcPr>
            <w:tcW w:w="5989" w:type="dxa"/>
            <w:noWrap w:val="0"/>
            <w:vAlign w:val="top"/>
          </w:tcPr>
          <w:p w14:paraId="66B191D8">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1、发生责任安全事故每次扣0.5分</w:t>
            </w:r>
            <w:r>
              <w:rPr>
                <w:rFonts w:hint="eastAsia" w:ascii="仿宋" w:hAnsi="仿宋" w:eastAsia="仿宋" w:cs="仿宋"/>
                <w:color w:val="000000"/>
                <w:sz w:val="28"/>
                <w:szCs w:val="28"/>
                <w:vertAlign w:val="baseline"/>
                <w:lang w:eastAsia="zh-CN"/>
              </w:rPr>
              <w:t>。</w:t>
            </w:r>
          </w:p>
        </w:tc>
        <w:tc>
          <w:tcPr>
            <w:tcW w:w="882" w:type="dxa"/>
            <w:vMerge w:val="restart"/>
            <w:noWrap w:val="0"/>
            <w:vAlign w:val="top"/>
          </w:tcPr>
          <w:p w14:paraId="3B987C07">
            <w:pPr>
              <w:widowControl/>
              <w:spacing w:line="379" w:lineRule="exact"/>
              <w:ind w:right="-20"/>
              <w:jc w:val="center"/>
              <w:rPr>
                <w:rFonts w:hint="eastAsia" w:ascii="仿宋" w:hAnsi="仿宋" w:eastAsia="仿宋" w:cs="仿宋"/>
                <w:color w:val="000000"/>
                <w:sz w:val="20"/>
                <w:szCs w:val="20"/>
                <w:vertAlign w:val="baseline"/>
              </w:rPr>
            </w:pPr>
          </w:p>
          <w:p w14:paraId="34993BB7">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查看资料 </w:t>
            </w:r>
          </w:p>
          <w:p w14:paraId="6FF8FD1D">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现场检查</w:t>
            </w:r>
          </w:p>
        </w:tc>
        <w:tc>
          <w:tcPr>
            <w:tcW w:w="1014" w:type="dxa"/>
            <w:noWrap w:val="0"/>
            <w:vAlign w:val="top"/>
          </w:tcPr>
          <w:p w14:paraId="65FAD768">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82B8FD5">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B6A10F7">
            <w:pPr>
              <w:widowControl/>
              <w:spacing w:line="379" w:lineRule="exact"/>
              <w:ind w:right="-20"/>
              <w:jc w:val="center"/>
              <w:rPr>
                <w:rFonts w:hint="eastAsia" w:ascii="仿宋" w:hAnsi="仿宋" w:eastAsia="仿宋" w:cs="仿宋"/>
                <w:color w:val="000000"/>
                <w:sz w:val="20"/>
                <w:szCs w:val="20"/>
                <w:vertAlign w:val="baseline"/>
              </w:rPr>
            </w:pPr>
          </w:p>
        </w:tc>
      </w:tr>
      <w:tr w14:paraId="3058E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658AA636">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268594A">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736B24F1">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F17A7E4">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7EF9ADD4">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HF040302</w:t>
            </w:r>
          </w:p>
        </w:tc>
        <w:tc>
          <w:tcPr>
            <w:tcW w:w="5989" w:type="dxa"/>
            <w:noWrap w:val="0"/>
            <w:vAlign w:val="top"/>
          </w:tcPr>
          <w:p w14:paraId="1A9039D8">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2、执行“两票三制”的且执行记录规范、齐全。没有不得分，有一项缺陷的扣0.5分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2149281E">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1490299">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9D59FDD">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DAC491B">
            <w:pPr>
              <w:widowControl/>
              <w:spacing w:line="379" w:lineRule="exact"/>
              <w:ind w:right="-20"/>
              <w:jc w:val="center"/>
              <w:rPr>
                <w:rFonts w:hint="eastAsia" w:ascii="仿宋" w:hAnsi="仿宋" w:eastAsia="仿宋" w:cs="仿宋"/>
                <w:color w:val="000000"/>
                <w:sz w:val="20"/>
                <w:szCs w:val="20"/>
                <w:vertAlign w:val="baseline"/>
              </w:rPr>
            </w:pPr>
          </w:p>
        </w:tc>
      </w:tr>
      <w:tr w14:paraId="02184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1633CCBC">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46B6478">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1AD0929">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19DD4711">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6E73856A">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HF040303</w:t>
            </w:r>
          </w:p>
        </w:tc>
        <w:tc>
          <w:tcPr>
            <w:tcW w:w="5989" w:type="dxa"/>
            <w:noWrap w:val="0"/>
            <w:vAlign w:val="top"/>
          </w:tcPr>
          <w:p w14:paraId="564C1317">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3、按规定对作业人员进行劳动保护。没有按规定配发劳动保护用品的扣1分，有1人或以上不正确穿戴劳动保护用品的扣0.5分。</w:t>
            </w:r>
          </w:p>
        </w:tc>
        <w:tc>
          <w:tcPr>
            <w:tcW w:w="882" w:type="dxa"/>
            <w:vMerge w:val="continue"/>
            <w:noWrap w:val="0"/>
            <w:vAlign w:val="top"/>
          </w:tcPr>
          <w:p w14:paraId="79BDAC5A">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7E123A0">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2822054">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F893C16">
            <w:pPr>
              <w:widowControl/>
              <w:spacing w:line="379" w:lineRule="exact"/>
              <w:ind w:right="-20"/>
              <w:jc w:val="center"/>
              <w:rPr>
                <w:rFonts w:hint="eastAsia" w:ascii="仿宋" w:hAnsi="仿宋" w:eastAsia="仿宋" w:cs="仿宋"/>
                <w:color w:val="000000"/>
                <w:sz w:val="20"/>
                <w:szCs w:val="20"/>
                <w:vertAlign w:val="baseline"/>
              </w:rPr>
            </w:pPr>
          </w:p>
        </w:tc>
      </w:tr>
      <w:tr w14:paraId="2750C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719051F9">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9B6051E">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42302DD">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3119C33">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1AAF02CE">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HF040304</w:t>
            </w:r>
          </w:p>
        </w:tc>
        <w:tc>
          <w:tcPr>
            <w:tcW w:w="5989" w:type="dxa"/>
            <w:noWrap w:val="0"/>
            <w:vAlign w:val="top"/>
          </w:tcPr>
          <w:p w14:paraId="733C7608">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4、建立风险管控和隐患排查治理双重预防机制并有效落实。风险识别不全、或隐患排除不全面的，每缺少一项内容扣0.2分，建立机制没有落实的扣1分，排查的隐患没有及时治理的，每项扣1分，重大隐患没有治理的扣2分。</w:t>
            </w:r>
          </w:p>
        </w:tc>
        <w:tc>
          <w:tcPr>
            <w:tcW w:w="882" w:type="dxa"/>
            <w:vMerge w:val="continue"/>
            <w:noWrap w:val="0"/>
            <w:vAlign w:val="top"/>
          </w:tcPr>
          <w:p w14:paraId="0DA70E96">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3A178C39">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568BA6D">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B60CB14">
            <w:pPr>
              <w:widowControl/>
              <w:spacing w:line="379" w:lineRule="exact"/>
              <w:ind w:right="-20"/>
              <w:jc w:val="center"/>
              <w:rPr>
                <w:rFonts w:hint="eastAsia" w:ascii="仿宋" w:hAnsi="仿宋" w:eastAsia="仿宋" w:cs="仿宋"/>
                <w:color w:val="000000"/>
                <w:sz w:val="20"/>
                <w:szCs w:val="20"/>
                <w:vertAlign w:val="baseline"/>
              </w:rPr>
            </w:pPr>
          </w:p>
        </w:tc>
      </w:tr>
      <w:tr w14:paraId="3F2E8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753BC2B2">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19248AD">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AD526E9">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FF133E1">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2683563B">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HF040305</w:t>
            </w:r>
          </w:p>
        </w:tc>
        <w:tc>
          <w:tcPr>
            <w:tcW w:w="5989" w:type="dxa"/>
            <w:noWrap w:val="0"/>
            <w:vAlign w:val="top"/>
          </w:tcPr>
          <w:p w14:paraId="10896AC4">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5、安全教育培训，对员工进行法律法规、安全制度、操作规程、三级安全教育、“三新”教育。安全教育内容不全面的，缺一项内容 扣0.2分，没有进行安全教育培训的扣1.5分。</w:t>
            </w:r>
          </w:p>
        </w:tc>
        <w:tc>
          <w:tcPr>
            <w:tcW w:w="882" w:type="dxa"/>
            <w:vMerge w:val="continue"/>
            <w:noWrap w:val="0"/>
            <w:vAlign w:val="top"/>
          </w:tcPr>
          <w:p w14:paraId="3204DD48">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11AABB5E">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D9BE3FE">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50E845D">
            <w:pPr>
              <w:widowControl/>
              <w:spacing w:line="379" w:lineRule="exact"/>
              <w:ind w:right="-20"/>
              <w:jc w:val="center"/>
              <w:rPr>
                <w:rFonts w:hint="eastAsia" w:ascii="仿宋" w:hAnsi="仿宋" w:eastAsia="仿宋" w:cs="仿宋"/>
                <w:color w:val="000000"/>
                <w:sz w:val="20"/>
                <w:szCs w:val="20"/>
                <w:vertAlign w:val="baseline"/>
              </w:rPr>
            </w:pPr>
          </w:p>
        </w:tc>
      </w:tr>
      <w:tr w14:paraId="51A0F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1DEA331E">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F7654E4">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C06B4AA">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3E52149E">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280B5171">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HF040306</w:t>
            </w:r>
          </w:p>
        </w:tc>
        <w:tc>
          <w:tcPr>
            <w:tcW w:w="5989" w:type="dxa"/>
            <w:noWrap w:val="0"/>
            <w:vAlign w:val="top"/>
          </w:tcPr>
          <w:p w14:paraId="77E1E56B">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6、安全、消防设施、设备配置齐全有效，安全防护措施到位。每存在一项问题扣0.5分。</w:t>
            </w:r>
          </w:p>
        </w:tc>
        <w:tc>
          <w:tcPr>
            <w:tcW w:w="882" w:type="dxa"/>
            <w:vMerge w:val="continue"/>
            <w:noWrap w:val="0"/>
            <w:vAlign w:val="top"/>
          </w:tcPr>
          <w:p w14:paraId="6A95F012">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15E149EC">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E666488">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7C8AB68">
            <w:pPr>
              <w:widowControl/>
              <w:spacing w:line="379" w:lineRule="exact"/>
              <w:ind w:right="-20"/>
              <w:jc w:val="center"/>
              <w:rPr>
                <w:rFonts w:hint="eastAsia" w:ascii="仿宋" w:hAnsi="仿宋" w:eastAsia="仿宋" w:cs="仿宋"/>
                <w:color w:val="000000"/>
                <w:sz w:val="20"/>
                <w:szCs w:val="20"/>
                <w:vertAlign w:val="baseline"/>
              </w:rPr>
            </w:pPr>
          </w:p>
        </w:tc>
      </w:tr>
      <w:tr w14:paraId="0787C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28D61AAE">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251C1C08">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B6DBC5D">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0C3084B">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2BE5A448">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HF040307</w:t>
            </w:r>
          </w:p>
        </w:tc>
        <w:tc>
          <w:tcPr>
            <w:tcW w:w="5989" w:type="dxa"/>
            <w:noWrap w:val="0"/>
            <w:vAlign w:val="top"/>
          </w:tcPr>
          <w:p w14:paraId="413AF1DD">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7、安全标识、标志齐全、清晰、准确，现场清洁，物料、工具、机具等摆放整齐。有一项缺陷的扣0.2分。</w:t>
            </w:r>
          </w:p>
        </w:tc>
        <w:tc>
          <w:tcPr>
            <w:tcW w:w="882" w:type="dxa"/>
            <w:vMerge w:val="continue"/>
            <w:noWrap w:val="0"/>
            <w:vAlign w:val="top"/>
          </w:tcPr>
          <w:p w14:paraId="56B11ADC">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E6A29BC">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F92AC08">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9D968FB">
            <w:pPr>
              <w:widowControl/>
              <w:spacing w:line="379" w:lineRule="exact"/>
              <w:ind w:right="-20"/>
              <w:jc w:val="center"/>
              <w:rPr>
                <w:rFonts w:hint="eastAsia" w:ascii="仿宋" w:hAnsi="仿宋" w:eastAsia="仿宋" w:cs="仿宋"/>
                <w:color w:val="000000"/>
                <w:sz w:val="20"/>
                <w:szCs w:val="20"/>
                <w:vertAlign w:val="baseline"/>
              </w:rPr>
            </w:pPr>
          </w:p>
        </w:tc>
      </w:tr>
      <w:tr w14:paraId="04C48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3CB4D005">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A2B6371">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CD7680C">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4E94C4EE">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331E7843">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HF040308</w:t>
            </w:r>
          </w:p>
        </w:tc>
        <w:tc>
          <w:tcPr>
            <w:tcW w:w="5989" w:type="dxa"/>
            <w:noWrap w:val="0"/>
            <w:vAlign w:val="top"/>
          </w:tcPr>
          <w:p w14:paraId="49D4919C">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8、工作人员按章操作，没有“三违”行为。有一项三违行为扣 0.5 分。</w:t>
            </w:r>
          </w:p>
        </w:tc>
        <w:tc>
          <w:tcPr>
            <w:tcW w:w="882" w:type="dxa"/>
            <w:vMerge w:val="continue"/>
            <w:noWrap w:val="0"/>
            <w:vAlign w:val="top"/>
          </w:tcPr>
          <w:p w14:paraId="45B0213D">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F2EE198">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73DFBDB">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F7341E8">
            <w:pPr>
              <w:widowControl/>
              <w:spacing w:line="379" w:lineRule="exact"/>
              <w:ind w:right="-20"/>
              <w:jc w:val="center"/>
              <w:rPr>
                <w:rFonts w:hint="eastAsia" w:ascii="仿宋" w:hAnsi="仿宋" w:eastAsia="仿宋" w:cs="仿宋"/>
                <w:color w:val="000000"/>
                <w:sz w:val="20"/>
                <w:szCs w:val="20"/>
                <w:vertAlign w:val="baseline"/>
              </w:rPr>
            </w:pPr>
          </w:p>
        </w:tc>
      </w:tr>
      <w:tr w14:paraId="5B0D4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499D50C5">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C8E3E07">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65E5126">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C7D3C86">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57B5B4AC">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HF040309</w:t>
            </w:r>
          </w:p>
        </w:tc>
        <w:tc>
          <w:tcPr>
            <w:tcW w:w="5989" w:type="dxa"/>
            <w:noWrap w:val="0"/>
            <w:vAlign w:val="top"/>
          </w:tcPr>
          <w:p w14:paraId="7E78C031">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9、建立完善的运行管理预案及计量、运行、设备故障、突发事件、突发恶劣天气等专项预案，并组织演练，且应急物资配备到位。达不到要求的每项扣0.5分。</w:t>
            </w:r>
          </w:p>
        </w:tc>
        <w:tc>
          <w:tcPr>
            <w:tcW w:w="882" w:type="dxa"/>
            <w:vMerge w:val="continue"/>
            <w:noWrap w:val="0"/>
            <w:vAlign w:val="top"/>
          </w:tcPr>
          <w:p w14:paraId="4143B366">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1C58318A">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AB7F9FE">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680B538">
            <w:pPr>
              <w:widowControl/>
              <w:spacing w:line="379" w:lineRule="exact"/>
              <w:ind w:right="-20"/>
              <w:jc w:val="center"/>
              <w:rPr>
                <w:rFonts w:hint="eastAsia" w:ascii="仿宋" w:hAnsi="仿宋" w:eastAsia="仿宋" w:cs="仿宋"/>
                <w:color w:val="000000"/>
                <w:sz w:val="20"/>
                <w:szCs w:val="20"/>
                <w:vertAlign w:val="baseline"/>
              </w:rPr>
            </w:pPr>
          </w:p>
        </w:tc>
      </w:tr>
      <w:tr w14:paraId="2269A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44C65F18">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2C198DBF">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4504498F">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471312D9">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37EF0623">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HF040310</w:t>
            </w:r>
          </w:p>
        </w:tc>
        <w:tc>
          <w:tcPr>
            <w:tcW w:w="5989" w:type="dxa"/>
            <w:noWrap w:val="0"/>
            <w:vAlign w:val="top"/>
          </w:tcPr>
          <w:p w14:paraId="081E1948">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10、考核年度内厂内发生人员重伤、死亡事故或重大财产事故的，“安全管理”一项不得分。</w:t>
            </w:r>
          </w:p>
        </w:tc>
        <w:tc>
          <w:tcPr>
            <w:tcW w:w="882" w:type="dxa"/>
            <w:vMerge w:val="continue"/>
            <w:noWrap w:val="0"/>
            <w:vAlign w:val="top"/>
          </w:tcPr>
          <w:p w14:paraId="0A170EB6">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0928D16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2128AFC">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616C667">
            <w:pPr>
              <w:widowControl/>
              <w:spacing w:line="379" w:lineRule="exact"/>
              <w:ind w:right="-20"/>
              <w:jc w:val="center"/>
              <w:rPr>
                <w:rFonts w:hint="eastAsia" w:ascii="仿宋" w:hAnsi="仿宋" w:eastAsia="仿宋" w:cs="仿宋"/>
                <w:color w:val="000000"/>
                <w:sz w:val="20"/>
                <w:szCs w:val="20"/>
                <w:vertAlign w:val="baseline"/>
              </w:rPr>
            </w:pPr>
          </w:p>
        </w:tc>
      </w:tr>
      <w:tr w14:paraId="1349D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76426D80">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6A2671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004D307F">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11B4BDDF">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2B00686A">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HF040311</w:t>
            </w:r>
          </w:p>
        </w:tc>
        <w:tc>
          <w:tcPr>
            <w:tcW w:w="5989" w:type="dxa"/>
            <w:noWrap w:val="0"/>
            <w:vAlign w:val="top"/>
          </w:tcPr>
          <w:p w14:paraId="161C6396">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11、安全管理存在其他方面的问题，视情节轻重，每项次酌扣0.2、0.5、1.0分，直到“安全管理”一项不得分为止。</w:t>
            </w:r>
          </w:p>
        </w:tc>
        <w:tc>
          <w:tcPr>
            <w:tcW w:w="882" w:type="dxa"/>
            <w:vMerge w:val="continue"/>
            <w:noWrap w:val="0"/>
            <w:vAlign w:val="top"/>
          </w:tcPr>
          <w:p w14:paraId="51E218C1">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1925AB0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6E1C594D">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24D6C93">
            <w:pPr>
              <w:widowControl/>
              <w:spacing w:line="379" w:lineRule="exact"/>
              <w:ind w:right="-20"/>
              <w:jc w:val="center"/>
              <w:rPr>
                <w:rFonts w:hint="eastAsia" w:ascii="仿宋" w:hAnsi="仿宋" w:eastAsia="仿宋" w:cs="仿宋"/>
                <w:color w:val="000000"/>
                <w:sz w:val="20"/>
                <w:szCs w:val="20"/>
                <w:vertAlign w:val="baseline"/>
              </w:rPr>
            </w:pPr>
          </w:p>
        </w:tc>
      </w:tr>
      <w:tr w14:paraId="0606B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1DD1EC08">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4B37E7FB">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7DAD0135">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63E81E1E">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厂容厂貌 (HF0404) </w:t>
            </w:r>
          </w:p>
          <w:p w14:paraId="2985324E">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（1 分）</w:t>
            </w:r>
          </w:p>
        </w:tc>
        <w:tc>
          <w:tcPr>
            <w:tcW w:w="1083" w:type="dxa"/>
            <w:noWrap w:val="0"/>
            <w:vAlign w:val="top"/>
          </w:tcPr>
          <w:p w14:paraId="7F8CDBAA">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HF040401</w:t>
            </w:r>
          </w:p>
        </w:tc>
        <w:tc>
          <w:tcPr>
            <w:tcW w:w="5989" w:type="dxa"/>
            <w:noWrap w:val="0"/>
            <w:vAlign w:val="top"/>
          </w:tcPr>
          <w:p w14:paraId="31C97A51">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1、厂区观感较舒适、绿化维护到位。绿化维护不到位或体感不适、观感较差的扣0.1分。</w:t>
            </w:r>
          </w:p>
        </w:tc>
        <w:tc>
          <w:tcPr>
            <w:tcW w:w="882" w:type="dxa"/>
            <w:vMerge w:val="restart"/>
            <w:noWrap w:val="0"/>
            <w:vAlign w:val="top"/>
          </w:tcPr>
          <w:p w14:paraId="6963B8C0">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现场检查 查看资料 </w:t>
            </w:r>
          </w:p>
        </w:tc>
        <w:tc>
          <w:tcPr>
            <w:tcW w:w="1014" w:type="dxa"/>
            <w:noWrap w:val="0"/>
            <w:vAlign w:val="top"/>
          </w:tcPr>
          <w:p w14:paraId="3DAB1D3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79214325">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9D00272">
            <w:pPr>
              <w:widowControl/>
              <w:spacing w:line="379" w:lineRule="exact"/>
              <w:ind w:right="-20"/>
              <w:jc w:val="center"/>
              <w:rPr>
                <w:rFonts w:hint="eastAsia" w:ascii="仿宋" w:hAnsi="仿宋" w:eastAsia="仿宋" w:cs="仿宋"/>
                <w:color w:val="000000"/>
                <w:sz w:val="20"/>
                <w:szCs w:val="20"/>
                <w:vertAlign w:val="baseline"/>
              </w:rPr>
            </w:pPr>
          </w:p>
        </w:tc>
      </w:tr>
      <w:tr w14:paraId="1FC08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2AE6D651">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FD5FE14">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764F2E0">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BDEF653">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457EAE44">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HF040402</w:t>
            </w:r>
          </w:p>
        </w:tc>
        <w:tc>
          <w:tcPr>
            <w:tcW w:w="5989" w:type="dxa"/>
            <w:noWrap w:val="0"/>
            <w:vAlign w:val="top"/>
          </w:tcPr>
          <w:p w14:paraId="214F483F">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2、厂区建构筑物等设施整洁完好、标识明晰；厂内路面无积水无泥泞不起尘；机动车非机动车等机具物料摆放整齐，不挤占消防通道。存在问题的每项扣0.2分。</w:t>
            </w:r>
          </w:p>
        </w:tc>
        <w:tc>
          <w:tcPr>
            <w:tcW w:w="882" w:type="dxa"/>
            <w:vMerge w:val="continue"/>
            <w:noWrap w:val="0"/>
            <w:vAlign w:val="top"/>
          </w:tcPr>
          <w:p w14:paraId="32D12842">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05E3F744">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608F1DFF">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3EE25F3">
            <w:pPr>
              <w:widowControl/>
              <w:spacing w:line="379" w:lineRule="exact"/>
              <w:ind w:right="-20"/>
              <w:jc w:val="center"/>
              <w:rPr>
                <w:rFonts w:hint="eastAsia" w:ascii="仿宋" w:hAnsi="仿宋" w:eastAsia="仿宋" w:cs="仿宋"/>
                <w:color w:val="000000"/>
                <w:sz w:val="20"/>
                <w:szCs w:val="20"/>
                <w:vertAlign w:val="baseline"/>
              </w:rPr>
            </w:pPr>
          </w:p>
        </w:tc>
      </w:tr>
      <w:tr w14:paraId="37282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60C04FC6">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C8F991F">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9D774B4">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2A817B7F">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556C1008">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HF040403</w:t>
            </w:r>
          </w:p>
        </w:tc>
        <w:tc>
          <w:tcPr>
            <w:tcW w:w="5989" w:type="dxa"/>
            <w:noWrap w:val="0"/>
            <w:vAlign w:val="top"/>
          </w:tcPr>
          <w:p w14:paraId="052F0B68">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3、厂区物流、人流分开、组织有序。人车分流分开但秩序混乱的扣0.2分，未分开的扣0.4分</w:t>
            </w:r>
          </w:p>
        </w:tc>
        <w:tc>
          <w:tcPr>
            <w:tcW w:w="882" w:type="dxa"/>
            <w:vMerge w:val="continue"/>
            <w:noWrap w:val="0"/>
            <w:vAlign w:val="top"/>
          </w:tcPr>
          <w:p w14:paraId="6563021E">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1643ACB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11C238B7">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827560C">
            <w:pPr>
              <w:widowControl/>
              <w:spacing w:line="379" w:lineRule="exact"/>
              <w:ind w:right="-20"/>
              <w:jc w:val="center"/>
              <w:rPr>
                <w:rFonts w:hint="eastAsia" w:ascii="仿宋" w:hAnsi="仿宋" w:eastAsia="仿宋" w:cs="仿宋"/>
                <w:color w:val="000000"/>
                <w:sz w:val="20"/>
                <w:szCs w:val="20"/>
                <w:vertAlign w:val="baseline"/>
              </w:rPr>
            </w:pPr>
          </w:p>
        </w:tc>
      </w:tr>
      <w:tr w14:paraId="425EA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0A724634">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F174C7C">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7DC1830">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1B4068C6">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信息报送 (HF0405) </w:t>
            </w:r>
          </w:p>
          <w:p w14:paraId="1A85BBF5">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（2 分）</w:t>
            </w:r>
          </w:p>
        </w:tc>
        <w:tc>
          <w:tcPr>
            <w:tcW w:w="1083" w:type="dxa"/>
            <w:noWrap w:val="0"/>
            <w:vAlign w:val="top"/>
          </w:tcPr>
          <w:p w14:paraId="79DF868A">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HF040501</w:t>
            </w:r>
          </w:p>
        </w:tc>
        <w:tc>
          <w:tcPr>
            <w:tcW w:w="5989" w:type="dxa"/>
            <w:noWrap w:val="0"/>
            <w:vAlign w:val="top"/>
          </w:tcPr>
          <w:p w14:paraId="20F60844">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1、有良好的计量、安全生产管控、二次排放监测等信息化平台，能较好地通过对内对外信息平台为其运行管理服务。否则每项扣0.25分。</w:t>
            </w:r>
          </w:p>
        </w:tc>
        <w:tc>
          <w:tcPr>
            <w:tcW w:w="882" w:type="dxa"/>
            <w:vMerge w:val="restart"/>
            <w:noWrap w:val="0"/>
            <w:vAlign w:val="top"/>
          </w:tcPr>
          <w:p w14:paraId="505B4C3B">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查相关信 息资料和 监管方台 帐。 </w:t>
            </w:r>
          </w:p>
        </w:tc>
        <w:tc>
          <w:tcPr>
            <w:tcW w:w="1014" w:type="dxa"/>
            <w:noWrap w:val="0"/>
            <w:vAlign w:val="top"/>
          </w:tcPr>
          <w:p w14:paraId="7BA854F0">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1816381">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6154F9C9">
            <w:pPr>
              <w:widowControl/>
              <w:spacing w:line="379" w:lineRule="exact"/>
              <w:ind w:right="-20"/>
              <w:jc w:val="center"/>
              <w:rPr>
                <w:rFonts w:hint="eastAsia" w:ascii="仿宋" w:hAnsi="仿宋" w:eastAsia="仿宋" w:cs="仿宋"/>
                <w:color w:val="000000"/>
                <w:sz w:val="20"/>
                <w:szCs w:val="20"/>
                <w:vertAlign w:val="baseline"/>
              </w:rPr>
            </w:pPr>
          </w:p>
        </w:tc>
      </w:tr>
      <w:tr w14:paraId="51980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4BC427D2">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B5023BD">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B49E55B">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02265C7A">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34ED4367">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HF040502</w:t>
            </w:r>
          </w:p>
        </w:tc>
        <w:tc>
          <w:tcPr>
            <w:tcW w:w="5989" w:type="dxa"/>
            <w:noWrap w:val="0"/>
            <w:vAlign w:val="top"/>
          </w:tcPr>
          <w:p w14:paraId="1CED807F">
            <w:pPr>
              <w:widowControl/>
              <w:spacing w:line="379" w:lineRule="exact"/>
              <w:ind w:right="-20"/>
              <w:jc w:val="both"/>
              <w:rPr>
                <w:rFonts w:hint="eastAsia" w:ascii="仿宋" w:hAnsi="仿宋" w:eastAsia="仿宋" w:cs="仿宋"/>
                <w:color w:val="000000"/>
                <w:sz w:val="28"/>
                <w:szCs w:val="28"/>
                <w:vertAlign w:val="baseline"/>
                <w:lang w:eastAsia="zh-CN"/>
              </w:rPr>
            </w:pPr>
            <w:r>
              <w:rPr>
                <w:rFonts w:hint="eastAsia" w:ascii="仿宋" w:hAnsi="仿宋" w:eastAsia="仿宋" w:cs="仿宋"/>
                <w:color w:val="000000"/>
                <w:sz w:val="28"/>
                <w:szCs w:val="28"/>
                <w:vertAlign w:val="baseline"/>
              </w:rPr>
              <w:t>2、计量、检测、在线系统校核报告、运行检修计划、应急情况、事故故障等信息及时报送主管部门和监管方。否则每缺一项次的扣0.1分</w:t>
            </w:r>
            <w:r>
              <w:rPr>
                <w:rFonts w:hint="eastAsia" w:ascii="仿宋" w:hAnsi="仿宋" w:eastAsia="仿宋" w:cs="仿宋"/>
                <w:color w:val="000000"/>
                <w:sz w:val="28"/>
                <w:szCs w:val="28"/>
                <w:vertAlign w:val="baseline"/>
                <w:lang w:eastAsia="zh-CN"/>
              </w:rPr>
              <w:t>。</w:t>
            </w:r>
          </w:p>
        </w:tc>
        <w:tc>
          <w:tcPr>
            <w:tcW w:w="882" w:type="dxa"/>
            <w:vMerge w:val="continue"/>
            <w:noWrap w:val="0"/>
            <w:vAlign w:val="top"/>
          </w:tcPr>
          <w:p w14:paraId="481B2FD7">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878BC5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822FDE4">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837F391">
            <w:pPr>
              <w:widowControl/>
              <w:spacing w:line="379" w:lineRule="exact"/>
              <w:ind w:right="-20"/>
              <w:jc w:val="center"/>
              <w:rPr>
                <w:rFonts w:hint="eastAsia" w:ascii="仿宋" w:hAnsi="仿宋" w:eastAsia="仿宋" w:cs="仿宋"/>
                <w:color w:val="000000"/>
                <w:sz w:val="20"/>
                <w:szCs w:val="20"/>
                <w:vertAlign w:val="baseline"/>
              </w:rPr>
            </w:pPr>
          </w:p>
        </w:tc>
      </w:tr>
      <w:tr w14:paraId="7D6F8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3B3A8DED">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D0CE980">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50E0352E">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78B319B">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5105A885">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HF040503</w:t>
            </w:r>
          </w:p>
        </w:tc>
        <w:tc>
          <w:tcPr>
            <w:tcW w:w="5989" w:type="dxa"/>
            <w:noWrap w:val="0"/>
            <w:vAlign w:val="top"/>
          </w:tcPr>
          <w:p w14:paraId="55C9D58D">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3、存在信息报送不及时、报送信息错误、不完整、瞒报虚报的，视情节轻重，每项次酌情扣0.2、0.5、1.0分。</w:t>
            </w:r>
          </w:p>
        </w:tc>
        <w:tc>
          <w:tcPr>
            <w:tcW w:w="882" w:type="dxa"/>
            <w:vMerge w:val="continue"/>
            <w:noWrap w:val="0"/>
            <w:vAlign w:val="top"/>
          </w:tcPr>
          <w:p w14:paraId="34D68405">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F235012">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CBC6C25">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222217E3">
            <w:pPr>
              <w:widowControl/>
              <w:spacing w:line="379" w:lineRule="exact"/>
              <w:ind w:right="-20"/>
              <w:jc w:val="center"/>
              <w:rPr>
                <w:rFonts w:hint="eastAsia" w:ascii="仿宋" w:hAnsi="仿宋" w:eastAsia="仿宋" w:cs="仿宋"/>
                <w:color w:val="000000"/>
                <w:sz w:val="20"/>
                <w:szCs w:val="20"/>
                <w:vertAlign w:val="baseline"/>
              </w:rPr>
            </w:pPr>
          </w:p>
        </w:tc>
      </w:tr>
      <w:tr w14:paraId="78C1D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07244EB3">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764F5D6">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C5E8C4B">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6BC5C86F">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资料管理</w:t>
            </w:r>
          </w:p>
          <w:p w14:paraId="24C4DF89">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(HF0406) </w:t>
            </w:r>
          </w:p>
          <w:p w14:paraId="59F2F0FA">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（2 分）</w:t>
            </w:r>
          </w:p>
        </w:tc>
        <w:tc>
          <w:tcPr>
            <w:tcW w:w="1083" w:type="dxa"/>
            <w:noWrap w:val="0"/>
            <w:vAlign w:val="top"/>
          </w:tcPr>
          <w:p w14:paraId="77AD85B0">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HF040601</w:t>
            </w:r>
          </w:p>
        </w:tc>
        <w:tc>
          <w:tcPr>
            <w:tcW w:w="5989" w:type="dxa"/>
            <w:noWrap w:val="0"/>
            <w:vAlign w:val="top"/>
          </w:tcPr>
          <w:p w14:paraId="0CE2B664">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计量、运行维保日志台账、设备故障、环保设备计算参数、环保耗材购买及使用、污染排放指标数据备份等各项运行台帐分类清晰、记录完整准确、装订规范、保管得当。存在问题的每项扣0.2分，台帐未按时规范归档的扣0.3分。</w:t>
            </w:r>
          </w:p>
        </w:tc>
        <w:tc>
          <w:tcPr>
            <w:tcW w:w="882" w:type="dxa"/>
            <w:vMerge w:val="restart"/>
            <w:noWrap w:val="0"/>
            <w:vAlign w:val="top"/>
          </w:tcPr>
          <w:p w14:paraId="66AE0F11">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查看台帐、证书，现场检查档案管理。 </w:t>
            </w:r>
          </w:p>
        </w:tc>
        <w:tc>
          <w:tcPr>
            <w:tcW w:w="1014" w:type="dxa"/>
            <w:noWrap w:val="0"/>
            <w:vAlign w:val="top"/>
          </w:tcPr>
          <w:p w14:paraId="3633D14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8EC32CF">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CF17CD9">
            <w:pPr>
              <w:widowControl/>
              <w:spacing w:line="379" w:lineRule="exact"/>
              <w:ind w:right="-20"/>
              <w:jc w:val="center"/>
              <w:rPr>
                <w:rFonts w:hint="eastAsia" w:ascii="仿宋" w:hAnsi="仿宋" w:eastAsia="仿宋" w:cs="仿宋"/>
                <w:color w:val="000000"/>
                <w:sz w:val="20"/>
                <w:szCs w:val="20"/>
                <w:vertAlign w:val="baseline"/>
              </w:rPr>
            </w:pPr>
          </w:p>
        </w:tc>
      </w:tr>
      <w:tr w14:paraId="222E9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0DB27005">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451C868">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E4E8693">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EA3B0B8">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547CB777">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HF040602</w:t>
            </w:r>
          </w:p>
        </w:tc>
        <w:tc>
          <w:tcPr>
            <w:tcW w:w="5989" w:type="dxa"/>
            <w:noWrap w:val="0"/>
            <w:vAlign w:val="top"/>
          </w:tcPr>
          <w:p w14:paraId="43F62A3D">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2、配备具有资质档案管理人员。未配置档案管理人员的扣0.4分，无资质的扣0.2分。</w:t>
            </w:r>
          </w:p>
        </w:tc>
        <w:tc>
          <w:tcPr>
            <w:tcW w:w="882" w:type="dxa"/>
            <w:vMerge w:val="continue"/>
            <w:noWrap w:val="0"/>
            <w:vAlign w:val="top"/>
          </w:tcPr>
          <w:p w14:paraId="23ADF7F2">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A01882F">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5FBB2293">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D1F3C0C">
            <w:pPr>
              <w:widowControl/>
              <w:spacing w:line="379" w:lineRule="exact"/>
              <w:ind w:right="-20"/>
              <w:jc w:val="center"/>
              <w:rPr>
                <w:rFonts w:hint="eastAsia" w:ascii="仿宋" w:hAnsi="仿宋" w:eastAsia="仿宋" w:cs="仿宋"/>
                <w:color w:val="000000"/>
                <w:sz w:val="20"/>
                <w:szCs w:val="20"/>
                <w:vertAlign w:val="baseline"/>
              </w:rPr>
            </w:pPr>
          </w:p>
        </w:tc>
      </w:tr>
      <w:tr w14:paraId="5CA20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3F7B3503">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0677157">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65EED3D">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51C45A8">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0841DE65">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HF040603</w:t>
            </w:r>
          </w:p>
        </w:tc>
        <w:tc>
          <w:tcPr>
            <w:tcW w:w="5989" w:type="dxa"/>
            <w:noWrap w:val="0"/>
            <w:vAlign w:val="top"/>
          </w:tcPr>
          <w:p w14:paraId="46D16729">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3、有专用档案管理室且管理规范。否则扣0.3 分。</w:t>
            </w:r>
          </w:p>
        </w:tc>
        <w:tc>
          <w:tcPr>
            <w:tcW w:w="882" w:type="dxa"/>
            <w:vMerge w:val="continue"/>
            <w:noWrap w:val="0"/>
            <w:vAlign w:val="top"/>
          </w:tcPr>
          <w:p w14:paraId="265F9CCB">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2FA3157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7107B3E3">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7EDA904">
            <w:pPr>
              <w:widowControl/>
              <w:spacing w:line="379" w:lineRule="exact"/>
              <w:ind w:right="-20"/>
              <w:jc w:val="center"/>
              <w:rPr>
                <w:rFonts w:hint="eastAsia" w:ascii="仿宋" w:hAnsi="仿宋" w:eastAsia="仿宋" w:cs="仿宋"/>
                <w:color w:val="000000"/>
                <w:sz w:val="20"/>
                <w:szCs w:val="20"/>
                <w:vertAlign w:val="baseline"/>
              </w:rPr>
            </w:pPr>
          </w:p>
        </w:tc>
      </w:tr>
      <w:tr w14:paraId="114FB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7A2E6CDF">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2AC0316">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3D29CDD9">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AA32FA5">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18341B34">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HF040604</w:t>
            </w:r>
          </w:p>
        </w:tc>
        <w:tc>
          <w:tcPr>
            <w:tcW w:w="5989" w:type="dxa"/>
            <w:noWrap w:val="0"/>
            <w:vAlign w:val="top"/>
          </w:tcPr>
          <w:p w14:paraId="70739172">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4、运行档案保管期限不低于三年（运行时间不足三年的要求运行后全部档案齐全）。否则扣0.3分。</w:t>
            </w:r>
          </w:p>
        </w:tc>
        <w:tc>
          <w:tcPr>
            <w:tcW w:w="882" w:type="dxa"/>
            <w:vMerge w:val="continue"/>
            <w:noWrap w:val="0"/>
            <w:vAlign w:val="top"/>
          </w:tcPr>
          <w:p w14:paraId="10D92A8E">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A1AD012">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D8E6660">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4687615">
            <w:pPr>
              <w:widowControl/>
              <w:spacing w:line="379" w:lineRule="exact"/>
              <w:ind w:right="-20"/>
              <w:jc w:val="center"/>
              <w:rPr>
                <w:rFonts w:hint="eastAsia" w:ascii="仿宋" w:hAnsi="仿宋" w:eastAsia="仿宋" w:cs="仿宋"/>
                <w:color w:val="000000"/>
                <w:sz w:val="20"/>
                <w:szCs w:val="20"/>
                <w:vertAlign w:val="baseline"/>
              </w:rPr>
            </w:pPr>
          </w:p>
        </w:tc>
      </w:tr>
      <w:tr w14:paraId="764BC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0"/>
            <w:vAlign w:val="top"/>
          </w:tcPr>
          <w:p w14:paraId="29B9BEF6">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6CB7031">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4E043009">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599853BF">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05C59B1C">
            <w:pPr>
              <w:widowControl/>
              <w:spacing w:line="379" w:lineRule="exact"/>
              <w:ind w:right="-20" w:rightChars="0"/>
              <w:jc w:val="center"/>
              <w:rPr>
                <w:rFonts w:hint="default" w:ascii="仿宋" w:hAnsi="仿宋" w:eastAsia="仿宋" w:cs="仿宋"/>
                <w:color w:val="000000"/>
                <w:kern w:val="2"/>
                <w:sz w:val="20"/>
                <w:szCs w:val="20"/>
                <w:vertAlign w:val="baseline"/>
                <w:lang w:val="en-US" w:eastAsia="zh-CN" w:bidi="ar-SA"/>
              </w:rPr>
            </w:pPr>
            <w:r>
              <w:rPr>
                <w:rFonts w:hint="eastAsia" w:ascii="仿宋" w:hAnsi="仿宋" w:eastAsia="仿宋" w:cs="仿宋"/>
                <w:color w:val="000000"/>
                <w:sz w:val="20"/>
                <w:szCs w:val="20"/>
                <w:vertAlign w:val="baseline"/>
                <w:lang w:val="en-US" w:eastAsia="zh-CN"/>
              </w:rPr>
              <w:t>HF040605</w:t>
            </w:r>
          </w:p>
        </w:tc>
        <w:tc>
          <w:tcPr>
            <w:tcW w:w="5989" w:type="dxa"/>
            <w:noWrap w:val="0"/>
            <w:vAlign w:val="top"/>
          </w:tcPr>
          <w:p w14:paraId="6BC2FF15">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5、资料档案管理出现其他问题的情形，视情</w:t>
            </w:r>
          </w:p>
          <w:p w14:paraId="7D17CCE5">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节轻重，每项次酌扣0.1、0.2、0.5、1.0分， 直到本项不得分为止。</w:t>
            </w:r>
          </w:p>
        </w:tc>
        <w:tc>
          <w:tcPr>
            <w:tcW w:w="882" w:type="dxa"/>
            <w:vMerge w:val="continue"/>
            <w:noWrap w:val="0"/>
            <w:vAlign w:val="top"/>
          </w:tcPr>
          <w:p w14:paraId="20FB64EE">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4041D115">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46D2A207">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958ABB6">
            <w:pPr>
              <w:widowControl/>
              <w:spacing w:line="379" w:lineRule="exact"/>
              <w:ind w:right="-20"/>
              <w:jc w:val="center"/>
              <w:rPr>
                <w:rFonts w:hint="eastAsia" w:ascii="仿宋" w:hAnsi="仿宋" w:eastAsia="仿宋" w:cs="仿宋"/>
                <w:color w:val="000000"/>
                <w:sz w:val="20"/>
                <w:szCs w:val="20"/>
                <w:vertAlign w:val="baseline"/>
              </w:rPr>
            </w:pPr>
          </w:p>
        </w:tc>
      </w:tr>
      <w:tr w14:paraId="191A3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restart"/>
            <w:noWrap w:val="0"/>
            <w:vAlign w:val="top"/>
          </w:tcPr>
          <w:p w14:paraId="72D93FC1">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5</w:t>
            </w:r>
          </w:p>
        </w:tc>
        <w:tc>
          <w:tcPr>
            <w:tcW w:w="1245" w:type="dxa"/>
            <w:vMerge w:val="restart"/>
            <w:noWrap w:val="0"/>
            <w:vAlign w:val="top"/>
          </w:tcPr>
          <w:p w14:paraId="53BAA07A">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维稳保障 (HF05)</w:t>
            </w:r>
          </w:p>
        </w:tc>
        <w:tc>
          <w:tcPr>
            <w:tcW w:w="638" w:type="dxa"/>
            <w:vMerge w:val="restart"/>
            <w:noWrap w:val="0"/>
            <w:vAlign w:val="top"/>
          </w:tcPr>
          <w:p w14:paraId="719DD639">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4分</w:t>
            </w:r>
          </w:p>
        </w:tc>
        <w:tc>
          <w:tcPr>
            <w:tcW w:w="998" w:type="dxa"/>
            <w:noWrap w:val="0"/>
            <w:vAlign w:val="top"/>
          </w:tcPr>
          <w:p w14:paraId="02B850CE">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应急维稳</w:t>
            </w:r>
          </w:p>
          <w:p w14:paraId="71851A59">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(HF0501) </w:t>
            </w:r>
          </w:p>
          <w:p w14:paraId="358F1B7A">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（1.5 分）</w:t>
            </w:r>
          </w:p>
        </w:tc>
        <w:tc>
          <w:tcPr>
            <w:tcW w:w="1083" w:type="dxa"/>
            <w:noWrap w:val="0"/>
            <w:vAlign w:val="top"/>
          </w:tcPr>
          <w:p w14:paraId="3F65F31C">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HF050101</w:t>
            </w:r>
          </w:p>
        </w:tc>
        <w:tc>
          <w:tcPr>
            <w:tcW w:w="5989" w:type="dxa"/>
            <w:noWrap w:val="0"/>
            <w:vAlign w:val="top"/>
          </w:tcPr>
          <w:p w14:paraId="522EB6C6">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本厂或厂外出现需进行大气污染管控、垃圾应急处置需求，且政府主管部门下达应急保障指令后，应立即尽职配合采取有效应急处理措施（包括条件允许情况下的及时停炉停机、启炉、并汽并网、设施高负荷或超负荷运行等）或启动应急预案，及时配合启动达到无害化处理要求的应急处理设施，保障生活垃圾妥善应急处理或管控污染物二次排放，以维护社会稳定。无应急处理设施的扣1分，应急处理设施达不到无害化处理要求，或保障措施不到位，或不能及时尽职配合启动应急处理设施的扣0.5分。</w:t>
            </w:r>
          </w:p>
        </w:tc>
        <w:tc>
          <w:tcPr>
            <w:tcW w:w="882" w:type="dxa"/>
            <w:noWrap w:val="0"/>
            <w:vAlign w:val="top"/>
          </w:tcPr>
          <w:p w14:paraId="11C16EF9">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审阅文件 资料、现 场检查 </w:t>
            </w:r>
          </w:p>
        </w:tc>
        <w:tc>
          <w:tcPr>
            <w:tcW w:w="1014" w:type="dxa"/>
            <w:noWrap w:val="0"/>
            <w:vAlign w:val="top"/>
          </w:tcPr>
          <w:p w14:paraId="18A9164A">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66B52414">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216466F">
            <w:pPr>
              <w:widowControl/>
              <w:spacing w:line="379" w:lineRule="exact"/>
              <w:ind w:right="-20"/>
              <w:jc w:val="center"/>
              <w:rPr>
                <w:rFonts w:hint="eastAsia" w:ascii="仿宋" w:hAnsi="仿宋" w:eastAsia="仿宋" w:cs="仿宋"/>
                <w:color w:val="000000"/>
                <w:sz w:val="20"/>
                <w:szCs w:val="20"/>
                <w:vertAlign w:val="baseline"/>
              </w:rPr>
            </w:pPr>
          </w:p>
        </w:tc>
      </w:tr>
      <w:tr w14:paraId="1D19C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atLeast"/>
        </w:trPr>
        <w:tc>
          <w:tcPr>
            <w:tcW w:w="1425" w:type="dxa"/>
            <w:vMerge w:val="continue"/>
            <w:noWrap w:val="0"/>
            <w:vAlign w:val="top"/>
          </w:tcPr>
          <w:p w14:paraId="4DAA99CE">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3210080E">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0180AAB4">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5FB1CDF8">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信息公示</w:t>
            </w:r>
          </w:p>
          <w:p w14:paraId="7496E678">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(HF0502) </w:t>
            </w:r>
          </w:p>
          <w:p w14:paraId="29A3C0AD">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（1.5 分）</w:t>
            </w:r>
          </w:p>
        </w:tc>
        <w:tc>
          <w:tcPr>
            <w:tcW w:w="1083" w:type="dxa"/>
            <w:noWrap w:val="0"/>
            <w:vAlign w:val="top"/>
          </w:tcPr>
          <w:p w14:paraId="0576723C">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HF050201</w:t>
            </w:r>
          </w:p>
        </w:tc>
        <w:tc>
          <w:tcPr>
            <w:tcW w:w="5989" w:type="dxa"/>
            <w:noWrap w:val="0"/>
            <w:vAlign w:val="top"/>
          </w:tcPr>
          <w:p w14:paraId="793346E3">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1、厂门口设置明显的显示屏并对环保指标进行实时准确公布的，满足“装树联”要求。未设置显示屏或未公布数据的扣1分，有设施但未与生态环境部信息公开平台联网实时公布的扣0.5分。</w:t>
            </w:r>
          </w:p>
        </w:tc>
        <w:tc>
          <w:tcPr>
            <w:tcW w:w="882" w:type="dxa"/>
            <w:vMerge w:val="restart"/>
            <w:noWrap w:val="0"/>
            <w:vAlign w:val="top"/>
          </w:tcPr>
          <w:p w14:paraId="24C29082">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审阅文件 资料、现 场检查 </w:t>
            </w:r>
          </w:p>
        </w:tc>
        <w:tc>
          <w:tcPr>
            <w:tcW w:w="1014" w:type="dxa"/>
            <w:noWrap w:val="0"/>
            <w:vAlign w:val="top"/>
          </w:tcPr>
          <w:p w14:paraId="317912B1">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FFD4D57">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A458013">
            <w:pPr>
              <w:widowControl/>
              <w:spacing w:line="379" w:lineRule="exact"/>
              <w:ind w:right="-20"/>
              <w:jc w:val="center"/>
              <w:rPr>
                <w:rFonts w:hint="eastAsia" w:ascii="仿宋" w:hAnsi="仿宋" w:eastAsia="仿宋" w:cs="仿宋"/>
                <w:color w:val="000000"/>
                <w:sz w:val="20"/>
                <w:szCs w:val="20"/>
                <w:vertAlign w:val="baseline"/>
              </w:rPr>
            </w:pPr>
          </w:p>
        </w:tc>
      </w:tr>
      <w:tr w14:paraId="50BC4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289C0A8">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56BC1A29">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2D0C8C1">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6E1BD88A">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542A2A8C">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HF050202</w:t>
            </w:r>
          </w:p>
        </w:tc>
        <w:tc>
          <w:tcPr>
            <w:tcW w:w="5989" w:type="dxa"/>
            <w:noWrap w:val="0"/>
            <w:vAlign w:val="top"/>
          </w:tcPr>
          <w:p w14:paraId="7CB0D806">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2、依法依规披露（公开）企业环境信息，否则扣0.5分。</w:t>
            </w:r>
          </w:p>
        </w:tc>
        <w:tc>
          <w:tcPr>
            <w:tcW w:w="882" w:type="dxa"/>
            <w:vMerge w:val="continue"/>
            <w:noWrap w:val="0"/>
            <w:vAlign w:val="top"/>
          </w:tcPr>
          <w:p w14:paraId="0BEF7BDC">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1E16CE5F">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B026A8E">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0EC6E7E">
            <w:pPr>
              <w:widowControl/>
              <w:spacing w:line="379" w:lineRule="exact"/>
              <w:ind w:right="-20"/>
              <w:jc w:val="center"/>
              <w:rPr>
                <w:rFonts w:hint="eastAsia" w:ascii="仿宋" w:hAnsi="仿宋" w:eastAsia="仿宋" w:cs="仿宋"/>
                <w:color w:val="000000"/>
                <w:sz w:val="20"/>
                <w:szCs w:val="20"/>
                <w:vertAlign w:val="baseline"/>
              </w:rPr>
            </w:pPr>
          </w:p>
        </w:tc>
      </w:tr>
      <w:tr w14:paraId="7D25E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17AA767C">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6C8D8B7A">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6D4C6554">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restart"/>
            <w:noWrap w:val="0"/>
            <w:vAlign w:val="top"/>
          </w:tcPr>
          <w:p w14:paraId="5EFC3A50">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公众参与</w:t>
            </w:r>
          </w:p>
          <w:p w14:paraId="3B7E70DD">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(HF0503) </w:t>
            </w:r>
          </w:p>
          <w:p w14:paraId="01E384D7">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（1 分） </w:t>
            </w:r>
          </w:p>
        </w:tc>
        <w:tc>
          <w:tcPr>
            <w:tcW w:w="1083" w:type="dxa"/>
            <w:noWrap w:val="0"/>
            <w:vAlign w:val="top"/>
          </w:tcPr>
          <w:p w14:paraId="41CA3090">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HF050301</w:t>
            </w:r>
          </w:p>
        </w:tc>
        <w:tc>
          <w:tcPr>
            <w:tcW w:w="5989" w:type="dxa"/>
            <w:noWrap w:val="0"/>
            <w:vAlign w:val="top"/>
          </w:tcPr>
          <w:p w14:paraId="7508C07E">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1、向公众开放，进行相应宣传，接待公众来访</w:t>
            </w:r>
            <w:r>
              <w:rPr>
                <w:rFonts w:hint="eastAsia" w:ascii="仿宋" w:hAnsi="仿宋" w:eastAsia="仿宋" w:cs="仿宋"/>
                <w:color w:val="000000"/>
                <w:sz w:val="28"/>
                <w:szCs w:val="28"/>
                <w:vertAlign w:val="baseline"/>
                <w:lang w:eastAsia="zh-CN"/>
              </w:rPr>
              <w:t>，</w:t>
            </w:r>
            <w:r>
              <w:rPr>
                <w:rFonts w:hint="eastAsia" w:ascii="仿宋" w:hAnsi="仿宋" w:eastAsia="仿宋" w:cs="仿宋"/>
                <w:color w:val="000000"/>
                <w:sz w:val="28"/>
                <w:szCs w:val="28"/>
                <w:vertAlign w:val="baseline"/>
                <w:lang w:val="en-US" w:eastAsia="zh-CN"/>
              </w:rPr>
              <w:t>得0.5分（</w:t>
            </w:r>
            <w:r>
              <w:rPr>
                <w:rFonts w:hint="eastAsia" w:ascii="仿宋" w:hAnsi="仿宋" w:eastAsia="仿宋" w:cs="仿宋"/>
                <w:color w:val="000000"/>
                <w:sz w:val="28"/>
                <w:szCs w:val="28"/>
                <w:lang w:eastAsia="zh-CN"/>
              </w:rPr>
              <w:t>需提供相关证明材料</w:t>
            </w:r>
            <w:r>
              <w:rPr>
                <w:rFonts w:hint="eastAsia" w:ascii="仿宋" w:hAnsi="仿宋" w:eastAsia="仿宋" w:cs="仿宋"/>
                <w:color w:val="000000"/>
                <w:sz w:val="28"/>
                <w:szCs w:val="28"/>
                <w:vertAlign w:val="baseline"/>
                <w:lang w:val="en-US" w:eastAsia="zh-CN"/>
              </w:rPr>
              <w:t>），</w:t>
            </w:r>
            <w:r>
              <w:rPr>
                <w:rFonts w:hint="eastAsia" w:ascii="仿宋" w:hAnsi="仿宋" w:eastAsia="仿宋" w:cs="仿宋"/>
                <w:color w:val="000000"/>
                <w:sz w:val="28"/>
                <w:szCs w:val="28"/>
                <w:vertAlign w:val="baseline"/>
              </w:rPr>
              <w:t>否则扣0.5分。</w:t>
            </w:r>
          </w:p>
        </w:tc>
        <w:tc>
          <w:tcPr>
            <w:tcW w:w="882" w:type="dxa"/>
            <w:vMerge w:val="restart"/>
            <w:noWrap w:val="0"/>
            <w:vAlign w:val="top"/>
          </w:tcPr>
          <w:p w14:paraId="5652AE32">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审阅文件</w:t>
            </w:r>
          </w:p>
          <w:p w14:paraId="4AEBFBCD">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资料、现场检查 </w:t>
            </w:r>
          </w:p>
        </w:tc>
        <w:tc>
          <w:tcPr>
            <w:tcW w:w="1014" w:type="dxa"/>
            <w:noWrap w:val="0"/>
            <w:vAlign w:val="top"/>
          </w:tcPr>
          <w:p w14:paraId="68B73B73">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79F5134C">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0277EE25">
            <w:pPr>
              <w:widowControl/>
              <w:spacing w:line="379" w:lineRule="exact"/>
              <w:ind w:right="-20"/>
              <w:jc w:val="center"/>
              <w:rPr>
                <w:rFonts w:hint="eastAsia" w:ascii="仿宋" w:hAnsi="仿宋" w:eastAsia="仿宋" w:cs="仿宋"/>
                <w:color w:val="000000"/>
                <w:sz w:val="20"/>
                <w:szCs w:val="20"/>
                <w:vertAlign w:val="baseline"/>
              </w:rPr>
            </w:pPr>
          </w:p>
        </w:tc>
      </w:tr>
      <w:tr w14:paraId="492A9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9D6F96F">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1255FAEC">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1AA7D0F4">
            <w:pPr>
              <w:widowControl/>
              <w:spacing w:line="379" w:lineRule="exact"/>
              <w:ind w:right="-20"/>
              <w:jc w:val="center"/>
              <w:rPr>
                <w:rFonts w:hint="eastAsia" w:ascii="仿宋" w:hAnsi="仿宋" w:eastAsia="仿宋" w:cs="仿宋"/>
                <w:color w:val="000000"/>
                <w:sz w:val="20"/>
                <w:szCs w:val="20"/>
                <w:vertAlign w:val="baseline"/>
              </w:rPr>
            </w:pPr>
          </w:p>
        </w:tc>
        <w:tc>
          <w:tcPr>
            <w:tcW w:w="998" w:type="dxa"/>
            <w:vMerge w:val="continue"/>
            <w:noWrap w:val="0"/>
            <w:vAlign w:val="top"/>
          </w:tcPr>
          <w:p w14:paraId="49321AAC">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24A0C19C">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HF050302</w:t>
            </w:r>
          </w:p>
        </w:tc>
        <w:tc>
          <w:tcPr>
            <w:tcW w:w="5989" w:type="dxa"/>
            <w:noWrap w:val="0"/>
            <w:vAlign w:val="top"/>
          </w:tcPr>
          <w:p w14:paraId="08E3A5F7">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 xml:space="preserve">2、接受新闻媒体和舆论监督，未发生有责投诉或曝光。每发生一次扣0.5分。发生有责投诉或曝光后未整改到位的每项次扣0.75 分。 </w:t>
            </w:r>
          </w:p>
        </w:tc>
        <w:tc>
          <w:tcPr>
            <w:tcW w:w="882" w:type="dxa"/>
            <w:vMerge w:val="continue"/>
            <w:noWrap w:val="0"/>
            <w:vAlign w:val="top"/>
          </w:tcPr>
          <w:p w14:paraId="086F9294">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7BC09496">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A5BA1CC">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10CE7AF">
            <w:pPr>
              <w:widowControl/>
              <w:spacing w:line="379" w:lineRule="exact"/>
              <w:ind w:right="-20"/>
              <w:jc w:val="center"/>
              <w:rPr>
                <w:rFonts w:hint="eastAsia" w:ascii="仿宋" w:hAnsi="仿宋" w:eastAsia="仿宋" w:cs="仿宋"/>
                <w:color w:val="000000"/>
                <w:sz w:val="20"/>
                <w:szCs w:val="20"/>
                <w:vertAlign w:val="baseline"/>
              </w:rPr>
            </w:pPr>
          </w:p>
        </w:tc>
      </w:tr>
      <w:tr w14:paraId="71B78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restart"/>
            <w:noWrap w:val="0"/>
            <w:vAlign w:val="top"/>
          </w:tcPr>
          <w:p w14:paraId="2B20C52F">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6</w:t>
            </w:r>
          </w:p>
        </w:tc>
        <w:tc>
          <w:tcPr>
            <w:tcW w:w="1245" w:type="dxa"/>
            <w:vMerge w:val="restart"/>
            <w:noWrap w:val="0"/>
            <w:vAlign w:val="top"/>
          </w:tcPr>
          <w:p w14:paraId="2212F583">
            <w:pPr>
              <w:widowControl/>
              <w:spacing w:line="379" w:lineRule="exact"/>
              <w:ind w:right="-20"/>
              <w:jc w:val="center"/>
              <w:rPr>
                <w:rFonts w:hint="eastAsia" w:ascii="仿宋" w:hAnsi="仿宋" w:eastAsia="仿宋" w:cs="仿宋"/>
                <w:color w:val="C00000"/>
                <w:sz w:val="20"/>
                <w:szCs w:val="20"/>
                <w:vertAlign w:val="baseline"/>
              </w:rPr>
            </w:pPr>
            <w:r>
              <w:rPr>
                <w:rFonts w:hint="eastAsia" w:ascii="仿宋" w:hAnsi="仿宋" w:eastAsia="仿宋" w:cs="仿宋"/>
                <w:color w:val="C00000"/>
                <w:sz w:val="20"/>
                <w:szCs w:val="20"/>
                <w:vertAlign w:val="baseline"/>
              </w:rPr>
              <w:t>奖罚分</w:t>
            </w:r>
          </w:p>
          <w:p w14:paraId="31D4428A">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(HF06) </w:t>
            </w:r>
          </w:p>
        </w:tc>
        <w:tc>
          <w:tcPr>
            <w:tcW w:w="638" w:type="dxa"/>
            <w:noWrap w:val="0"/>
            <w:vAlign w:val="top"/>
          </w:tcPr>
          <w:p w14:paraId="2414969D">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+2</w:t>
            </w:r>
          </w:p>
        </w:tc>
        <w:tc>
          <w:tcPr>
            <w:tcW w:w="998" w:type="dxa"/>
            <w:noWrap w:val="0"/>
            <w:vAlign w:val="top"/>
          </w:tcPr>
          <w:p w14:paraId="391D9E00">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亮点</w:t>
            </w:r>
          </w:p>
          <w:p w14:paraId="7A1C8E3F">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(HF0601) </w:t>
            </w:r>
          </w:p>
        </w:tc>
        <w:tc>
          <w:tcPr>
            <w:tcW w:w="1083" w:type="dxa"/>
            <w:noWrap w:val="0"/>
            <w:vAlign w:val="top"/>
          </w:tcPr>
          <w:p w14:paraId="5E63D12A">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 xml:space="preserve">HF060101 </w:t>
            </w:r>
          </w:p>
        </w:tc>
        <w:tc>
          <w:tcPr>
            <w:tcW w:w="5989" w:type="dxa"/>
            <w:noWrap w:val="0"/>
            <w:vAlign w:val="top"/>
          </w:tcPr>
          <w:p w14:paraId="1A7B95F5">
            <w:pPr>
              <w:widowControl/>
              <w:spacing w:line="379" w:lineRule="exact"/>
              <w:ind w:right="-20"/>
              <w:jc w:val="both"/>
              <w:rPr>
                <w:rFonts w:hint="default" w:ascii="仿宋" w:hAnsi="仿宋" w:eastAsia="仿宋" w:cs="仿宋"/>
                <w:color w:val="000000"/>
                <w:sz w:val="28"/>
                <w:szCs w:val="28"/>
                <w:vertAlign w:val="baseline"/>
                <w:lang w:val="en-US"/>
              </w:rPr>
            </w:pPr>
            <w:r>
              <w:rPr>
                <w:rFonts w:hint="eastAsia" w:ascii="仿宋" w:hAnsi="仿宋" w:eastAsia="仿宋" w:cs="仿宋"/>
                <w:color w:val="000000"/>
                <w:sz w:val="28"/>
                <w:szCs w:val="28"/>
                <w:vertAlign w:val="baseline"/>
              </w:rPr>
              <w:t>在排放标准、工艺控制、自主创新、文化建设、监管保障与公众参与等五个方面突出，达到国家先进水平或获得</w:t>
            </w:r>
            <w:r>
              <w:rPr>
                <w:rFonts w:hint="eastAsia" w:ascii="仿宋" w:hAnsi="仿宋" w:eastAsia="仿宋" w:cs="仿宋"/>
                <w:color w:val="000000"/>
                <w:sz w:val="28"/>
                <w:szCs w:val="28"/>
                <w:vertAlign w:val="baseline"/>
                <w:lang w:val="en-US" w:eastAsia="zh-CN"/>
              </w:rPr>
              <w:t>市</w:t>
            </w:r>
            <w:r>
              <w:rPr>
                <w:rFonts w:hint="eastAsia" w:ascii="仿宋" w:hAnsi="仿宋" w:eastAsia="仿宋" w:cs="仿宋"/>
                <w:color w:val="000000"/>
                <w:sz w:val="28"/>
                <w:szCs w:val="28"/>
                <w:vertAlign w:val="baseline"/>
              </w:rPr>
              <w:t>级及以上荣誉</w:t>
            </w:r>
            <w:r>
              <w:rPr>
                <w:rFonts w:hint="eastAsia" w:ascii="仿宋" w:hAnsi="仿宋" w:eastAsia="仿宋" w:cs="仿宋"/>
                <w:color w:val="000000"/>
                <w:sz w:val="28"/>
                <w:szCs w:val="28"/>
                <w:vertAlign w:val="baseline"/>
                <w:lang w:eastAsia="zh-CN"/>
              </w:rPr>
              <w:t>（</w:t>
            </w:r>
            <w:r>
              <w:rPr>
                <w:rFonts w:hint="eastAsia" w:ascii="仿宋" w:hAnsi="仿宋" w:eastAsia="仿宋" w:cs="仿宋"/>
                <w:color w:val="000000"/>
                <w:sz w:val="28"/>
                <w:szCs w:val="28"/>
                <w:vertAlign w:val="baseline"/>
                <w:lang w:val="en-US" w:eastAsia="zh-CN"/>
              </w:rPr>
              <w:t>包括省协会、工会、学会，电力行业协会，中国电力，国家电投，省、市级政府部门等颁发的证书</w:t>
            </w:r>
            <w:r>
              <w:rPr>
                <w:rFonts w:hint="eastAsia" w:ascii="仿宋" w:hAnsi="仿宋" w:eastAsia="仿宋" w:cs="仿宋"/>
                <w:color w:val="000000"/>
                <w:sz w:val="28"/>
                <w:szCs w:val="28"/>
                <w:vertAlign w:val="baseline"/>
                <w:lang w:eastAsia="zh-CN"/>
              </w:rPr>
              <w:t>）</w:t>
            </w:r>
            <w:r>
              <w:rPr>
                <w:rFonts w:hint="eastAsia" w:ascii="仿宋" w:hAnsi="仿宋" w:eastAsia="仿宋" w:cs="仿宋"/>
                <w:color w:val="000000"/>
                <w:sz w:val="28"/>
                <w:szCs w:val="28"/>
                <w:vertAlign w:val="baseline"/>
              </w:rPr>
              <w:t>的可酌情加分。突出亮点每项内容加0.</w:t>
            </w:r>
            <w:r>
              <w:rPr>
                <w:rFonts w:hint="eastAsia" w:ascii="仿宋" w:hAnsi="仿宋" w:eastAsia="仿宋" w:cs="仿宋"/>
                <w:color w:val="000000"/>
                <w:sz w:val="28"/>
                <w:szCs w:val="28"/>
                <w:vertAlign w:val="baseline"/>
                <w:lang w:val="en-US" w:eastAsia="zh-CN"/>
              </w:rPr>
              <w:t>2</w:t>
            </w:r>
            <w:r>
              <w:rPr>
                <w:rFonts w:hint="eastAsia" w:ascii="仿宋" w:hAnsi="仿宋" w:eastAsia="仿宋" w:cs="仿宋"/>
                <w:color w:val="000000"/>
                <w:sz w:val="28"/>
                <w:szCs w:val="28"/>
                <w:vertAlign w:val="baseline"/>
              </w:rPr>
              <w:t>分， 每一方面最多加0.4分，五个方面奖分最多2分。同一亮点只能加分一次，不可重复加分。</w:t>
            </w:r>
            <w:r>
              <w:rPr>
                <w:rFonts w:hint="eastAsia" w:ascii="仿宋" w:hAnsi="仿宋" w:eastAsia="仿宋" w:cs="仿宋"/>
                <w:color w:val="auto"/>
                <w:sz w:val="28"/>
                <w:szCs w:val="28"/>
                <w:vertAlign w:val="baseline"/>
                <w:lang w:val="en-US" w:eastAsia="zh-CN"/>
              </w:rPr>
              <w:t>月均锅炉处置垃圾量超出锅炉额定处理量5-10%以内奖0.4分；（为满足建筑垃圾筛分物的处理量，锅炉偶有超负荷运行，但所超负荷电厂控制在设备厂家给出的允许短期超负荷运行值范围内）；2.积极配合政府专项活动，处置走私品、打假货品等垃圾，且不收费的每次奖励0.4分；3.台风等极端天气灾害后，克服企业自身困难，积极处置垃圾奖励0.4分；4.机组每连续运行超过100天，加0.4分。</w:t>
            </w:r>
          </w:p>
        </w:tc>
        <w:tc>
          <w:tcPr>
            <w:tcW w:w="882" w:type="dxa"/>
            <w:noWrap w:val="0"/>
            <w:vAlign w:val="top"/>
          </w:tcPr>
          <w:p w14:paraId="61BC272B">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审阅文件资料 </w:t>
            </w:r>
          </w:p>
        </w:tc>
        <w:tc>
          <w:tcPr>
            <w:tcW w:w="1014" w:type="dxa"/>
            <w:noWrap w:val="0"/>
            <w:vAlign w:val="top"/>
          </w:tcPr>
          <w:p w14:paraId="2F914D35">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7F02F3D9">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2DC6ACF">
            <w:pPr>
              <w:widowControl/>
              <w:spacing w:line="379" w:lineRule="exact"/>
              <w:ind w:right="-20"/>
              <w:jc w:val="center"/>
              <w:rPr>
                <w:rFonts w:hint="eastAsia" w:ascii="仿宋" w:hAnsi="仿宋" w:eastAsia="仿宋" w:cs="仿宋"/>
                <w:color w:val="000000"/>
                <w:sz w:val="20"/>
                <w:szCs w:val="20"/>
                <w:vertAlign w:val="baseline"/>
              </w:rPr>
            </w:pPr>
          </w:p>
        </w:tc>
      </w:tr>
      <w:tr w14:paraId="4763B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8A4B3C6">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4A4E932">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restart"/>
            <w:noWrap w:val="0"/>
            <w:vAlign w:val="top"/>
          </w:tcPr>
          <w:p w14:paraId="4480E18A">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-5</w:t>
            </w:r>
          </w:p>
        </w:tc>
        <w:tc>
          <w:tcPr>
            <w:tcW w:w="998" w:type="dxa"/>
            <w:vMerge w:val="restart"/>
            <w:noWrap w:val="0"/>
            <w:vAlign w:val="top"/>
          </w:tcPr>
          <w:p w14:paraId="2EB9FA08">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负面影响</w:t>
            </w:r>
          </w:p>
          <w:p w14:paraId="3A0247A3">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(HF0602)</w:t>
            </w:r>
          </w:p>
        </w:tc>
        <w:tc>
          <w:tcPr>
            <w:tcW w:w="1083" w:type="dxa"/>
            <w:noWrap w:val="0"/>
            <w:vAlign w:val="top"/>
          </w:tcPr>
          <w:p w14:paraId="692FA180">
            <w:pPr>
              <w:widowControl/>
              <w:spacing w:line="379" w:lineRule="exact"/>
              <w:ind w:right="-20"/>
              <w:jc w:val="center"/>
              <w:rPr>
                <w:rFonts w:hint="eastAsia" w:ascii="仿宋" w:hAnsi="仿宋" w:eastAsia="仿宋" w:cs="仿宋"/>
                <w:color w:val="000000"/>
                <w:sz w:val="20"/>
                <w:szCs w:val="20"/>
                <w:vertAlign w:val="baseline"/>
                <w:lang w:val="en-US" w:eastAsia="zh-CN"/>
              </w:rPr>
            </w:pPr>
          </w:p>
          <w:p w14:paraId="09A8CE03">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 xml:space="preserve">HF060201 </w:t>
            </w:r>
          </w:p>
        </w:tc>
        <w:tc>
          <w:tcPr>
            <w:tcW w:w="5989" w:type="dxa"/>
            <w:noWrap w:val="0"/>
            <w:vAlign w:val="top"/>
          </w:tcPr>
          <w:p w14:paraId="4F8F96A2">
            <w:pPr>
              <w:widowControl/>
              <w:spacing w:line="379" w:lineRule="exact"/>
              <w:ind w:right="-20"/>
              <w:jc w:val="both"/>
              <w:rPr>
                <w:rFonts w:hint="default" w:ascii="仿宋" w:hAnsi="仿宋" w:eastAsia="仿宋" w:cs="仿宋"/>
                <w:color w:val="000000"/>
                <w:sz w:val="28"/>
                <w:szCs w:val="28"/>
                <w:vertAlign w:val="baseline"/>
                <w:lang w:val="en-US" w:eastAsia="zh-CN"/>
              </w:rPr>
            </w:pPr>
            <w:r>
              <w:rPr>
                <w:rFonts w:hint="eastAsia" w:ascii="仿宋" w:hAnsi="仿宋" w:eastAsia="仿宋" w:cs="仿宋"/>
                <w:color w:val="000000"/>
                <w:sz w:val="28"/>
                <w:szCs w:val="28"/>
                <w:vertAlign w:val="baseline"/>
              </w:rPr>
              <w:t>一般负面影响：受执法部门处罚；或上级环保督察开单必须整改事项；或环保部门抽检数据超标；或水务部门（机构）投诉经查属实的；未及时处理和答复投诉；不履行应急职责；有不及时配合社会维稳保障、大气管控等行为的，每发生一次扣</w:t>
            </w:r>
            <w:r>
              <w:rPr>
                <w:rFonts w:hint="eastAsia" w:ascii="仿宋" w:hAnsi="仿宋" w:eastAsia="仿宋" w:cs="仿宋"/>
                <w:color w:val="000000"/>
                <w:sz w:val="28"/>
                <w:szCs w:val="28"/>
                <w:vertAlign w:val="baseline"/>
                <w:lang w:val="en-US" w:eastAsia="zh-CN"/>
              </w:rPr>
              <w:t>1分。上限扣2分。</w:t>
            </w:r>
          </w:p>
        </w:tc>
        <w:tc>
          <w:tcPr>
            <w:tcW w:w="882" w:type="dxa"/>
            <w:vMerge w:val="restart"/>
            <w:noWrap w:val="0"/>
            <w:vAlign w:val="top"/>
          </w:tcPr>
          <w:p w14:paraId="4E05DCBF">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 xml:space="preserve">审阅文件资料，与相关部门核实 </w:t>
            </w:r>
          </w:p>
        </w:tc>
        <w:tc>
          <w:tcPr>
            <w:tcW w:w="1014" w:type="dxa"/>
            <w:noWrap w:val="0"/>
            <w:vAlign w:val="top"/>
          </w:tcPr>
          <w:p w14:paraId="02609A00">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7C54F4F">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39F9E821">
            <w:pPr>
              <w:widowControl/>
              <w:spacing w:line="379" w:lineRule="exact"/>
              <w:ind w:right="-20"/>
              <w:jc w:val="center"/>
              <w:rPr>
                <w:rFonts w:hint="eastAsia" w:ascii="仿宋" w:hAnsi="仿宋" w:eastAsia="仿宋" w:cs="仿宋"/>
                <w:color w:val="000000"/>
                <w:sz w:val="20"/>
                <w:szCs w:val="20"/>
                <w:vertAlign w:val="baseline"/>
              </w:rPr>
            </w:pPr>
          </w:p>
        </w:tc>
      </w:tr>
      <w:tr w14:paraId="42F5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5C0C58C0">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446A8EE7">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22ED6402">
            <w:pPr>
              <w:widowControl/>
              <w:spacing w:line="379" w:lineRule="exact"/>
              <w:ind w:right="-20"/>
              <w:jc w:val="center"/>
              <w:rPr>
                <w:rFonts w:hint="eastAsia" w:ascii="仿宋" w:hAnsi="仿宋" w:eastAsia="仿宋" w:cs="仿宋"/>
                <w:color w:val="000000"/>
                <w:sz w:val="20"/>
                <w:szCs w:val="20"/>
                <w:vertAlign w:val="baseline"/>
                <w:lang w:val="en-US" w:eastAsia="zh-CN"/>
              </w:rPr>
            </w:pPr>
          </w:p>
        </w:tc>
        <w:tc>
          <w:tcPr>
            <w:tcW w:w="998" w:type="dxa"/>
            <w:vMerge w:val="continue"/>
            <w:noWrap w:val="0"/>
            <w:vAlign w:val="top"/>
          </w:tcPr>
          <w:p w14:paraId="0596B23E">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45F68D2C">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HF060202</w:t>
            </w:r>
          </w:p>
        </w:tc>
        <w:tc>
          <w:tcPr>
            <w:tcW w:w="5989" w:type="dxa"/>
            <w:noWrap w:val="0"/>
            <w:vAlign w:val="top"/>
          </w:tcPr>
          <w:p w14:paraId="512FD6BE">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重大负面影响：发生重大环保、安全、公众负面事件，每发生一次扣5分。负面影响最高扣5分（同期也发生一般负面影响事件的，不再另行处罚）。</w:t>
            </w:r>
          </w:p>
        </w:tc>
        <w:tc>
          <w:tcPr>
            <w:tcW w:w="882" w:type="dxa"/>
            <w:vMerge w:val="continue"/>
            <w:noWrap w:val="0"/>
            <w:vAlign w:val="top"/>
          </w:tcPr>
          <w:p w14:paraId="741C7393">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6F6CAA52">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29C3E78A">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2B3FA2E">
            <w:pPr>
              <w:widowControl/>
              <w:spacing w:line="379" w:lineRule="exact"/>
              <w:ind w:right="-20"/>
              <w:jc w:val="center"/>
              <w:rPr>
                <w:rFonts w:hint="eastAsia" w:ascii="仿宋" w:hAnsi="仿宋" w:eastAsia="仿宋" w:cs="仿宋"/>
                <w:color w:val="000000"/>
                <w:sz w:val="20"/>
                <w:szCs w:val="20"/>
                <w:vertAlign w:val="baseline"/>
              </w:rPr>
            </w:pPr>
          </w:p>
        </w:tc>
      </w:tr>
      <w:tr w14:paraId="600B7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26BCCEF4">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79DE193A">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restart"/>
            <w:noWrap w:val="0"/>
            <w:vAlign w:val="top"/>
          </w:tcPr>
          <w:p w14:paraId="146B066C">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-30</w:t>
            </w:r>
          </w:p>
        </w:tc>
        <w:tc>
          <w:tcPr>
            <w:tcW w:w="998" w:type="dxa"/>
            <w:noWrap w:val="0"/>
            <w:vAlign w:val="top"/>
          </w:tcPr>
          <w:p w14:paraId="21733A15">
            <w:pPr>
              <w:widowControl/>
              <w:spacing w:line="379" w:lineRule="exact"/>
              <w:ind w:right="-20"/>
              <w:jc w:val="both"/>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篡改监控数据 (HF0603)</w:t>
            </w:r>
          </w:p>
        </w:tc>
        <w:tc>
          <w:tcPr>
            <w:tcW w:w="1083" w:type="dxa"/>
            <w:noWrap w:val="0"/>
            <w:vAlign w:val="top"/>
          </w:tcPr>
          <w:p w14:paraId="017A0FDD">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HF060301</w:t>
            </w:r>
          </w:p>
        </w:tc>
        <w:tc>
          <w:tcPr>
            <w:tcW w:w="5989" w:type="dxa"/>
            <w:noWrap w:val="0"/>
            <w:vAlign w:val="top"/>
          </w:tcPr>
          <w:p w14:paraId="152C0E25">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 xml:space="preserve">未经主管部门书面授权许可，重置/迁移视频监控摄像头，或改变无云台监控摄像镜头方位角、俯角、仰角的行为，每发现查实一起扣5分。 </w:t>
            </w:r>
          </w:p>
        </w:tc>
        <w:tc>
          <w:tcPr>
            <w:tcW w:w="882" w:type="dxa"/>
            <w:vMerge w:val="continue"/>
            <w:noWrap w:val="0"/>
            <w:vAlign w:val="top"/>
          </w:tcPr>
          <w:p w14:paraId="5EC4886C">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03EF4578">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41DEFD7">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155A7B2E">
            <w:pPr>
              <w:widowControl/>
              <w:spacing w:line="379" w:lineRule="exact"/>
              <w:ind w:right="-20"/>
              <w:jc w:val="center"/>
              <w:rPr>
                <w:rFonts w:hint="eastAsia" w:ascii="仿宋" w:hAnsi="仿宋" w:eastAsia="仿宋" w:cs="仿宋"/>
                <w:color w:val="000000"/>
                <w:sz w:val="20"/>
                <w:szCs w:val="20"/>
                <w:vertAlign w:val="baseline"/>
              </w:rPr>
            </w:pPr>
          </w:p>
        </w:tc>
      </w:tr>
      <w:tr w14:paraId="4737C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9A0ABDF">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80A4BA7">
            <w:pPr>
              <w:widowControl/>
              <w:spacing w:line="379" w:lineRule="exact"/>
              <w:ind w:right="-20"/>
              <w:jc w:val="center"/>
              <w:rPr>
                <w:rFonts w:hint="eastAsia" w:ascii="仿宋" w:hAnsi="仿宋" w:eastAsia="仿宋" w:cs="仿宋"/>
                <w:color w:val="000000"/>
                <w:sz w:val="20"/>
                <w:szCs w:val="20"/>
                <w:vertAlign w:val="baseline"/>
              </w:rPr>
            </w:pPr>
          </w:p>
        </w:tc>
        <w:tc>
          <w:tcPr>
            <w:tcW w:w="638" w:type="dxa"/>
            <w:vMerge w:val="continue"/>
            <w:noWrap w:val="0"/>
            <w:vAlign w:val="top"/>
          </w:tcPr>
          <w:p w14:paraId="0148AEDC">
            <w:pPr>
              <w:widowControl/>
              <w:spacing w:line="379" w:lineRule="exact"/>
              <w:ind w:right="-20"/>
              <w:jc w:val="center"/>
              <w:rPr>
                <w:rFonts w:hint="eastAsia" w:ascii="仿宋" w:hAnsi="仿宋" w:eastAsia="仿宋" w:cs="仿宋"/>
                <w:color w:val="000000"/>
                <w:sz w:val="20"/>
                <w:szCs w:val="20"/>
                <w:vertAlign w:val="baseline"/>
                <w:lang w:val="en-US" w:eastAsia="zh-CN"/>
              </w:rPr>
            </w:pPr>
          </w:p>
        </w:tc>
        <w:tc>
          <w:tcPr>
            <w:tcW w:w="998" w:type="dxa"/>
            <w:noWrap w:val="0"/>
            <w:vAlign w:val="top"/>
          </w:tcPr>
          <w:p w14:paraId="18061D1F">
            <w:pPr>
              <w:widowControl/>
              <w:spacing w:line="379" w:lineRule="exact"/>
              <w:ind w:right="-20"/>
              <w:jc w:val="both"/>
              <w:rPr>
                <w:rFonts w:hint="eastAsia" w:ascii="仿宋" w:hAnsi="仿宋" w:eastAsia="仿宋" w:cs="仿宋"/>
                <w:color w:val="000000"/>
                <w:sz w:val="20"/>
                <w:szCs w:val="20"/>
                <w:vertAlign w:val="baseline"/>
              </w:rPr>
            </w:pPr>
          </w:p>
        </w:tc>
        <w:tc>
          <w:tcPr>
            <w:tcW w:w="1083" w:type="dxa"/>
            <w:noWrap w:val="0"/>
            <w:vAlign w:val="top"/>
          </w:tcPr>
          <w:p w14:paraId="170D82E3">
            <w:pPr>
              <w:widowControl/>
              <w:spacing w:line="379" w:lineRule="exact"/>
              <w:ind w:right="-20"/>
              <w:jc w:val="center"/>
              <w:rPr>
                <w:rFonts w:hint="eastAsia"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HF060302</w:t>
            </w:r>
          </w:p>
        </w:tc>
        <w:tc>
          <w:tcPr>
            <w:tcW w:w="5989" w:type="dxa"/>
            <w:noWrap w:val="0"/>
            <w:vAlign w:val="top"/>
          </w:tcPr>
          <w:p w14:paraId="52553A6C">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 xml:space="preserve">通过非法编辑监控系统后台数据库数据（含文本、图片、视频等）或其导出数据经篡改后提交监管方、施加监测干扰剂、重置/迁移或改造监测（不含视频）传感器或其他手段蓄意篡改、干扰、妨碍或影响称重、炉温、 废气、烟气、污水、废水排放水质在线计量、 监控、监测数据的行为，每发现查实一起扣25分。 </w:t>
            </w:r>
          </w:p>
        </w:tc>
        <w:tc>
          <w:tcPr>
            <w:tcW w:w="882" w:type="dxa"/>
            <w:vMerge w:val="continue"/>
            <w:noWrap w:val="0"/>
            <w:vAlign w:val="top"/>
          </w:tcPr>
          <w:p w14:paraId="06B74132">
            <w:pPr>
              <w:widowControl/>
              <w:spacing w:line="379" w:lineRule="exact"/>
              <w:ind w:right="-20"/>
              <w:jc w:val="center"/>
              <w:rPr>
                <w:rFonts w:hint="eastAsia" w:ascii="仿宋" w:hAnsi="仿宋" w:eastAsia="仿宋" w:cs="仿宋"/>
                <w:color w:val="000000"/>
                <w:sz w:val="20"/>
                <w:szCs w:val="20"/>
                <w:vertAlign w:val="baseline"/>
              </w:rPr>
            </w:pPr>
          </w:p>
        </w:tc>
        <w:tc>
          <w:tcPr>
            <w:tcW w:w="1014" w:type="dxa"/>
            <w:noWrap w:val="0"/>
            <w:vAlign w:val="top"/>
          </w:tcPr>
          <w:p w14:paraId="528354B7">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36E967F6">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761ACB5A">
            <w:pPr>
              <w:widowControl/>
              <w:spacing w:line="379" w:lineRule="exact"/>
              <w:ind w:right="-20"/>
              <w:jc w:val="center"/>
              <w:rPr>
                <w:rFonts w:hint="eastAsia" w:ascii="仿宋" w:hAnsi="仿宋" w:eastAsia="仿宋" w:cs="仿宋"/>
                <w:color w:val="000000"/>
                <w:sz w:val="20"/>
                <w:szCs w:val="20"/>
                <w:vertAlign w:val="baseline"/>
              </w:rPr>
            </w:pPr>
          </w:p>
        </w:tc>
      </w:tr>
      <w:tr w14:paraId="7B7BC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vMerge w:val="continue"/>
            <w:noWrap w:val="0"/>
            <w:vAlign w:val="top"/>
          </w:tcPr>
          <w:p w14:paraId="754A0282">
            <w:pPr>
              <w:widowControl/>
              <w:spacing w:line="379" w:lineRule="exact"/>
              <w:ind w:right="-20"/>
              <w:jc w:val="center"/>
              <w:rPr>
                <w:rFonts w:hint="eastAsia" w:ascii="仿宋" w:hAnsi="仿宋" w:eastAsia="仿宋" w:cs="仿宋"/>
                <w:color w:val="000000"/>
                <w:sz w:val="20"/>
                <w:szCs w:val="20"/>
                <w:vertAlign w:val="baseline"/>
              </w:rPr>
            </w:pPr>
          </w:p>
        </w:tc>
        <w:tc>
          <w:tcPr>
            <w:tcW w:w="1245" w:type="dxa"/>
            <w:vMerge w:val="continue"/>
            <w:noWrap w:val="0"/>
            <w:vAlign w:val="top"/>
          </w:tcPr>
          <w:p w14:paraId="012C19B5">
            <w:pPr>
              <w:widowControl/>
              <w:spacing w:line="379" w:lineRule="exact"/>
              <w:ind w:right="-20"/>
              <w:jc w:val="center"/>
              <w:rPr>
                <w:rFonts w:hint="eastAsia" w:ascii="仿宋" w:hAnsi="仿宋" w:eastAsia="仿宋" w:cs="仿宋"/>
                <w:color w:val="000000"/>
                <w:sz w:val="20"/>
                <w:szCs w:val="20"/>
                <w:vertAlign w:val="baseline"/>
              </w:rPr>
            </w:pPr>
          </w:p>
        </w:tc>
        <w:tc>
          <w:tcPr>
            <w:tcW w:w="638" w:type="dxa"/>
            <w:noWrap w:val="0"/>
            <w:vAlign w:val="top"/>
          </w:tcPr>
          <w:p w14:paraId="5CC37555">
            <w:pPr>
              <w:widowControl/>
              <w:spacing w:beforeLines="0" w:afterLines="0"/>
              <w:jc w:val="left"/>
              <w:rPr>
                <w:rFonts w:hint="eastAsia" w:ascii="宋体" w:hAnsi="Times New Roman" w:eastAsia="宋体" w:cs="Times New Roman"/>
                <w:spacing w:val="-1"/>
                <w:kern w:val="2"/>
                <w:sz w:val="21"/>
                <w:szCs w:val="24"/>
                <w:lang w:val="en-US" w:eastAsia="zh-CN" w:bidi="ar-SA"/>
              </w:rPr>
            </w:pPr>
            <w:r>
              <w:rPr>
                <w:rFonts w:hint="eastAsia" w:ascii="宋体" w:hAnsi="Times New Roman" w:eastAsia="宋体" w:cs="Times New Roman"/>
                <w:spacing w:val="-1"/>
                <w:sz w:val="21"/>
                <w:szCs w:val="24"/>
                <w:lang w:val="en-US" w:eastAsia="zh-CN"/>
              </w:rPr>
              <w:t>-10</w:t>
            </w:r>
          </w:p>
        </w:tc>
        <w:tc>
          <w:tcPr>
            <w:tcW w:w="998" w:type="dxa"/>
            <w:noWrap w:val="0"/>
            <w:vAlign w:val="top"/>
          </w:tcPr>
          <w:p w14:paraId="4099E2AB">
            <w:pPr>
              <w:widowControl/>
              <w:spacing w:line="379" w:lineRule="exact"/>
              <w:ind w:right="-20"/>
              <w:jc w:val="both"/>
              <w:rPr>
                <w:rFonts w:hint="eastAsia" w:ascii="仿宋" w:hAnsi="仿宋" w:eastAsia="仿宋" w:cs="仿宋"/>
                <w:color w:val="000000"/>
                <w:sz w:val="20"/>
                <w:szCs w:val="20"/>
                <w:vertAlign w:val="baseline"/>
              </w:rPr>
            </w:pPr>
            <w:r>
              <w:rPr>
                <w:rFonts w:hint="eastAsia" w:ascii="仿宋_GB2312" w:hAnsi="仿宋_GB2312" w:eastAsia="仿宋_GB2312" w:cs="仿宋_GB2312"/>
                <w:sz w:val="20"/>
                <w:szCs w:val="20"/>
                <w:lang w:eastAsia="zh-CN"/>
              </w:rPr>
              <w:t>干扰或不配合考核工作（H</w:t>
            </w:r>
            <w:r>
              <w:rPr>
                <w:rFonts w:hint="eastAsia" w:ascii="仿宋_GB2312" w:hAnsi="仿宋_GB2312" w:eastAsia="仿宋_GB2312" w:cs="仿宋_GB2312"/>
                <w:sz w:val="20"/>
                <w:szCs w:val="20"/>
                <w:lang w:val="en-US" w:eastAsia="zh-CN"/>
              </w:rPr>
              <w:t>F</w:t>
            </w:r>
            <w:r>
              <w:rPr>
                <w:rFonts w:hint="eastAsia" w:ascii="仿宋_GB2312" w:hAnsi="仿宋_GB2312" w:eastAsia="仿宋_GB2312" w:cs="仿宋_GB2312"/>
                <w:sz w:val="20"/>
                <w:szCs w:val="20"/>
                <w:lang w:eastAsia="zh-CN"/>
              </w:rPr>
              <w:t>060</w:t>
            </w:r>
            <w:r>
              <w:rPr>
                <w:rFonts w:hint="eastAsia" w:ascii="仿宋_GB2312" w:hAnsi="仿宋_GB2312" w:eastAsia="仿宋_GB2312" w:cs="仿宋_GB2312"/>
                <w:sz w:val="20"/>
                <w:szCs w:val="20"/>
                <w:lang w:val="en-US" w:eastAsia="zh-CN"/>
              </w:rPr>
              <w:t>4</w:t>
            </w:r>
            <w:r>
              <w:rPr>
                <w:rFonts w:hint="eastAsia" w:ascii="仿宋_GB2312" w:hAnsi="仿宋_GB2312" w:eastAsia="仿宋_GB2312" w:cs="仿宋_GB2312"/>
                <w:sz w:val="20"/>
                <w:szCs w:val="20"/>
                <w:lang w:eastAsia="zh-CN"/>
              </w:rPr>
              <w:t>）</w:t>
            </w:r>
          </w:p>
        </w:tc>
        <w:tc>
          <w:tcPr>
            <w:tcW w:w="1083" w:type="dxa"/>
            <w:noWrap w:val="0"/>
            <w:vAlign w:val="top"/>
          </w:tcPr>
          <w:p w14:paraId="5AFE3568">
            <w:pPr>
              <w:widowControl/>
              <w:spacing w:line="379" w:lineRule="exact"/>
              <w:ind w:right="-20"/>
              <w:jc w:val="center"/>
              <w:rPr>
                <w:rFonts w:hint="default" w:ascii="仿宋" w:hAnsi="仿宋" w:eastAsia="仿宋" w:cs="仿宋"/>
                <w:color w:val="000000"/>
                <w:sz w:val="20"/>
                <w:szCs w:val="20"/>
                <w:vertAlign w:val="baseline"/>
                <w:lang w:val="en-US" w:eastAsia="zh-CN"/>
              </w:rPr>
            </w:pPr>
            <w:r>
              <w:rPr>
                <w:rFonts w:hint="eastAsia" w:ascii="仿宋" w:hAnsi="仿宋" w:eastAsia="仿宋" w:cs="仿宋"/>
                <w:color w:val="000000"/>
                <w:sz w:val="20"/>
                <w:szCs w:val="20"/>
                <w:vertAlign w:val="baseline"/>
                <w:lang w:val="en-US" w:eastAsia="zh-CN"/>
              </w:rPr>
              <w:t>HF060401</w:t>
            </w:r>
          </w:p>
        </w:tc>
        <w:tc>
          <w:tcPr>
            <w:tcW w:w="5989" w:type="dxa"/>
            <w:noWrap w:val="0"/>
            <w:vAlign w:val="top"/>
          </w:tcPr>
          <w:p w14:paraId="04330D0B">
            <w:pPr>
              <w:widowControl/>
              <w:spacing w:line="379" w:lineRule="exact"/>
              <w:ind w:right="-20"/>
              <w:jc w:val="both"/>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vertAlign w:val="baseline"/>
              </w:rPr>
              <w:t>出现无故不配合主管部门或监管单位检查考核现象，扣10分。</w:t>
            </w:r>
          </w:p>
        </w:tc>
        <w:tc>
          <w:tcPr>
            <w:tcW w:w="882" w:type="dxa"/>
            <w:noWrap w:val="0"/>
            <w:vAlign w:val="top"/>
          </w:tcPr>
          <w:p w14:paraId="64D8BE8B">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rPr>
              <w:t>查看资料 现场检查</w:t>
            </w:r>
          </w:p>
        </w:tc>
        <w:tc>
          <w:tcPr>
            <w:tcW w:w="1014" w:type="dxa"/>
            <w:noWrap w:val="0"/>
            <w:vAlign w:val="top"/>
          </w:tcPr>
          <w:p w14:paraId="5781DE09">
            <w:pPr>
              <w:widowControl/>
              <w:spacing w:line="379" w:lineRule="exact"/>
              <w:ind w:right="-20"/>
              <w:jc w:val="center"/>
              <w:rPr>
                <w:rFonts w:hint="eastAsia" w:ascii="仿宋" w:hAnsi="仿宋" w:eastAsia="仿宋" w:cs="仿宋"/>
                <w:color w:val="000000"/>
                <w:sz w:val="20"/>
                <w:szCs w:val="20"/>
                <w:vertAlign w:val="baseline"/>
              </w:rPr>
            </w:pPr>
          </w:p>
        </w:tc>
        <w:tc>
          <w:tcPr>
            <w:tcW w:w="1095" w:type="dxa"/>
            <w:noWrap w:val="0"/>
            <w:vAlign w:val="top"/>
          </w:tcPr>
          <w:p w14:paraId="0B30DA2B">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5B54D0D6">
            <w:pPr>
              <w:widowControl/>
              <w:spacing w:line="379" w:lineRule="exact"/>
              <w:ind w:right="-20"/>
              <w:jc w:val="center"/>
              <w:rPr>
                <w:rFonts w:hint="eastAsia" w:ascii="仿宋" w:hAnsi="仿宋" w:eastAsia="仿宋" w:cs="仿宋"/>
                <w:color w:val="000000"/>
                <w:sz w:val="20"/>
                <w:szCs w:val="20"/>
                <w:vertAlign w:val="baseline"/>
              </w:rPr>
            </w:pPr>
          </w:p>
        </w:tc>
      </w:tr>
      <w:tr w14:paraId="4EA24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74" w:type="dxa"/>
            <w:gridSpan w:val="8"/>
            <w:noWrap w:val="0"/>
            <w:vAlign w:val="top"/>
          </w:tcPr>
          <w:p w14:paraId="6B092ABB">
            <w:pPr>
              <w:widowControl/>
              <w:spacing w:line="379" w:lineRule="exact"/>
              <w:ind w:right="-20"/>
              <w:jc w:val="center"/>
              <w:rPr>
                <w:rFonts w:hint="eastAsia" w:ascii="仿宋" w:hAnsi="仿宋" w:eastAsia="仿宋" w:cs="仿宋"/>
                <w:color w:val="000000"/>
                <w:sz w:val="20"/>
                <w:szCs w:val="20"/>
                <w:vertAlign w:val="baseline"/>
              </w:rPr>
            </w:pPr>
            <w:r>
              <w:rPr>
                <w:rFonts w:hint="eastAsia" w:ascii="仿宋" w:hAnsi="仿宋" w:eastAsia="仿宋" w:cs="仿宋"/>
                <w:color w:val="000000"/>
                <w:sz w:val="20"/>
                <w:szCs w:val="20"/>
                <w:vertAlign w:val="baseline"/>
                <w:lang w:eastAsia="zh-CN"/>
              </w:rPr>
              <w:t>合计得分（</w:t>
            </w:r>
            <w:r>
              <w:rPr>
                <w:rFonts w:hint="eastAsia" w:ascii="仿宋" w:hAnsi="仿宋" w:eastAsia="仿宋" w:cs="仿宋"/>
                <w:color w:val="000000"/>
                <w:sz w:val="20"/>
                <w:szCs w:val="20"/>
                <w:vertAlign w:val="baseline"/>
                <w:lang w:val="en-US" w:eastAsia="zh-CN"/>
              </w:rPr>
              <w:t>1+2+3+4+5+6</w:t>
            </w:r>
            <w:r>
              <w:rPr>
                <w:rFonts w:hint="eastAsia" w:ascii="仿宋" w:hAnsi="仿宋" w:eastAsia="仿宋" w:cs="仿宋"/>
                <w:color w:val="000000"/>
                <w:sz w:val="20"/>
                <w:szCs w:val="20"/>
                <w:vertAlign w:val="baseline"/>
                <w:lang w:eastAsia="zh-CN"/>
              </w:rPr>
              <w:t>）</w:t>
            </w:r>
          </w:p>
        </w:tc>
        <w:tc>
          <w:tcPr>
            <w:tcW w:w="1095" w:type="dxa"/>
            <w:noWrap w:val="0"/>
            <w:vAlign w:val="top"/>
          </w:tcPr>
          <w:p w14:paraId="5D36E976">
            <w:pPr>
              <w:widowControl/>
              <w:spacing w:line="379" w:lineRule="exact"/>
              <w:ind w:right="-20"/>
              <w:jc w:val="center"/>
              <w:rPr>
                <w:rFonts w:hint="eastAsia" w:ascii="仿宋" w:hAnsi="仿宋" w:eastAsia="仿宋" w:cs="仿宋"/>
                <w:color w:val="000000"/>
                <w:sz w:val="20"/>
                <w:szCs w:val="20"/>
                <w:vertAlign w:val="baseline"/>
              </w:rPr>
            </w:pPr>
          </w:p>
        </w:tc>
        <w:tc>
          <w:tcPr>
            <w:tcW w:w="1427" w:type="dxa"/>
            <w:noWrap w:val="0"/>
            <w:vAlign w:val="top"/>
          </w:tcPr>
          <w:p w14:paraId="4EE70FCD">
            <w:pPr>
              <w:widowControl/>
              <w:spacing w:line="379" w:lineRule="exact"/>
              <w:ind w:right="-20"/>
              <w:jc w:val="center"/>
              <w:rPr>
                <w:rFonts w:hint="eastAsia" w:ascii="仿宋" w:hAnsi="仿宋" w:eastAsia="仿宋" w:cs="仿宋"/>
                <w:color w:val="000000"/>
                <w:sz w:val="20"/>
                <w:szCs w:val="20"/>
                <w:vertAlign w:val="baseline"/>
              </w:rPr>
            </w:pPr>
          </w:p>
        </w:tc>
      </w:tr>
    </w:tbl>
    <w:p w14:paraId="4C394BF2">
      <w:pPr>
        <w:widowControl/>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备注：1、每个考核子项累计最低得分为0分(“奖罚分”所属子项“HF060201—一般负面影响” 累计得分最低为-2 分，及“HF060202—重大负</w:t>
      </w:r>
    </w:p>
    <w:p w14:paraId="60E3A45B">
      <w:pPr>
        <w:widowControl/>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面影响” 累计得分最低为-5 分，最高为0分、“HF0603—篡改监控数据” 累计得分最低为-30分，最高为0分</w:t>
      </w:r>
      <w:r>
        <w:rPr>
          <w:rFonts w:hint="eastAsia" w:ascii="仿宋_GB2312" w:hAnsi="仿宋_GB2312" w:eastAsia="仿宋_GB2312" w:cs="仿宋_GB2312"/>
          <w:sz w:val="24"/>
          <w:szCs w:val="24"/>
          <w:lang w:eastAsia="zh-CN"/>
        </w:rPr>
        <w:t>、H</w:t>
      </w:r>
      <w:r>
        <w:rPr>
          <w:rFonts w:hint="eastAsia" w:ascii="仿宋_GB2312" w:hAnsi="仿宋_GB2312" w:eastAsia="仿宋_GB2312" w:cs="仿宋_GB2312"/>
          <w:sz w:val="24"/>
          <w:szCs w:val="24"/>
          <w:lang w:val="en-US" w:eastAsia="zh-CN"/>
        </w:rPr>
        <w:t>F</w:t>
      </w:r>
      <w:r>
        <w:rPr>
          <w:rFonts w:hint="eastAsia" w:ascii="仿宋_GB2312" w:hAnsi="仿宋_GB2312" w:eastAsia="仿宋_GB2312" w:cs="仿宋_GB2312"/>
          <w:sz w:val="24"/>
          <w:szCs w:val="24"/>
          <w:lang w:eastAsia="zh-CN"/>
        </w:rPr>
        <w:t>0604-干扰或不配合考核工作”累计得分最低为-10分，最高为0分</w:t>
      </w:r>
      <w:r>
        <w:rPr>
          <w:rFonts w:hint="eastAsia" w:ascii="仿宋_GB2312" w:hAnsi="仿宋_GB2312" w:eastAsia="仿宋_GB2312" w:cs="仿宋_GB2312"/>
          <w:sz w:val="24"/>
          <w:szCs w:val="24"/>
        </w:rPr>
        <w:t>)。</w:t>
      </w:r>
    </w:p>
    <w:p w14:paraId="348F084A">
      <w:pPr>
        <w:pStyle w:val="2"/>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sectPr>
          <w:pgSz w:w="16838" w:h="11906" w:orient="landscape"/>
          <w:pgMar w:top="1800" w:right="1440" w:bottom="1800" w:left="1440" w:header="851" w:footer="992" w:gutter="0"/>
          <w:pgNumType w:start="1"/>
          <w:cols w:space="425" w:num="1"/>
          <w:docGrid w:type="lines" w:linePitch="312" w:charSpace="0"/>
        </w:sectPr>
      </w:pPr>
      <w:r>
        <w:rPr>
          <w:rFonts w:hint="eastAsia" w:ascii="仿宋_GB2312" w:hAnsi="仿宋_GB2312" w:eastAsia="仿宋_GB2312" w:cs="仿宋_GB2312"/>
          <w:sz w:val="24"/>
          <w:szCs w:val="24"/>
        </w:rPr>
        <w:t>2、以上各项扣分除有特殊说明的，不累计到其它项，单项扣分扣完为止。</w:t>
      </w:r>
    </w:p>
    <w:p w14:paraId="79DA64CC">
      <w:pPr>
        <w:keepNext w:val="0"/>
        <w:keepLines w:val="0"/>
        <w:pageBreakBefore w:val="0"/>
        <w:kinsoku/>
        <w:wordWrap/>
        <w:overflowPunct/>
        <w:topLinePunct w:val="0"/>
        <w:autoSpaceDE/>
        <w:autoSpaceDN/>
        <w:bidi w:val="0"/>
        <w:spacing w:before="184" w:line="360" w:lineRule="auto"/>
        <w:ind w:firstLine="285" w:firstLineChars="100"/>
        <w:textAlignment w:val="auto"/>
        <w:rPr>
          <w:rFonts w:hint="eastAsia" w:ascii="宋体" w:hAnsi="宋体" w:eastAsia="宋体" w:cs="宋体"/>
          <w:spacing w:val="22"/>
          <w:sz w:val="24"/>
          <w:szCs w:val="24"/>
        </w:rPr>
      </w:pPr>
      <w:r>
        <w:rPr>
          <w:rFonts w:hint="eastAsia" w:ascii="宋体" w:hAnsi="宋体" w:eastAsia="宋体" w:cs="宋体"/>
          <w:b/>
          <w:bCs/>
          <w:spacing w:val="22"/>
          <w:sz w:val="24"/>
          <w:szCs w:val="24"/>
        </w:rPr>
        <w:t>附件</w:t>
      </w:r>
      <w:r>
        <w:rPr>
          <w:rFonts w:hint="eastAsia" w:ascii="宋体" w:hAnsi="宋体" w:eastAsia="宋体" w:cs="宋体"/>
          <w:b/>
          <w:bCs/>
          <w:spacing w:val="22"/>
          <w:sz w:val="24"/>
          <w:szCs w:val="24"/>
          <w:lang w:val="en-US" w:eastAsia="zh-CN"/>
        </w:rPr>
        <w:t>2</w:t>
      </w:r>
      <w:r>
        <w:rPr>
          <w:rFonts w:hint="eastAsia" w:ascii="宋体" w:hAnsi="宋体" w:eastAsia="宋体" w:cs="宋体"/>
          <w:b/>
          <w:bCs/>
          <w:spacing w:val="22"/>
          <w:sz w:val="24"/>
          <w:szCs w:val="24"/>
        </w:rPr>
        <w:t>：</w:t>
      </w:r>
    </w:p>
    <w:p w14:paraId="07991B32">
      <w:pPr>
        <w:keepNext w:val="0"/>
        <w:keepLines w:val="0"/>
        <w:pageBreakBefore w:val="0"/>
        <w:kinsoku/>
        <w:wordWrap/>
        <w:overflowPunct/>
        <w:topLinePunct w:val="0"/>
        <w:autoSpaceDE/>
        <w:autoSpaceDN/>
        <w:bidi w:val="0"/>
        <w:spacing w:line="360" w:lineRule="auto"/>
        <w:ind w:firstLine="0" w:firstLineChars="0"/>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履约</w:t>
      </w:r>
      <w:r>
        <w:rPr>
          <w:rFonts w:hint="eastAsia" w:ascii="宋体" w:hAnsi="宋体" w:eastAsia="宋体" w:cs="宋体"/>
          <w:b/>
          <w:color w:val="auto"/>
          <w:sz w:val="24"/>
          <w:szCs w:val="24"/>
        </w:rPr>
        <w:t>验收方案</w:t>
      </w:r>
    </w:p>
    <w:p w14:paraId="36D19D97">
      <w:pPr>
        <w:pStyle w:val="5"/>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rPr>
      </w:pPr>
    </w:p>
    <w:p w14:paraId="1F1861CD">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一、</w:t>
      </w:r>
      <w:r>
        <w:rPr>
          <w:rFonts w:hint="eastAsia" w:ascii="宋体" w:hAnsi="宋体" w:eastAsia="宋体" w:cs="宋体"/>
          <w:b/>
          <w:bCs/>
          <w:color w:val="auto"/>
          <w:sz w:val="24"/>
          <w:szCs w:val="24"/>
        </w:rPr>
        <w:t>项目供应商基本情况</w:t>
      </w:r>
    </w:p>
    <w:p w14:paraId="4246FD1F">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服务供应商：</w:t>
      </w:r>
    </w:p>
    <w:p w14:paraId="0AE0D670">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项目实施时间：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月至</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p>
    <w:p w14:paraId="6B5522CF">
      <w:pPr>
        <w:pStyle w:val="12"/>
        <w:keepNext w:val="0"/>
        <w:keepLines w:val="0"/>
        <w:pageBreakBefore w:val="0"/>
        <w:widowControl w:val="0"/>
        <w:numPr>
          <w:ilvl w:val="0"/>
          <w:numId w:val="0"/>
        </w:numPr>
        <w:kinsoku/>
        <w:wordWrap/>
        <w:overflowPunct/>
        <w:topLinePunct w:val="0"/>
        <w:autoSpaceDE/>
        <w:autoSpaceDN/>
        <w:bidi w:val="0"/>
        <w:adjustRightInd/>
        <w:snapToGrid/>
        <w:spacing w:before="240" w:line="360" w:lineRule="auto"/>
        <w:ind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二、履约</w:t>
      </w:r>
      <w:r>
        <w:rPr>
          <w:rFonts w:hint="eastAsia" w:ascii="宋体" w:hAnsi="宋体" w:eastAsia="宋体" w:cs="宋体"/>
          <w:b/>
          <w:bCs/>
          <w:color w:val="auto"/>
          <w:sz w:val="24"/>
          <w:szCs w:val="24"/>
        </w:rPr>
        <w:t>验收小组及成员</w:t>
      </w:r>
    </w:p>
    <w:p w14:paraId="6A7772AF">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验收组织单位：海口市城市管理局</w:t>
      </w:r>
    </w:p>
    <w:p w14:paraId="55D4875B">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验收经办科室：</w:t>
      </w:r>
    </w:p>
    <w:p w14:paraId="5FA5EBC5">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验收小组成员：</w:t>
      </w:r>
    </w:p>
    <w:p w14:paraId="3475196A">
      <w:pPr>
        <w:pStyle w:val="12"/>
        <w:keepNext w:val="0"/>
        <w:keepLines w:val="0"/>
        <w:pageBreakBefore w:val="0"/>
        <w:widowControl w:val="0"/>
        <w:numPr>
          <w:ilvl w:val="0"/>
          <w:numId w:val="0"/>
        </w:numPr>
        <w:kinsoku/>
        <w:wordWrap/>
        <w:overflowPunct/>
        <w:topLinePunct w:val="0"/>
        <w:autoSpaceDE/>
        <w:autoSpaceDN/>
        <w:bidi w:val="0"/>
        <w:adjustRightInd/>
        <w:snapToGrid/>
        <w:spacing w:before="240" w:line="360" w:lineRule="auto"/>
        <w:ind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三、履约</w:t>
      </w:r>
      <w:r>
        <w:rPr>
          <w:rFonts w:hint="eastAsia" w:ascii="宋体" w:hAnsi="宋体" w:eastAsia="宋体" w:cs="宋体"/>
          <w:b/>
          <w:bCs/>
          <w:color w:val="auto"/>
          <w:sz w:val="24"/>
          <w:szCs w:val="24"/>
        </w:rPr>
        <w:t>验收时间及地点</w:t>
      </w:r>
    </w:p>
    <w:p w14:paraId="2B80FD8E">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验收时间：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月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5E325FB6">
      <w:pPr>
        <w:pStyle w:val="1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验收地点：海口市城市管理局会议室</w:t>
      </w:r>
    </w:p>
    <w:p w14:paraId="4AA47860">
      <w:pPr>
        <w:pStyle w:val="12"/>
        <w:keepNext w:val="0"/>
        <w:keepLines w:val="0"/>
        <w:pageBreakBefore w:val="0"/>
        <w:widowControl w:val="0"/>
        <w:numPr>
          <w:ilvl w:val="0"/>
          <w:numId w:val="0"/>
        </w:numPr>
        <w:kinsoku/>
        <w:wordWrap/>
        <w:overflowPunct/>
        <w:topLinePunct w:val="0"/>
        <w:autoSpaceDE/>
        <w:autoSpaceDN/>
        <w:bidi w:val="0"/>
        <w:adjustRightInd/>
        <w:snapToGrid/>
        <w:spacing w:before="240" w:line="360" w:lineRule="auto"/>
        <w:ind w:leftChars="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四、履约</w:t>
      </w:r>
      <w:r>
        <w:rPr>
          <w:rFonts w:hint="eastAsia" w:ascii="宋体" w:hAnsi="宋体" w:eastAsia="宋体" w:cs="宋体"/>
          <w:b/>
          <w:bCs/>
          <w:color w:val="auto"/>
          <w:sz w:val="24"/>
          <w:szCs w:val="24"/>
        </w:rPr>
        <w:t>验收程序</w:t>
      </w:r>
    </w:p>
    <w:p w14:paraId="75B9840D">
      <w:pPr>
        <w:pStyle w:val="12"/>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40" w:firstLineChars="225"/>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听取服务供应商的服务总结报告。</w:t>
      </w:r>
    </w:p>
    <w:p w14:paraId="0B6C4264">
      <w:pPr>
        <w:pStyle w:val="12"/>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40" w:firstLineChars="225"/>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验收小组审阅、核对服务供应商提供的服务项目，包括服务质量、排放达标、运行维护、环境监测、设施设备等资料。</w:t>
      </w:r>
    </w:p>
    <w:p w14:paraId="21D317B3">
      <w:pPr>
        <w:pStyle w:val="12"/>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40" w:firstLineChars="225"/>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验收小组成员发表评价意见、形成</w:t>
      </w:r>
      <w:r>
        <w:rPr>
          <w:rFonts w:hint="eastAsia" w:ascii="宋体" w:hAnsi="宋体" w:eastAsia="宋体" w:cs="宋体"/>
          <w:color w:val="auto"/>
          <w:sz w:val="24"/>
          <w:szCs w:val="24"/>
          <w:lang w:eastAsia="zh-CN"/>
        </w:rPr>
        <w:t>审核结果</w:t>
      </w:r>
      <w:r>
        <w:rPr>
          <w:rFonts w:hint="eastAsia" w:ascii="宋体" w:hAnsi="宋体" w:eastAsia="宋体" w:cs="宋体"/>
          <w:color w:val="auto"/>
          <w:sz w:val="24"/>
          <w:szCs w:val="24"/>
        </w:rPr>
        <w:t>。</w:t>
      </w:r>
    </w:p>
    <w:p w14:paraId="73102E5C">
      <w:pPr>
        <w:pStyle w:val="12"/>
        <w:keepNext w:val="0"/>
        <w:keepLines w:val="0"/>
        <w:pageBreakBefore w:val="0"/>
        <w:widowControl w:val="0"/>
        <w:numPr>
          <w:ilvl w:val="0"/>
          <w:numId w:val="0"/>
        </w:numPr>
        <w:kinsoku/>
        <w:wordWrap/>
        <w:overflowPunct/>
        <w:topLinePunct w:val="0"/>
        <w:autoSpaceDE/>
        <w:autoSpaceDN/>
        <w:bidi w:val="0"/>
        <w:adjustRightInd/>
        <w:snapToGrid/>
        <w:spacing w:before="240" w:line="360" w:lineRule="auto"/>
        <w:ind w:leftChars="0"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五、履约</w:t>
      </w:r>
      <w:r>
        <w:rPr>
          <w:rFonts w:hint="eastAsia" w:ascii="宋体" w:hAnsi="宋体" w:eastAsia="宋体" w:cs="宋体"/>
          <w:b/>
          <w:bCs/>
          <w:color w:val="auto"/>
          <w:sz w:val="24"/>
          <w:szCs w:val="24"/>
        </w:rPr>
        <w:t>验收</w:t>
      </w:r>
      <w:r>
        <w:rPr>
          <w:rFonts w:hint="eastAsia" w:ascii="宋体" w:hAnsi="宋体" w:eastAsia="宋体" w:cs="宋体"/>
          <w:b/>
          <w:bCs/>
          <w:color w:val="auto"/>
          <w:sz w:val="24"/>
          <w:szCs w:val="24"/>
          <w:lang w:eastAsia="zh-CN"/>
        </w:rPr>
        <w:t>标准</w:t>
      </w:r>
    </w:p>
    <w:p w14:paraId="60F816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按照国家、省、市相关规定及合同约定的标准和规范执行.</w:t>
      </w:r>
    </w:p>
    <w:p w14:paraId="0367773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1.烟气排放标准</w:t>
      </w:r>
    </w:p>
    <w:p w14:paraId="4EC1BC9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烟气排放标准要求优于国标《生活垃圾焚烧污染控制标准》(GB18485-2014)以及《生活垃圾焚烧污染控制标准》(DB46/484-2019)的排放限值要求，以满足海口市现代化发展对环境保护的需要。</w:t>
      </w:r>
    </w:p>
    <w:p w14:paraId="2AAC3036">
      <w:pPr>
        <w:pStyle w:val="10"/>
        <w:keepNext w:val="0"/>
        <w:keepLines w:val="0"/>
        <w:pageBreakBefore w:val="0"/>
        <w:kinsoku/>
        <w:wordWrap/>
        <w:overflowPunct/>
        <w:topLinePunct w:val="0"/>
        <w:autoSpaceDE/>
        <w:autoSpaceDN/>
        <w:bidi w:val="0"/>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表1 烟气排放指标表</w:t>
      </w:r>
    </w:p>
    <w:tbl>
      <w:tblPr>
        <w:tblStyle w:val="6"/>
        <w:tblW w:w="8577" w:type="dxa"/>
        <w:jc w:val="center"/>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Layout w:type="fixed"/>
        <w:tblCellMar>
          <w:top w:w="0" w:type="dxa"/>
          <w:left w:w="0" w:type="dxa"/>
          <w:bottom w:w="0" w:type="dxa"/>
          <w:right w:w="0" w:type="dxa"/>
        </w:tblCellMar>
      </w:tblPr>
      <w:tblGrid>
        <w:gridCol w:w="483"/>
        <w:gridCol w:w="1925"/>
        <w:gridCol w:w="1142"/>
        <w:gridCol w:w="1281"/>
        <w:gridCol w:w="1350"/>
        <w:gridCol w:w="1196"/>
        <w:gridCol w:w="1200"/>
      </w:tblGrid>
      <w:tr w14:paraId="4EE907D0">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85" w:hRule="atLeast"/>
          <w:jc w:val="center"/>
        </w:trPr>
        <w:tc>
          <w:tcPr>
            <w:tcW w:w="483" w:type="dxa"/>
            <w:vMerge w:val="restart"/>
            <w:tcBorders>
              <w:top w:val="thinThickSmallGap" w:color="auto" w:sz="12" w:space="0"/>
              <w:left w:val="thinThickSmallGap" w:color="auto" w:sz="12" w:space="0"/>
              <w:bottom w:val="single" w:color="auto" w:sz="4" w:space="0"/>
              <w:right w:val="single" w:color="auto" w:sz="4" w:space="0"/>
            </w:tcBorders>
            <w:vAlign w:val="center"/>
          </w:tcPr>
          <w:p w14:paraId="44ADC130">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序</w:t>
            </w:r>
          </w:p>
          <w:p w14:paraId="634AC4D8">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号</w:t>
            </w:r>
          </w:p>
        </w:tc>
        <w:tc>
          <w:tcPr>
            <w:tcW w:w="1925" w:type="dxa"/>
            <w:vMerge w:val="restart"/>
            <w:tcBorders>
              <w:top w:val="thinThickSmallGap" w:color="auto" w:sz="12" w:space="0"/>
              <w:left w:val="single" w:color="auto" w:sz="4" w:space="0"/>
              <w:bottom w:val="single" w:color="auto" w:sz="4" w:space="0"/>
              <w:right w:val="single" w:color="auto" w:sz="4" w:space="0"/>
            </w:tcBorders>
            <w:vAlign w:val="center"/>
          </w:tcPr>
          <w:p w14:paraId="6B8FD7F6">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污染物名称</w:t>
            </w:r>
          </w:p>
        </w:tc>
        <w:tc>
          <w:tcPr>
            <w:tcW w:w="1142" w:type="dxa"/>
            <w:vMerge w:val="restart"/>
            <w:tcBorders>
              <w:top w:val="thinThickSmallGap" w:color="auto" w:sz="12" w:space="0"/>
              <w:left w:val="single" w:color="auto" w:sz="4" w:space="0"/>
              <w:bottom w:val="single" w:color="auto" w:sz="4" w:space="0"/>
              <w:right w:val="single" w:color="auto" w:sz="4" w:space="0"/>
            </w:tcBorders>
            <w:vAlign w:val="center"/>
          </w:tcPr>
          <w:p w14:paraId="38734B29">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单 位</w:t>
            </w:r>
          </w:p>
        </w:tc>
        <w:tc>
          <w:tcPr>
            <w:tcW w:w="2631" w:type="dxa"/>
            <w:gridSpan w:val="2"/>
            <w:tcBorders>
              <w:top w:val="thinThickSmallGap" w:color="auto" w:sz="12" w:space="0"/>
              <w:left w:val="single" w:color="auto" w:sz="4" w:space="0"/>
              <w:bottom w:val="single" w:color="auto" w:sz="4" w:space="0"/>
              <w:right w:val="single" w:color="auto" w:sz="4" w:space="0"/>
            </w:tcBorders>
            <w:vAlign w:val="center"/>
          </w:tcPr>
          <w:p w14:paraId="7F2CFAD3">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GB18485-2014</w:t>
            </w:r>
          </w:p>
        </w:tc>
        <w:tc>
          <w:tcPr>
            <w:tcW w:w="2396" w:type="dxa"/>
            <w:gridSpan w:val="2"/>
            <w:tcBorders>
              <w:top w:val="thinThickSmallGap" w:color="auto" w:sz="12" w:space="0"/>
              <w:left w:val="single" w:color="auto" w:sz="4" w:space="0"/>
              <w:bottom w:val="single" w:color="auto" w:sz="4" w:space="0"/>
              <w:right w:val="thickThinSmallGap" w:color="auto" w:sz="12" w:space="0"/>
            </w:tcBorders>
            <w:vAlign w:val="center"/>
          </w:tcPr>
          <w:p w14:paraId="4D544A10">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sz w:val="24"/>
                <w:szCs w:val="24"/>
              </w:rPr>
              <w:t>DB46/484-2019</w:t>
            </w:r>
          </w:p>
        </w:tc>
      </w:tr>
      <w:tr w14:paraId="21D08093">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85" w:hRule="atLeast"/>
          <w:jc w:val="center"/>
        </w:trPr>
        <w:tc>
          <w:tcPr>
            <w:tcW w:w="483" w:type="dxa"/>
            <w:vMerge w:val="continue"/>
            <w:tcBorders>
              <w:top w:val="thinThickSmallGap" w:color="auto" w:sz="12" w:space="0"/>
              <w:left w:val="thinThickSmallGap" w:color="auto" w:sz="12" w:space="0"/>
              <w:bottom w:val="single" w:color="auto" w:sz="4" w:space="0"/>
              <w:right w:val="single" w:color="auto" w:sz="4" w:space="0"/>
            </w:tcBorders>
            <w:vAlign w:val="center"/>
          </w:tcPr>
          <w:p w14:paraId="6715ED1D">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c>
          <w:tcPr>
            <w:tcW w:w="1925" w:type="dxa"/>
            <w:vMerge w:val="continue"/>
            <w:tcBorders>
              <w:top w:val="thinThickSmallGap" w:color="auto" w:sz="12" w:space="0"/>
              <w:left w:val="single" w:color="auto" w:sz="4" w:space="0"/>
              <w:bottom w:val="single" w:color="auto" w:sz="4" w:space="0"/>
              <w:right w:val="single" w:color="auto" w:sz="4" w:space="0"/>
            </w:tcBorders>
            <w:vAlign w:val="center"/>
          </w:tcPr>
          <w:p w14:paraId="16C61061">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c>
          <w:tcPr>
            <w:tcW w:w="1142" w:type="dxa"/>
            <w:vMerge w:val="continue"/>
            <w:tcBorders>
              <w:top w:val="thinThickSmallGap" w:color="auto" w:sz="12" w:space="0"/>
              <w:left w:val="single" w:color="auto" w:sz="4" w:space="0"/>
              <w:bottom w:val="single" w:color="auto" w:sz="4" w:space="0"/>
              <w:right w:val="single" w:color="auto" w:sz="4" w:space="0"/>
            </w:tcBorders>
            <w:vAlign w:val="center"/>
          </w:tcPr>
          <w:p w14:paraId="2823A1B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rPr>
            </w:pPr>
          </w:p>
        </w:tc>
        <w:tc>
          <w:tcPr>
            <w:tcW w:w="1281" w:type="dxa"/>
            <w:tcBorders>
              <w:top w:val="single" w:color="auto" w:sz="4" w:space="0"/>
              <w:left w:val="single" w:color="auto" w:sz="4" w:space="0"/>
              <w:bottom w:val="single" w:color="auto" w:sz="4" w:space="0"/>
              <w:right w:val="single" w:color="auto" w:sz="4" w:space="0"/>
            </w:tcBorders>
            <w:vAlign w:val="center"/>
          </w:tcPr>
          <w:p w14:paraId="2A213100">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日均值</w:t>
            </w:r>
          </w:p>
        </w:tc>
        <w:tc>
          <w:tcPr>
            <w:tcW w:w="1350" w:type="dxa"/>
            <w:tcBorders>
              <w:top w:val="single" w:color="auto" w:sz="4" w:space="0"/>
              <w:left w:val="single" w:color="auto" w:sz="4" w:space="0"/>
              <w:bottom w:val="single" w:color="auto" w:sz="4" w:space="0"/>
              <w:right w:val="single" w:color="auto" w:sz="4" w:space="0"/>
            </w:tcBorders>
            <w:vAlign w:val="center"/>
          </w:tcPr>
          <w:p w14:paraId="53304D33">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小时均值</w:t>
            </w:r>
          </w:p>
        </w:tc>
        <w:tc>
          <w:tcPr>
            <w:tcW w:w="1196" w:type="dxa"/>
            <w:tcBorders>
              <w:top w:val="single" w:color="auto" w:sz="4" w:space="0"/>
              <w:left w:val="single" w:color="auto" w:sz="4" w:space="0"/>
              <w:bottom w:val="single" w:color="auto" w:sz="4" w:space="0"/>
              <w:right w:val="single" w:color="auto" w:sz="4" w:space="0"/>
            </w:tcBorders>
            <w:vAlign w:val="center"/>
          </w:tcPr>
          <w:p w14:paraId="3E96D132">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kern w:val="0"/>
                <w:sz w:val="24"/>
                <w:szCs w:val="24"/>
              </w:rPr>
              <w:t>日平均</w:t>
            </w:r>
          </w:p>
        </w:tc>
        <w:tc>
          <w:tcPr>
            <w:tcW w:w="1200" w:type="dxa"/>
            <w:tcBorders>
              <w:top w:val="single" w:color="auto" w:sz="4" w:space="0"/>
              <w:left w:val="single" w:color="auto" w:sz="4" w:space="0"/>
              <w:bottom w:val="single" w:color="auto" w:sz="4" w:space="0"/>
              <w:right w:val="thickThinSmallGap" w:color="auto" w:sz="12" w:space="0"/>
            </w:tcBorders>
            <w:vAlign w:val="center"/>
          </w:tcPr>
          <w:p w14:paraId="29BB278D">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小时均值</w:t>
            </w:r>
          </w:p>
        </w:tc>
      </w:tr>
      <w:tr w14:paraId="379DA6DA">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483" w:type="dxa"/>
            <w:tcBorders>
              <w:top w:val="single" w:color="auto" w:sz="4" w:space="0"/>
              <w:left w:val="thinThickSmallGap" w:color="auto" w:sz="12" w:space="0"/>
              <w:bottom w:val="single" w:color="auto" w:sz="4" w:space="0"/>
              <w:right w:val="single" w:color="auto" w:sz="4" w:space="0"/>
            </w:tcBorders>
            <w:vAlign w:val="center"/>
          </w:tcPr>
          <w:p w14:paraId="5B2B6031">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925" w:type="dxa"/>
            <w:tcBorders>
              <w:top w:val="single" w:color="auto" w:sz="4" w:space="0"/>
              <w:left w:val="single" w:color="auto" w:sz="4" w:space="0"/>
              <w:bottom w:val="single" w:color="auto" w:sz="4" w:space="0"/>
              <w:right w:val="single" w:color="auto" w:sz="4" w:space="0"/>
            </w:tcBorders>
            <w:vAlign w:val="center"/>
          </w:tcPr>
          <w:p w14:paraId="4864E332">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颗粒物</w:t>
            </w:r>
          </w:p>
        </w:tc>
        <w:tc>
          <w:tcPr>
            <w:tcW w:w="1142" w:type="dxa"/>
            <w:tcBorders>
              <w:top w:val="single" w:color="auto" w:sz="4" w:space="0"/>
              <w:left w:val="single" w:color="auto" w:sz="4" w:space="0"/>
              <w:bottom w:val="single" w:color="auto" w:sz="4" w:space="0"/>
              <w:right w:val="single" w:color="auto" w:sz="4" w:space="0"/>
            </w:tcBorders>
            <w:vAlign w:val="center"/>
          </w:tcPr>
          <w:p w14:paraId="595F53C4">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1281" w:type="dxa"/>
            <w:tcBorders>
              <w:top w:val="single" w:color="auto" w:sz="4" w:space="0"/>
              <w:left w:val="single" w:color="auto" w:sz="4" w:space="0"/>
              <w:bottom w:val="single" w:color="auto" w:sz="4" w:space="0"/>
              <w:right w:val="single" w:color="auto" w:sz="4" w:space="0"/>
            </w:tcBorders>
            <w:vAlign w:val="center"/>
          </w:tcPr>
          <w:p w14:paraId="1097A70A">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1350" w:type="dxa"/>
            <w:tcBorders>
              <w:top w:val="single" w:color="auto" w:sz="4" w:space="0"/>
              <w:left w:val="single" w:color="auto" w:sz="4" w:space="0"/>
              <w:bottom w:val="single" w:color="auto" w:sz="4" w:space="0"/>
              <w:right w:val="single" w:color="auto" w:sz="4" w:space="0"/>
            </w:tcBorders>
            <w:vAlign w:val="center"/>
          </w:tcPr>
          <w:p w14:paraId="2C570C6A">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30</w:t>
            </w:r>
          </w:p>
        </w:tc>
        <w:tc>
          <w:tcPr>
            <w:tcW w:w="1196" w:type="dxa"/>
            <w:tcBorders>
              <w:top w:val="single" w:color="auto" w:sz="4" w:space="0"/>
              <w:left w:val="single" w:color="auto" w:sz="4" w:space="0"/>
              <w:bottom w:val="single" w:color="auto" w:sz="4" w:space="0"/>
              <w:right w:val="single" w:color="auto" w:sz="4" w:space="0"/>
            </w:tcBorders>
            <w:vAlign w:val="center"/>
          </w:tcPr>
          <w:p w14:paraId="60497585">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1200" w:type="dxa"/>
            <w:tcBorders>
              <w:top w:val="single" w:color="auto" w:sz="4" w:space="0"/>
              <w:left w:val="single" w:color="auto" w:sz="4" w:space="0"/>
              <w:bottom w:val="single" w:color="auto" w:sz="4" w:space="0"/>
              <w:right w:val="thickThinSmallGap" w:color="auto" w:sz="12" w:space="0"/>
            </w:tcBorders>
            <w:vAlign w:val="center"/>
          </w:tcPr>
          <w:p w14:paraId="4C301696">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10</w:t>
            </w:r>
          </w:p>
        </w:tc>
      </w:tr>
      <w:tr w14:paraId="4C9D3194">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483" w:type="dxa"/>
            <w:tcBorders>
              <w:top w:val="single" w:color="auto" w:sz="4" w:space="0"/>
              <w:left w:val="thinThickSmallGap" w:color="auto" w:sz="12" w:space="0"/>
              <w:bottom w:val="single" w:color="auto" w:sz="4" w:space="0"/>
              <w:right w:val="single" w:color="auto" w:sz="4" w:space="0"/>
            </w:tcBorders>
            <w:vAlign w:val="center"/>
          </w:tcPr>
          <w:p w14:paraId="5E043ADF">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1925" w:type="dxa"/>
            <w:tcBorders>
              <w:top w:val="single" w:color="auto" w:sz="4" w:space="0"/>
              <w:left w:val="single" w:color="auto" w:sz="4" w:space="0"/>
              <w:bottom w:val="single" w:color="auto" w:sz="4" w:space="0"/>
              <w:right w:val="single" w:color="auto" w:sz="4" w:space="0"/>
            </w:tcBorders>
            <w:vAlign w:val="center"/>
          </w:tcPr>
          <w:p w14:paraId="00147238">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HCl</w:t>
            </w:r>
          </w:p>
        </w:tc>
        <w:tc>
          <w:tcPr>
            <w:tcW w:w="1142" w:type="dxa"/>
            <w:tcBorders>
              <w:top w:val="single" w:color="auto" w:sz="4" w:space="0"/>
              <w:left w:val="single" w:color="auto" w:sz="4" w:space="0"/>
              <w:bottom w:val="single" w:color="auto" w:sz="4" w:space="0"/>
              <w:right w:val="single" w:color="auto" w:sz="4" w:space="0"/>
            </w:tcBorders>
            <w:vAlign w:val="center"/>
          </w:tcPr>
          <w:p w14:paraId="7931B83C">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1281" w:type="dxa"/>
            <w:tcBorders>
              <w:top w:val="single" w:color="auto" w:sz="4" w:space="0"/>
              <w:left w:val="single" w:color="auto" w:sz="4" w:space="0"/>
              <w:bottom w:val="single" w:color="auto" w:sz="4" w:space="0"/>
              <w:right w:val="single" w:color="auto" w:sz="4" w:space="0"/>
            </w:tcBorders>
            <w:vAlign w:val="center"/>
          </w:tcPr>
          <w:p w14:paraId="4B4EE37C">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50</w:t>
            </w:r>
          </w:p>
        </w:tc>
        <w:tc>
          <w:tcPr>
            <w:tcW w:w="1350" w:type="dxa"/>
            <w:tcBorders>
              <w:top w:val="single" w:color="auto" w:sz="4" w:space="0"/>
              <w:left w:val="single" w:color="auto" w:sz="4" w:space="0"/>
              <w:bottom w:val="single" w:color="auto" w:sz="4" w:space="0"/>
              <w:right w:val="single" w:color="auto" w:sz="4" w:space="0"/>
            </w:tcBorders>
            <w:vAlign w:val="center"/>
          </w:tcPr>
          <w:p w14:paraId="7ED2B76D">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60</w:t>
            </w:r>
          </w:p>
        </w:tc>
        <w:tc>
          <w:tcPr>
            <w:tcW w:w="1196" w:type="dxa"/>
            <w:tcBorders>
              <w:top w:val="single" w:color="auto" w:sz="4" w:space="0"/>
              <w:left w:val="single" w:color="auto" w:sz="4" w:space="0"/>
              <w:bottom w:val="single" w:color="auto" w:sz="4" w:space="0"/>
              <w:right w:val="single" w:color="auto" w:sz="4" w:space="0"/>
            </w:tcBorders>
            <w:vAlign w:val="center"/>
          </w:tcPr>
          <w:p w14:paraId="78D908C8">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1200" w:type="dxa"/>
            <w:tcBorders>
              <w:top w:val="single" w:color="auto" w:sz="4" w:space="0"/>
              <w:left w:val="single" w:color="auto" w:sz="4" w:space="0"/>
              <w:bottom w:val="single" w:color="auto" w:sz="4" w:space="0"/>
              <w:right w:val="thickThinSmallGap" w:color="auto" w:sz="12" w:space="0"/>
            </w:tcBorders>
            <w:vAlign w:val="center"/>
          </w:tcPr>
          <w:p w14:paraId="4DFF1D73">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10</w:t>
            </w:r>
          </w:p>
        </w:tc>
      </w:tr>
      <w:tr w14:paraId="7E717574">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483" w:type="dxa"/>
            <w:tcBorders>
              <w:top w:val="single" w:color="auto" w:sz="4" w:space="0"/>
              <w:left w:val="thinThickSmallGap" w:color="auto" w:sz="12" w:space="0"/>
              <w:bottom w:val="single" w:color="auto" w:sz="4" w:space="0"/>
              <w:right w:val="single" w:color="auto" w:sz="4" w:space="0"/>
            </w:tcBorders>
            <w:vAlign w:val="center"/>
          </w:tcPr>
          <w:p w14:paraId="699CC3BC">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1925" w:type="dxa"/>
            <w:tcBorders>
              <w:top w:val="single" w:color="auto" w:sz="4" w:space="0"/>
              <w:left w:val="single" w:color="auto" w:sz="4" w:space="0"/>
              <w:bottom w:val="single" w:color="auto" w:sz="4" w:space="0"/>
              <w:right w:val="single" w:color="auto" w:sz="4" w:space="0"/>
            </w:tcBorders>
            <w:vAlign w:val="center"/>
          </w:tcPr>
          <w:p w14:paraId="4A2BB6B8">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HF</w:t>
            </w:r>
          </w:p>
        </w:tc>
        <w:tc>
          <w:tcPr>
            <w:tcW w:w="1142" w:type="dxa"/>
            <w:tcBorders>
              <w:top w:val="single" w:color="auto" w:sz="4" w:space="0"/>
              <w:left w:val="single" w:color="auto" w:sz="4" w:space="0"/>
              <w:bottom w:val="single" w:color="auto" w:sz="4" w:space="0"/>
              <w:right w:val="single" w:color="auto" w:sz="4" w:space="0"/>
            </w:tcBorders>
            <w:vAlign w:val="center"/>
          </w:tcPr>
          <w:p w14:paraId="25CFBA0B">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1281" w:type="dxa"/>
            <w:tcBorders>
              <w:top w:val="single" w:color="auto" w:sz="4" w:space="0"/>
              <w:left w:val="single" w:color="auto" w:sz="4" w:space="0"/>
              <w:bottom w:val="single" w:color="auto" w:sz="4" w:space="0"/>
              <w:right w:val="single" w:color="auto" w:sz="4" w:space="0"/>
            </w:tcBorders>
            <w:vAlign w:val="center"/>
          </w:tcPr>
          <w:p w14:paraId="07418E95">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1350" w:type="dxa"/>
            <w:tcBorders>
              <w:top w:val="single" w:color="auto" w:sz="4" w:space="0"/>
              <w:left w:val="single" w:color="auto" w:sz="4" w:space="0"/>
              <w:bottom w:val="single" w:color="auto" w:sz="4" w:space="0"/>
              <w:right w:val="single" w:color="auto" w:sz="4" w:space="0"/>
            </w:tcBorders>
            <w:vAlign w:val="center"/>
          </w:tcPr>
          <w:p w14:paraId="4440A1BC">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1196" w:type="dxa"/>
            <w:tcBorders>
              <w:top w:val="single" w:color="auto" w:sz="4" w:space="0"/>
              <w:left w:val="single" w:color="auto" w:sz="4" w:space="0"/>
              <w:bottom w:val="single" w:color="auto" w:sz="4" w:space="0"/>
              <w:right w:val="single" w:color="auto" w:sz="4" w:space="0"/>
            </w:tcBorders>
            <w:vAlign w:val="center"/>
          </w:tcPr>
          <w:p w14:paraId="668524BF">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200" w:type="dxa"/>
            <w:tcBorders>
              <w:top w:val="single" w:color="auto" w:sz="4" w:space="0"/>
              <w:left w:val="single" w:color="auto" w:sz="4" w:space="0"/>
              <w:bottom w:val="single" w:color="auto" w:sz="4" w:space="0"/>
              <w:right w:val="thickThinSmallGap" w:color="auto" w:sz="12" w:space="0"/>
            </w:tcBorders>
            <w:vAlign w:val="center"/>
          </w:tcPr>
          <w:p w14:paraId="4814C63E">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p>
        </w:tc>
      </w:tr>
      <w:tr w14:paraId="0B4FC6DC">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483" w:type="dxa"/>
            <w:tcBorders>
              <w:top w:val="single" w:color="auto" w:sz="4" w:space="0"/>
              <w:left w:val="thinThickSmallGap" w:color="auto" w:sz="12" w:space="0"/>
              <w:bottom w:val="single" w:color="auto" w:sz="4" w:space="0"/>
              <w:right w:val="single" w:color="auto" w:sz="4" w:space="0"/>
            </w:tcBorders>
            <w:vAlign w:val="center"/>
          </w:tcPr>
          <w:p w14:paraId="0AA9454B">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1925" w:type="dxa"/>
            <w:tcBorders>
              <w:top w:val="single" w:color="auto" w:sz="4" w:space="0"/>
              <w:left w:val="single" w:color="auto" w:sz="4" w:space="0"/>
              <w:bottom w:val="single" w:color="auto" w:sz="4" w:space="0"/>
              <w:right w:val="single" w:color="auto" w:sz="4" w:space="0"/>
            </w:tcBorders>
            <w:vAlign w:val="center"/>
          </w:tcPr>
          <w:p w14:paraId="41083291">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SOx</w:t>
            </w:r>
          </w:p>
        </w:tc>
        <w:tc>
          <w:tcPr>
            <w:tcW w:w="1142" w:type="dxa"/>
            <w:tcBorders>
              <w:top w:val="single" w:color="auto" w:sz="4" w:space="0"/>
              <w:left w:val="single" w:color="auto" w:sz="4" w:space="0"/>
              <w:bottom w:val="single" w:color="auto" w:sz="4" w:space="0"/>
              <w:right w:val="single" w:color="auto" w:sz="4" w:space="0"/>
            </w:tcBorders>
            <w:vAlign w:val="center"/>
          </w:tcPr>
          <w:p w14:paraId="325D61FF">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1281" w:type="dxa"/>
            <w:tcBorders>
              <w:top w:val="single" w:color="auto" w:sz="4" w:space="0"/>
              <w:left w:val="single" w:color="auto" w:sz="4" w:space="0"/>
              <w:bottom w:val="single" w:color="auto" w:sz="4" w:space="0"/>
              <w:right w:val="single" w:color="auto" w:sz="4" w:space="0"/>
            </w:tcBorders>
            <w:vAlign w:val="center"/>
          </w:tcPr>
          <w:p w14:paraId="04032D03">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1350" w:type="dxa"/>
            <w:tcBorders>
              <w:top w:val="single" w:color="auto" w:sz="4" w:space="0"/>
              <w:left w:val="single" w:color="auto" w:sz="4" w:space="0"/>
              <w:bottom w:val="single" w:color="auto" w:sz="4" w:space="0"/>
              <w:right w:val="single" w:color="auto" w:sz="4" w:space="0"/>
            </w:tcBorders>
            <w:vAlign w:val="center"/>
          </w:tcPr>
          <w:p w14:paraId="75F642AB">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1196" w:type="dxa"/>
            <w:tcBorders>
              <w:top w:val="single" w:color="auto" w:sz="4" w:space="0"/>
              <w:left w:val="single" w:color="auto" w:sz="4" w:space="0"/>
              <w:bottom w:val="single" w:color="auto" w:sz="4" w:space="0"/>
              <w:right w:val="single" w:color="auto" w:sz="4" w:space="0"/>
            </w:tcBorders>
            <w:vAlign w:val="center"/>
          </w:tcPr>
          <w:p w14:paraId="6CA0BE21">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20</w:t>
            </w:r>
          </w:p>
        </w:tc>
        <w:tc>
          <w:tcPr>
            <w:tcW w:w="1200" w:type="dxa"/>
            <w:tcBorders>
              <w:top w:val="single" w:color="auto" w:sz="4" w:space="0"/>
              <w:left w:val="single" w:color="auto" w:sz="4" w:space="0"/>
              <w:bottom w:val="single" w:color="auto" w:sz="4" w:space="0"/>
              <w:right w:val="thickThinSmallGap" w:color="auto" w:sz="12" w:space="0"/>
            </w:tcBorders>
            <w:vAlign w:val="center"/>
          </w:tcPr>
          <w:p w14:paraId="36F52E31">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30</w:t>
            </w:r>
          </w:p>
        </w:tc>
      </w:tr>
      <w:tr w14:paraId="2A9ADDBA">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483" w:type="dxa"/>
            <w:tcBorders>
              <w:top w:val="single" w:color="auto" w:sz="4" w:space="0"/>
              <w:left w:val="thinThickSmallGap" w:color="auto" w:sz="12" w:space="0"/>
              <w:bottom w:val="single" w:color="auto" w:sz="4" w:space="0"/>
              <w:right w:val="single" w:color="auto" w:sz="4" w:space="0"/>
            </w:tcBorders>
            <w:vAlign w:val="center"/>
          </w:tcPr>
          <w:p w14:paraId="31A504E6">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1925" w:type="dxa"/>
            <w:tcBorders>
              <w:top w:val="single" w:color="auto" w:sz="4" w:space="0"/>
              <w:left w:val="single" w:color="auto" w:sz="4" w:space="0"/>
              <w:bottom w:val="single" w:color="auto" w:sz="4" w:space="0"/>
              <w:right w:val="single" w:color="auto" w:sz="4" w:space="0"/>
            </w:tcBorders>
            <w:vAlign w:val="center"/>
          </w:tcPr>
          <w:p w14:paraId="2CE43104">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NOx</w:t>
            </w:r>
          </w:p>
        </w:tc>
        <w:tc>
          <w:tcPr>
            <w:tcW w:w="1142" w:type="dxa"/>
            <w:tcBorders>
              <w:top w:val="single" w:color="auto" w:sz="4" w:space="0"/>
              <w:left w:val="single" w:color="auto" w:sz="4" w:space="0"/>
              <w:bottom w:val="single" w:color="auto" w:sz="4" w:space="0"/>
              <w:right w:val="single" w:color="auto" w:sz="4" w:space="0"/>
            </w:tcBorders>
            <w:vAlign w:val="center"/>
          </w:tcPr>
          <w:p w14:paraId="3D5472BF">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1281" w:type="dxa"/>
            <w:tcBorders>
              <w:top w:val="single" w:color="auto" w:sz="4" w:space="0"/>
              <w:left w:val="single" w:color="auto" w:sz="4" w:space="0"/>
              <w:bottom w:val="single" w:color="auto" w:sz="4" w:space="0"/>
              <w:right w:val="single" w:color="auto" w:sz="4" w:space="0"/>
            </w:tcBorders>
            <w:vAlign w:val="center"/>
          </w:tcPr>
          <w:p w14:paraId="3B6124DF">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250</w:t>
            </w:r>
          </w:p>
        </w:tc>
        <w:tc>
          <w:tcPr>
            <w:tcW w:w="1350" w:type="dxa"/>
            <w:tcBorders>
              <w:top w:val="single" w:color="auto" w:sz="4" w:space="0"/>
              <w:left w:val="single" w:color="auto" w:sz="4" w:space="0"/>
              <w:bottom w:val="single" w:color="auto" w:sz="4" w:space="0"/>
              <w:right w:val="single" w:color="auto" w:sz="4" w:space="0"/>
            </w:tcBorders>
            <w:vAlign w:val="center"/>
          </w:tcPr>
          <w:p w14:paraId="4830A9E2">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300</w:t>
            </w:r>
          </w:p>
        </w:tc>
        <w:tc>
          <w:tcPr>
            <w:tcW w:w="1196" w:type="dxa"/>
            <w:tcBorders>
              <w:top w:val="single" w:color="auto" w:sz="4" w:space="0"/>
              <w:left w:val="single" w:color="auto" w:sz="4" w:space="0"/>
              <w:bottom w:val="single" w:color="auto" w:sz="4" w:space="0"/>
              <w:right w:val="single" w:color="auto" w:sz="4" w:space="0"/>
            </w:tcBorders>
            <w:vAlign w:val="center"/>
          </w:tcPr>
          <w:p w14:paraId="0D336CEF">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120</w:t>
            </w:r>
          </w:p>
        </w:tc>
        <w:tc>
          <w:tcPr>
            <w:tcW w:w="1200" w:type="dxa"/>
            <w:tcBorders>
              <w:top w:val="single" w:color="auto" w:sz="4" w:space="0"/>
              <w:left w:val="single" w:color="auto" w:sz="4" w:space="0"/>
              <w:bottom w:val="single" w:color="auto" w:sz="4" w:space="0"/>
              <w:right w:val="thickThinSmallGap" w:color="auto" w:sz="12" w:space="0"/>
            </w:tcBorders>
            <w:vAlign w:val="center"/>
          </w:tcPr>
          <w:p w14:paraId="73F21E8B">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150</w:t>
            </w:r>
          </w:p>
        </w:tc>
      </w:tr>
      <w:tr w14:paraId="24E59D74">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483" w:type="dxa"/>
            <w:tcBorders>
              <w:top w:val="single" w:color="auto" w:sz="4" w:space="0"/>
              <w:left w:val="thinThickSmallGap" w:color="auto" w:sz="12" w:space="0"/>
              <w:bottom w:val="single" w:color="auto" w:sz="4" w:space="0"/>
              <w:right w:val="single" w:color="auto" w:sz="4" w:space="0"/>
            </w:tcBorders>
            <w:vAlign w:val="center"/>
          </w:tcPr>
          <w:p w14:paraId="20C47BDC">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1925" w:type="dxa"/>
            <w:tcBorders>
              <w:top w:val="single" w:color="auto" w:sz="4" w:space="0"/>
              <w:left w:val="single" w:color="auto" w:sz="4" w:space="0"/>
              <w:bottom w:val="single" w:color="auto" w:sz="4" w:space="0"/>
              <w:right w:val="single" w:color="auto" w:sz="4" w:space="0"/>
            </w:tcBorders>
            <w:vAlign w:val="center"/>
          </w:tcPr>
          <w:p w14:paraId="3BD85AB7">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CO</w:t>
            </w:r>
          </w:p>
        </w:tc>
        <w:tc>
          <w:tcPr>
            <w:tcW w:w="1142" w:type="dxa"/>
            <w:tcBorders>
              <w:top w:val="single" w:color="auto" w:sz="4" w:space="0"/>
              <w:left w:val="single" w:color="auto" w:sz="4" w:space="0"/>
              <w:bottom w:val="single" w:color="auto" w:sz="4" w:space="0"/>
              <w:right w:val="single" w:color="auto" w:sz="4" w:space="0"/>
            </w:tcBorders>
            <w:vAlign w:val="center"/>
          </w:tcPr>
          <w:p w14:paraId="27137B56">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1281" w:type="dxa"/>
            <w:tcBorders>
              <w:top w:val="single" w:color="auto" w:sz="4" w:space="0"/>
              <w:left w:val="single" w:color="auto" w:sz="4" w:space="0"/>
              <w:bottom w:val="single" w:color="auto" w:sz="4" w:space="0"/>
              <w:right w:val="single" w:color="auto" w:sz="4" w:space="0"/>
            </w:tcBorders>
            <w:vAlign w:val="center"/>
          </w:tcPr>
          <w:p w14:paraId="6B820F56">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80</w:t>
            </w:r>
          </w:p>
        </w:tc>
        <w:tc>
          <w:tcPr>
            <w:tcW w:w="1350" w:type="dxa"/>
            <w:tcBorders>
              <w:top w:val="single" w:color="auto" w:sz="4" w:space="0"/>
              <w:left w:val="single" w:color="auto" w:sz="4" w:space="0"/>
              <w:bottom w:val="single" w:color="auto" w:sz="4" w:space="0"/>
              <w:right w:val="single" w:color="auto" w:sz="4" w:space="0"/>
            </w:tcBorders>
            <w:vAlign w:val="center"/>
          </w:tcPr>
          <w:p w14:paraId="744F2B19">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100</w:t>
            </w:r>
          </w:p>
        </w:tc>
        <w:tc>
          <w:tcPr>
            <w:tcW w:w="1196" w:type="dxa"/>
            <w:tcBorders>
              <w:top w:val="single" w:color="auto" w:sz="4" w:space="0"/>
              <w:left w:val="single" w:color="auto" w:sz="4" w:space="0"/>
              <w:bottom w:val="single" w:color="auto" w:sz="4" w:space="0"/>
              <w:right w:val="single" w:color="auto" w:sz="4" w:space="0"/>
            </w:tcBorders>
            <w:vAlign w:val="center"/>
          </w:tcPr>
          <w:p w14:paraId="53E42735">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30</w:t>
            </w:r>
          </w:p>
        </w:tc>
        <w:tc>
          <w:tcPr>
            <w:tcW w:w="1200" w:type="dxa"/>
            <w:tcBorders>
              <w:top w:val="single" w:color="auto" w:sz="4" w:space="0"/>
              <w:left w:val="single" w:color="auto" w:sz="4" w:space="0"/>
              <w:bottom w:val="single" w:color="auto" w:sz="4" w:space="0"/>
              <w:right w:val="thickThinSmallGap" w:color="auto" w:sz="12" w:space="0"/>
            </w:tcBorders>
            <w:vAlign w:val="center"/>
          </w:tcPr>
          <w:p w14:paraId="070AD103">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50</w:t>
            </w:r>
          </w:p>
        </w:tc>
      </w:tr>
      <w:tr w14:paraId="6F2AD9F7">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483" w:type="dxa"/>
            <w:tcBorders>
              <w:top w:val="single" w:color="auto" w:sz="4" w:space="0"/>
              <w:left w:val="thinThickSmallGap" w:color="auto" w:sz="12" w:space="0"/>
              <w:bottom w:val="single" w:color="auto" w:sz="4" w:space="0"/>
              <w:right w:val="single" w:color="auto" w:sz="4" w:space="0"/>
            </w:tcBorders>
            <w:vAlign w:val="center"/>
          </w:tcPr>
          <w:p w14:paraId="60FCF648">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p>
        </w:tc>
        <w:tc>
          <w:tcPr>
            <w:tcW w:w="8094" w:type="dxa"/>
            <w:gridSpan w:val="6"/>
            <w:tcBorders>
              <w:top w:val="single" w:color="auto" w:sz="4" w:space="0"/>
              <w:left w:val="single" w:color="auto" w:sz="4" w:space="0"/>
              <w:bottom w:val="single" w:color="auto" w:sz="4" w:space="0"/>
              <w:right w:val="thickThinSmallGap" w:color="auto" w:sz="12" w:space="0"/>
            </w:tcBorders>
            <w:vAlign w:val="center"/>
          </w:tcPr>
          <w:p w14:paraId="630FF32A">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测定均值</w:t>
            </w:r>
          </w:p>
        </w:tc>
      </w:tr>
      <w:tr w14:paraId="75B73248">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483" w:type="dxa"/>
            <w:tcBorders>
              <w:top w:val="single" w:color="auto" w:sz="4" w:space="0"/>
              <w:left w:val="thinThickSmallGap" w:color="auto" w:sz="12" w:space="0"/>
              <w:bottom w:val="single" w:color="auto" w:sz="4" w:space="0"/>
              <w:right w:val="single" w:color="auto" w:sz="4" w:space="0"/>
            </w:tcBorders>
            <w:vAlign w:val="center"/>
          </w:tcPr>
          <w:p w14:paraId="148A3B43">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7</w:t>
            </w:r>
          </w:p>
        </w:tc>
        <w:tc>
          <w:tcPr>
            <w:tcW w:w="1925" w:type="dxa"/>
            <w:tcBorders>
              <w:top w:val="single" w:color="auto" w:sz="4" w:space="0"/>
              <w:left w:val="single" w:color="auto" w:sz="4" w:space="0"/>
              <w:bottom w:val="single" w:color="auto" w:sz="4" w:space="0"/>
              <w:right w:val="single" w:color="auto" w:sz="4" w:space="0"/>
            </w:tcBorders>
            <w:vAlign w:val="center"/>
          </w:tcPr>
          <w:p w14:paraId="679D4AE5">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Hg及其化合物</w:t>
            </w:r>
          </w:p>
        </w:tc>
        <w:tc>
          <w:tcPr>
            <w:tcW w:w="1142" w:type="dxa"/>
            <w:tcBorders>
              <w:top w:val="single" w:color="auto" w:sz="4" w:space="0"/>
              <w:left w:val="single" w:color="auto" w:sz="4" w:space="0"/>
              <w:bottom w:val="single" w:color="auto" w:sz="4" w:space="0"/>
              <w:right w:val="single" w:color="auto" w:sz="4" w:space="0"/>
            </w:tcBorders>
            <w:vAlign w:val="center"/>
          </w:tcPr>
          <w:p w14:paraId="473F0B69">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2631" w:type="dxa"/>
            <w:gridSpan w:val="2"/>
            <w:tcBorders>
              <w:top w:val="single" w:color="auto" w:sz="4" w:space="0"/>
              <w:left w:val="single" w:color="auto" w:sz="4" w:space="0"/>
              <w:bottom w:val="single" w:color="auto" w:sz="4" w:space="0"/>
              <w:right w:val="single" w:color="auto" w:sz="4" w:space="0"/>
            </w:tcBorders>
            <w:vAlign w:val="center"/>
          </w:tcPr>
          <w:p w14:paraId="6F66C9EC">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0.1</w:t>
            </w:r>
          </w:p>
        </w:tc>
        <w:tc>
          <w:tcPr>
            <w:tcW w:w="2396" w:type="dxa"/>
            <w:gridSpan w:val="2"/>
            <w:tcBorders>
              <w:top w:val="single" w:color="auto" w:sz="4" w:space="0"/>
              <w:left w:val="single" w:color="auto" w:sz="4" w:space="0"/>
              <w:bottom w:val="single" w:color="auto" w:sz="4" w:space="0"/>
              <w:right w:val="thickThinSmallGap" w:color="auto" w:sz="12" w:space="0"/>
            </w:tcBorders>
            <w:vAlign w:val="center"/>
          </w:tcPr>
          <w:p w14:paraId="4A729E88">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0.02</w:t>
            </w:r>
          </w:p>
        </w:tc>
      </w:tr>
      <w:tr w14:paraId="60A46A0B">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483" w:type="dxa"/>
            <w:tcBorders>
              <w:top w:val="single" w:color="auto" w:sz="4" w:space="0"/>
              <w:left w:val="thinThickSmallGap" w:color="auto" w:sz="12" w:space="0"/>
              <w:bottom w:val="single" w:color="auto" w:sz="4" w:space="0"/>
              <w:right w:val="single" w:color="auto" w:sz="4" w:space="0"/>
            </w:tcBorders>
            <w:vAlign w:val="center"/>
          </w:tcPr>
          <w:p w14:paraId="7C2AEB6C">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8</w:t>
            </w:r>
          </w:p>
        </w:tc>
        <w:tc>
          <w:tcPr>
            <w:tcW w:w="1925" w:type="dxa"/>
            <w:tcBorders>
              <w:top w:val="single" w:color="auto" w:sz="4" w:space="0"/>
              <w:left w:val="single" w:color="auto" w:sz="4" w:space="0"/>
              <w:bottom w:val="single" w:color="auto" w:sz="4" w:space="0"/>
              <w:right w:val="single" w:color="auto" w:sz="4" w:space="0"/>
            </w:tcBorders>
            <w:vAlign w:val="center"/>
          </w:tcPr>
          <w:p w14:paraId="3E7738F4">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Cd及其化合物</w:t>
            </w:r>
          </w:p>
        </w:tc>
        <w:tc>
          <w:tcPr>
            <w:tcW w:w="1142" w:type="dxa"/>
            <w:tcBorders>
              <w:top w:val="single" w:color="auto" w:sz="4" w:space="0"/>
              <w:left w:val="single" w:color="auto" w:sz="4" w:space="0"/>
              <w:bottom w:val="single" w:color="auto" w:sz="4" w:space="0"/>
              <w:right w:val="single" w:color="auto" w:sz="4" w:space="0"/>
            </w:tcBorders>
            <w:vAlign w:val="center"/>
          </w:tcPr>
          <w:p w14:paraId="2876407E">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2631" w:type="dxa"/>
            <w:gridSpan w:val="2"/>
            <w:tcBorders>
              <w:top w:val="single" w:color="auto" w:sz="4" w:space="0"/>
              <w:left w:val="single" w:color="auto" w:sz="4" w:space="0"/>
              <w:bottom w:val="single" w:color="auto" w:sz="4" w:space="0"/>
              <w:right w:val="single" w:color="auto" w:sz="4" w:space="0"/>
            </w:tcBorders>
            <w:vAlign w:val="center"/>
          </w:tcPr>
          <w:p w14:paraId="16DC8F8A">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0.1</w:t>
            </w:r>
          </w:p>
        </w:tc>
        <w:tc>
          <w:tcPr>
            <w:tcW w:w="2396" w:type="dxa"/>
            <w:gridSpan w:val="2"/>
            <w:tcBorders>
              <w:top w:val="single" w:color="auto" w:sz="4" w:space="0"/>
              <w:left w:val="single" w:color="auto" w:sz="4" w:space="0"/>
              <w:bottom w:val="single" w:color="auto" w:sz="4" w:space="0"/>
              <w:right w:val="thickThinSmallGap" w:color="auto" w:sz="12" w:space="0"/>
            </w:tcBorders>
            <w:vAlign w:val="center"/>
          </w:tcPr>
          <w:p w14:paraId="6F9512BC">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0.03</w:t>
            </w:r>
          </w:p>
        </w:tc>
      </w:tr>
      <w:tr w14:paraId="73397027">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483" w:type="dxa"/>
            <w:tcBorders>
              <w:top w:val="single" w:color="auto" w:sz="4" w:space="0"/>
              <w:left w:val="thinThickSmallGap" w:color="auto" w:sz="12" w:space="0"/>
              <w:bottom w:val="single" w:color="auto" w:sz="4" w:space="0"/>
              <w:right w:val="single" w:color="auto" w:sz="4" w:space="0"/>
            </w:tcBorders>
            <w:vAlign w:val="center"/>
          </w:tcPr>
          <w:p w14:paraId="43EC1A1A">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9</w:t>
            </w:r>
          </w:p>
        </w:tc>
        <w:tc>
          <w:tcPr>
            <w:tcW w:w="1925" w:type="dxa"/>
            <w:tcBorders>
              <w:top w:val="single" w:color="auto" w:sz="4" w:space="0"/>
              <w:left w:val="single" w:color="auto" w:sz="4" w:space="0"/>
              <w:bottom w:val="single" w:color="auto" w:sz="4" w:space="0"/>
              <w:right w:val="single" w:color="auto" w:sz="4" w:space="0"/>
            </w:tcBorders>
            <w:vAlign w:val="center"/>
          </w:tcPr>
          <w:p w14:paraId="73774DD2">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Pb和其他重金属</w:t>
            </w:r>
          </w:p>
        </w:tc>
        <w:tc>
          <w:tcPr>
            <w:tcW w:w="1142" w:type="dxa"/>
            <w:tcBorders>
              <w:top w:val="single" w:color="auto" w:sz="4" w:space="0"/>
              <w:left w:val="single" w:color="auto" w:sz="4" w:space="0"/>
              <w:bottom w:val="single" w:color="auto" w:sz="4" w:space="0"/>
              <w:right w:val="single" w:color="auto" w:sz="4" w:space="0"/>
            </w:tcBorders>
            <w:vAlign w:val="center"/>
          </w:tcPr>
          <w:p w14:paraId="6CE9C9F6">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mg/Nm</w:t>
            </w:r>
            <w:r>
              <w:rPr>
                <w:rFonts w:hint="eastAsia" w:ascii="宋体" w:hAnsi="宋体" w:eastAsia="宋体" w:cs="宋体"/>
                <w:kern w:val="0"/>
                <w:sz w:val="24"/>
                <w:szCs w:val="24"/>
                <w:vertAlign w:val="superscript"/>
              </w:rPr>
              <w:t>3</w:t>
            </w:r>
          </w:p>
        </w:tc>
        <w:tc>
          <w:tcPr>
            <w:tcW w:w="2631" w:type="dxa"/>
            <w:gridSpan w:val="2"/>
            <w:tcBorders>
              <w:top w:val="single" w:color="auto" w:sz="4" w:space="0"/>
              <w:left w:val="single" w:color="auto" w:sz="4" w:space="0"/>
              <w:bottom w:val="single" w:color="auto" w:sz="4" w:space="0"/>
              <w:right w:val="single" w:color="auto" w:sz="4" w:space="0"/>
            </w:tcBorders>
            <w:vAlign w:val="center"/>
          </w:tcPr>
          <w:p w14:paraId="3AB2B82B">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1.0</w:t>
            </w:r>
          </w:p>
        </w:tc>
        <w:tc>
          <w:tcPr>
            <w:tcW w:w="2396" w:type="dxa"/>
            <w:gridSpan w:val="2"/>
            <w:tcBorders>
              <w:top w:val="single" w:color="auto" w:sz="4" w:space="0"/>
              <w:left w:val="single" w:color="auto" w:sz="4" w:space="0"/>
              <w:bottom w:val="single" w:color="auto" w:sz="4" w:space="0"/>
              <w:right w:val="thickThinSmallGap" w:color="auto" w:sz="12" w:space="0"/>
            </w:tcBorders>
            <w:vAlign w:val="center"/>
          </w:tcPr>
          <w:p w14:paraId="0AF92EF9">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0.3</w:t>
            </w:r>
          </w:p>
        </w:tc>
      </w:tr>
      <w:tr w14:paraId="7473FE3F">
        <w:tblPrEx>
          <w:tblBorders>
            <w:top w:val="thinThickSmallGap" w:color="auto" w:sz="12" w:space="0"/>
            <w:left w:val="thinThickSmallGap" w:color="auto" w:sz="12" w:space="0"/>
            <w:bottom w:val="thickThinSmallGap" w:color="auto" w:sz="12" w:space="0"/>
            <w:right w:val="thickThinSmallGap" w:color="auto" w:sz="12" w:space="0"/>
            <w:insideH w:val="single" w:color="auto" w:sz="4" w:space="0"/>
            <w:insideV w:val="single" w:color="auto" w:sz="4" w:space="0"/>
          </w:tblBorders>
          <w:tblCellMar>
            <w:top w:w="0" w:type="dxa"/>
            <w:left w:w="0" w:type="dxa"/>
            <w:bottom w:w="0" w:type="dxa"/>
            <w:right w:w="0" w:type="dxa"/>
          </w:tblCellMar>
        </w:tblPrEx>
        <w:trPr>
          <w:trHeight w:val="494" w:hRule="atLeast"/>
          <w:jc w:val="center"/>
        </w:trPr>
        <w:tc>
          <w:tcPr>
            <w:tcW w:w="483" w:type="dxa"/>
            <w:tcBorders>
              <w:top w:val="single" w:color="auto" w:sz="4" w:space="0"/>
              <w:left w:val="thinThickSmallGap" w:color="auto" w:sz="12" w:space="0"/>
              <w:bottom w:val="thickThinSmallGap" w:color="auto" w:sz="12" w:space="0"/>
              <w:right w:val="single" w:color="auto" w:sz="4" w:space="0"/>
            </w:tcBorders>
            <w:vAlign w:val="center"/>
          </w:tcPr>
          <w:p w14:paraId="73C5328B">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1925" w:type="dxa"/>
            <w:tcBorders>
              <w:top w:val="single" w:color="auto" w:sz="4" w:space="0"/>
              <w:left w:val="single" w:color="auto" w:sz="4" w:space="0"/>
              <w:bottom w:val="thickThinSmallGap" w:color="auto" w:sz="12" w:space="0"/>
              <w:right w:val="single" w:color="auto" w:sz="4" w:space="0"/>
            </w:tcBorders>
            <w:vAlign w:val="center"/>
          </w:tcPr>
          <w:p w14:paraId="3D27F1D8">
            <w:pPr>
              <w:pStyle w:val="11"/>
              <w:keepNext w:val="0"/>
              <w:keepLines w:val="0"/>
              <w:pageBreakBefore w:val="0"/>
              <w:widowControl w:val="0"/>
              <w:kinsoku/>
              <w:wordWrap/>
              <w:overflowPunct/>
              <w:topLinePunct w:val="0"/>
              <w:autoSpaceDE/>
              <w:autoSpaceDN/>
              <w:bidi w:val="0"/>
              <w:spacing w:line="360" w:lineRule="auto"/>
              <w:ind w:left="64" w:leftChars="20"/>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二噁英类(TEQ)</w:t>
            </w:r>
          </w:p>
        </w:tc>
        <w:tc>
          <w:tcPr>
            <w:tcW w:w="1142" w:type="dxa"/>
            <w:tcBorders>
              <w:top w:val="single" w:color="auto" w:sz="4" w:space="0"/>
              <w:left w:val="single" w:color="auto" w:sz="4" w:space="0"/>
              <w:bottom w:val="thickThinSmallGap" w:color="auto" w:sz="12" w:space="0"/>
              <w:right w:val="single" w:color="auto" w:sz="4" w:space="0"/>
            </w:tcBorders>
            <w:vAlign w:val="center"/>
          </w:tcPr>
          <w:p w14:paraId="1BC7AFDB">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ng/Nm</w:t>
            </w:r>
            <w:r>
              <w:rPr>
                <w:rFonts w:hint="eastAsia" w:ascii="宋体" w:hAnsi="宋体" w:eastAsia="宋体" w:cs="宋体"/>
                <w:kern w:val="0"/>
                <w:sz w:val="24"/>
                <w:szCs w:val="24"/>
                <w:vertAlign w:val="superscript"/>
              </w:rPr>
              <w:t>3</w:t>
            </w:r>
          </w:p>
        </w:tc>
        <w:tc>
          <w:tcPr>
            <w:tcW w:w="2631" w:type="dxa"/>
            <w:gridSpan w:val="2"/>
            <w:tcBorders>
              <w:top w:val="single" w:color="auto" w:sz="4" w:space="0"/>
              <w:left w:val="single" w:color="auto" w:sz="4" w:space="0"/>
              <w:bottom w:val="thickThinSmallGap" w:color="auto" w:sz="12" w:space="0"/>
              <w:right w:val="single" w:color="auto" w:sz="4" w:space="0"/>
            </w:tcBorders>
            <w:vAlign w:val="center"/>
          </w:tcPr>
          <w:p w14:paraId="2AE32999">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0.1</w:t>
            </w:r>
          </w:p>
        </w:tc>
        <w:tc>
          <w:tcPr>
            <w:tcW w:w="2396" w:type="dxa"/>
            <w:gridSpan w:val="2"/>
            <w:tcBorders>
              <w:top w:val="single" w:color="auto" w:sz="4" w:space="0"/>
              <w:left w:val="single" w:color="auto" w:sz="4" w:space="0"/>
              <w:bottom w:val="thickThinSmallGap" w:color="auto" w:sz="12" w:space="0"/>
              <w:right w:val="thickThinSmallGap" w:color="auto" w:sz="12" w:space="0"/>
            </w:tcBorders>
            <w:vAlign w:val="center"/>
          </w:tcPr>
          <w:p w14:paraId="6E0277DC">
            <w:pPr>
              <w:pStyle w:val="11"/>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0.05</w:t>
            </w:r>
          </w:p>
        </w:tc>
      </w:tr>
    </w:tbl>
    <w:p w14:paraId="5D1B952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2.飞灰稳定化工艺要求</w:t>
      </w:r>
    </w:p>
    <w:p w14:paraId="7E50D1A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采用药剂稳定化技术处理飞灰，不断提高并升级飞灰处理工艺，达到稳定化产物的长期稳定性，减少最终处置过程对环境的二次污染，且稳定化后的产物能满足《生活垃圾填埋场污染控制标准》GB16889-2008中填埋物入场要求，由专用运输车运至飞灰填埋场。</w:t>
      </w:r>
    </w:p>
    <w:p w14:paraId="1BAF24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3.飞灰填埋场工艺要求</w:t>
      </w:r>
    </w:p>
    <w:p w14:paraId="12BDD4A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污泥焚烧飞灰处理满足《生活垃圾填埋场污染控制标准》（GB16889-2008）中6.3 条要求处理的飞灰，对于飞灰的填埋处置满足国家环保要求。</w:t>
      </w:r>
    </w:p>
    <w:p w14:paraId="1745287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4.</w:t>
      </w:r>
      <w:r>
        <w:rPr>
          <w:rFonts w:hint="eastAsia" w:ascii="宋体" w:hAnsi="宋体" w:eastAsia="宋体" w:cs="宋体"/>
          <w:snapToGrid/>
          <w:color w:val="auto"/>
          <w:kern w:val="2"/>
          <w:sz w:val="24"/>
          <w:szCs w:val="24"/>
          <w:lang w:eastAsia="zh-CN"/>
        </w:rPr>
        <w:t>渗滤液</w:t>
      </w:r>
      <w:r>
        <w:rPr>
          <w:rFonts w:hint="eastAsia" w:ascii="宋体" w:hAnsi="宋体" w:eastAsia="宋体" w:cs="宋体"/>
          <w:snapToGrid/>
          <w:color w:val="auto"/>
          <w:kern w:val="2"/>
          <w:sz w:val="24"/>
          <w:szCs w:val="24"/>
        </w:rPr>
        <w:t>处理要求</w:t>
      </w:r>
    </w:p>
    <w:p w14:paraId="659FB21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本协议要求污泥焚烧量</w:t>
      </w:r>
      <w:r>
        <w:rPr>
          <w:rFonts w:hint="eastAsia" w:ascii="宋体" w:hAnsi="宋体" w:eastAsia="宋体" w:cs="宋体"/>
          <w:snapToGrid/>
          <w:color w:val="auto"/>
          <w:kern w:val="2"/>
          <w:sz w:val="24"/>
          <w:szCs w:val="24"/>
          <w:highlight w:val="none"/>
        </w:rPr>
        <w:t>为</w:t>
      </w:r>
      <w:r>
        <w:rPr>
          <w:rFonts w:hint="eastAsia" w:ascii="宋体" w:hAnsi="宋体" w:eastAsia="宋体" w:cs="宋体"/>
          <w:snapToGrid/>
          <w:color w:val="auto"/>
          <w:kern w:val="2"/>
          <w:sz w:val="24"/>
          <w:szCs w:val="24"/>
          <w:highlight w:val="none"/>
          <w:lang w:val="en-US" w:eastAsia="zh-CN"/>
        </w:rPr>
        <w:t>60</w:t>
      </w:r>
      <w:r>
        <w:rPr>
          <w:rFonts w:hint="eastAsia" w:ascii="宋体" w:hAnsi="宋体" w:eastAsia="宋体" w:cs="宋体"/>
          <w:snapToGrid/>
          <w:color w:val="auto"/>
          <w:kern w:val="2"/>
          <w:sz w:val="24"/>
          <w:szCs w:val="24"/>
          <w:highlight w:val="none"/>
        </w:rPr>
        <w:t>t/d</w:t>
      </w:r>
      <w:r>
        <w:rPr>
          <w:rFonts w:hint="eastAsia" w:ascii="宋体" w:hAnsi="宋体" w:eastAsia="宋体" w:cs="宋体"/>
          <w:snapToGrid/>
          <w:color w:val="auto"/>
          <w:kern w:val="2"/>
          <w:sz w:val="24"/>
          <w:szCs w:val="24"/>
        </w:rPr>
        <w:t>，参考污泥组分及含水率，考虑未预见水量，项目</w:t>
      </w:r>
      <w:r>
        <w:rPr>
          <w:rFonts w:hint="eastAsia" w:ascii="宋体" w:hAnsi="宋体" w:eastAsia="宋体" w:cs="宋体"/>
          <w:snapToGrid/>
          <w:color w:val="auto"/>
          <w:kern w:val="2"/>
          <w:sz w:val="24"/>
          <w:szCs w:val="24"/>
          <w:lang w:eastAsia="zh-CN"/>
        </w:rPr>
        <w:t>渗滤液</w:t>
      </w:r>
      <w:r>
        <w:rPr>
          <w:rFonts w:hint="eastAsia" w:ascii="宋体" w:hAnsi="宋体" w:eastAsia="宋体" w:cs="宋体"/>
          <w:snapToGrid/>
          <w:color w:val="auto"/>
          <w:kern w:val="2"/>
          <w:sz w:val="24"/>
          <w:szCs w:val="24"/>
        </w:rPr>
        <w:t>产生量按120m³/d考虑，要求满足</w:t>
      </w:r>
      <w:r>
        <w:rPr>
          <w:rFonts w:hint="eastAsia" w:ascii="宋体" w:hAnsi="宋体" w:eastAsia="宋体" w:cs="宋体"/>
          <w:snapToGrid/>
          <w:color w:val="auto"/>
          <w:kern w:val="2"/>
          <w:sz w:val="24"/>
          <w:szCs w:val="24"/>
          <w:lang w:eastAsia="zh-CN"/>
        </w:rPr>
        <w:t>渗滤液</w:t>
      </w:r>
      <w:r>
        <w:rPr>
          <w:rFonts w:hint="eastAsia" w:ascii="宋体" w:hAnsi="宋体" w:eastAsia="宋体" w:cs="宋体"/>
          <w:snapToGrid/>
          <w:color w:val="auto"/>
          <w:kern w:val="2"/>
          <w:sz w:val="24"/>
          <w:szCs w:val="24"/>
        </w:rPr>
        <w:t>处置需求。</w:t>
      </w:r>
    </w:p>
    <w:p w14:paraId="75E47A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5.炉渣、飞灰、废水的处置和污泥处置噪声及臭气排放要求均符合国家、省市环保要求。</w:t>
      </w:r>
    </w:p>
    <w:p w14:paraId="792FD1FF">
      <w:pPr>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14:paraId="5C87EE69">
      <w:pPr>
        <w:rPr>
          <w:rFonts w:ascii="仿宋" w:hAnsi="仿宋" w:eastAsia="仿宋" w:cs="宋体"/>
          <w:b/>
          <w:sz w:val="30"/>
          <w:szCs w:val="30"/>
          <w:lang w:eastAsia="zh-CN"/>
        </w:rPr>
      </w:pPr>
      <w:r>
        <w:rPr>
          <w:rFonts w:hint="eastAsia" w:ascii="仿宋" w:hAnsi="仿宋" w:eastAsia="仿宋" w:cs="宋体"/>
          <w:b/>
          <w:sz w:val="30"/>
          <w:szCs w:val="30"/>
          <w:lang w:eastAsia="zh-CN"/>
        </w:rPr>
        <w:t>附件3</w:t>
      </w:r>
    </w:p>
    <w:p w14:paraId="733F3A5A">
      <w:pPr>
        <w:jc w:val="center"/>
        <w:rPr>
          <w:rFonts w:ascii="仿宋" w:hAnsi="仿宋" w:eastAsia="仿宋" w:cs="宋体"/>
          <w:b/>
          <w:sz w:val="30"/>
          <w:szCs w:val="30"/>
          <w:lang w:eastAsia="zh-CN"/>
        </w:rPr>
      </w:pPr>
      <w:r>
        <w:rPr>
          <w:rFonts w:hint="eastAsia" w:ascii="仿宋" w:hAnsi="仿宋" w:eastAsia="仿宋" w:cs="宋体"/>
          <w:b/>
          <w:sz w:val="30"/>
          <w:szCs w:val="30"/>
          <w:lang w:eastAsia="zh-CN"/>
        </w:rPr>
        <w:t>采购代理机构声明</w:t>
      </w:r>
    </w:p>
    <w:p w14:paraId="2543FAA5">
      <w:pPr>
        <w:pStyle w:val="5"/>
        <w:ind w:left="480" w:firstLine="480"/>
      </w:pPr>
    </w:p>
    <w:p w14:paraId="54941B56">
      <w:pPr>
        <w:pStyle w:val="5"/>
        <w:ind w:left="0" w:leftChars="0" w:firstLine="0" w:firstLineChars="0"/>
        <w:jc w:val="left"/>
        <w:rPr>
          <w:rFonts w:ascii="仿宋" w:hAnsi="仿宋" w:eastAsia="仿宋" w:cs="宋体"/>
          <w:sz w:val="30"/>
          <w:szCs w:val="30"/>
        </w:rPr>
      </w:pPr>
      <w:r>
        <w:rPr>
          <w:rFonts w:ascii="仿宋" w:hAnsi="仿宋" w:eastAsia="仿宋" w:cs="宋体"/>
          <w:sz w:val="30"/>
          <w:szCs w:val="30"/>
        </w:rPr>
        <w:tab/>
      </w:r>
      <w:r>
        <w:rPr>
          <w:rFonts w:hint="eastAsia" w:ascii="仿宋" w:hAnsi="仿宋" w:eastAsia="仿宋" w:cs="宋体"/>
          <w:sz w:val="30"/>
          <w:szCs w:val="30"/>
        </w:rPr>
        <w:t>本合同标的依法定程序采购，合同主要条款内容与</w:t>
      </w:r>
      <w:r>
        <w:rPr>
          <w:rFonts w:hint="eastAsia" w:ascii="仿宋" w:hAnsi="仿宋" w:eastAsia="仿宋" w:cs="宋体"/>
          <w:sz w:val="30"/>
          <w:szCs w:val="30"/>
          <w:lang w:val="en-US" w:eastAsia="zh-CN"/>
        </w:rPr>
        <w:t>招标</w:t>
      </w:r>
      <w:r>
        <w:rPr>
          <w:rFonts w:hint="eastAsia" w:ascii="仿宋" w:hAnsi="仿宋" w:eastAsia="仿宋" w:cs="宋体"/>
          <w:sz w:val="30"/>
          <w:szCs w:val="30"/>
        </w:rPr>
        <w:t>文件、</w:t>
      </w:r>
      <w:r>
        <w:rPr>
          <w:rFonts w:hint="eastAsia" w:ascii="仿宋" w:hAnsi="仿宋" w:eastAsia="仿宋" w:cs="宋体"/>
          <w:sz w:val="30"/>
          <w:szCs w:val="30"/>
          <w:lang w:val="en-US" w:eastAsia="zh-CN"/>
        </w:rPr>
        <w:t>投标</w:t>
      </w:r>
      <w:r>
        <w:rPr>
          <w:rFonts w:hint="eastAsia" w:ascii="仿宋" w:hAnsi="仿宋" w:eastAsia="仿宋" w:cs="宋体"/>
          <w:sz w:val="30"/>
          <w:szCs w:val="30"/>
        </w:rPr>
        <w:t>文件的内容一致。采购代理机构盖章只做见证作用，本合同由甲乙双方签字盖章后生效，不因采购代理机构的盖章行为而发生变化。</w:t>
      </w:r>
    </w:p>
    <w:p w14:paraId="219CE116">
      <w:pPr>
        <w:pStyle w:val="5"/>
        <w:ind w:left="0" w:leftChars="0" w:firstLine="0" w:firstLineChars="0"/>
        <w:jc w:val="left"/>
        <w:rPr>
          <w:rFonts w:ascii="仿宋" w:hAnsi="仿宋" w:eastAsia="仿宋" w:cs="宋体"/>
          <w:sz w:val="30"/>
          <w:szCs w:val="30"/>
        </w:rPr>
      </w:pPr>
    </w:p>
    <w:p w14:paraId="69F45A0C">
      <w:pPr>
        <w:pStyle w:val="5"/>
        <w:ind w:left="0" w:leftChars="0" w:firstLine="0" w:firstLineChars="0"/>
        <w:jc w:val="right"/>
        <w:rPr>
          <w:rFonts w:ascii="仿宋" w:hAnsi="仿宋" w:eastAsia="仿宋" w:cs="宋体"/>
          <w:sz w:val="30"/>
          <w:szCs w:val="30"/>
        </w:rPr>
      </w:pPr>
      <w:r>
        <w:rPr>
          <w:rFonts w:hint="eastAsia" w:ascii="仿宋" w:hAnsi="仿宋" w:eastAsia="仿宋" w:cs="宋体"/>
          <w:sz w:val="30"/>
          <w:szCs w:val="30"/>
        </w:rPr>
        <w:t>采购代理机构：</w:t>
      </w:r>
      <w:r>
        <w:rPr>
          <w:rFonts w:hint="eastAsia" w:ascii="仿宋" w:hAnsi="仿宋" w:eastAsia="仿宋" w:cs="宋体"/>
          <w:sz w:val="30"/>
          <w:szCs w:val="30"/>
          <w:u w:val="single"/>
          <w:lang w:val="en-US" w:eastAsia="zh-CN"/>
        </w:rPr>
        <w:t>海南恒高泰项目管理咨询有限公司</w:t>
      </w:r>
      <w:r>
        <w:rPr>
          <w:rFonts w:hint="eastAsia" w:ascii="仿宋" w:hAnsi="仿宋" w:eastAsia="仿宋" w:cs="宋体"/>
          <w:sz w:val="30"/>
          <w:szCs w:val="30"/>
          <w:u w:val="single"/>
        </w:rPr>
        <w:t>（盖章）</w:t>
      </w:r>
    </w:p>
    <w:p w14:paraId="33B69BA3">
      <w:pPr>
        <w:pStyle w:val="5"/>
        <w:ind w:left="0" w:leftChars="0" w:right="960" w:firstLine="6300" w:firstLineChars="2100"/>
        <w:rPr>
          <w:rFonts w:ascii="仿宋" w:hAnsi="仿宋" w:eastAsia="仿宋" w:cs="宋体"/>
          <w:sz w:val="30"/>
          <w:szCs w:val="30"/>
        </w:rPr>
      </w:pPr>
    </w:p>
    <w:p w14:paraId="1B6CFF62">
      <w:pPr>
        <w:pStyle w:val="5"/>
        <w:ind w:leftChars="0" w:right="960" w:firstLine="3420" w:firstLineChars="1140"/>
        <w:jc w:val="left"/>
        <w:rPr>
          <w:rFonts w:ascii="仿宋" w:hAnsi="仿宋" w:eastAsia="仿宋" w:cs="宋体"/>
          <w:sz w:val="30"/>
          <w:szCs w:val="30"/>
          <w:u w:val="single"/>
        </w:rPr>
      </w:pPr>
      <w:r>
        <w:rPr>
          <w:rFonts w:hint="eastAsia" w:ascii="仿宋" w:hAnsi="仿宋" w:eastAsia="仿宋" w:cs="宋体"/>
          <w:sz w:val="30"/>
          <w:szCs w:val="30"/>
        </w:rPr>
        <w:t>经办人：</w:t>
      </w:r>
      <w:r>
        <w:rPr>
          <w:rFonts w:hint="eastAsia" w:ascii="仿宋" w:hAnsi="仿宋" w:eastAsia="仿宋" w:cs="宋体"/>
          <w:sz w:val="30"/>
          <w:szCs w:val="30"/>
          <w:u w:val="single"/>
        </w:rPr>
        <w:t xml:space="preserve"> </w:t>
      </w:r>
      <w:r>
        <w:rPr>
          <w:rFonts w:ascii="仿宋" w:hAnsi="仿宋" w:eastAsia="仿宋" w:cs="宋体"/>
          <w:sz w:val="30"/>
          <w:szCs w:val="30"/>
          <w:u w:val="single"/>
        </w:rPr>
        <w:t xml:space="preserve">                 </w:t>
      </w:r>
      <w:bookmarkStart w:id="3" w:name="_GoBack"/>
      <w:bookmarkEnd w:id="3"/>
    </w:p>
    <w:p w14:paraId="7EBDA6E0">
      <w:pPr>
        <w:rPr>
          <w:rFonts w:hint="eastAsia" w:eastAsiaTheme="minorEastAsia"/>
          <w:lang w:eastAsia="zh-CN"/>
        </w:rPr>
      </w:pPr>
    </w:p>
    <w:p w14:paraId="2FFD799D"/>
    <w:p w14:paraId="76DD8B5B">
      <w:pPr>
        <w:pStyle w:val="13"/>
        <w:spacing w:line="360" w:lineRule="auto"/>
        <w:ind w:left="0" w:leftChars="0" w:firstLine="0" w:firstLineChars="0"/>
        <w:rPr>
          <w:rFonts w:hint="eastAsia" w:ascii="仿宋" w:hAnsi="仿宋" w:eastAsia="仿宋" w:cs="仿宋"/>
          <w:color w:val="auto"/>
          <w:sz w:val="28"/>
          <w:szCs w:val="28"/>
        </w:rPr>
      </w:pPr>
    </w:p>
    <w:p w14:paraId="4380EEB7"/>
    <w:sectPr>
      <w:footerReference r:id="rId4"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D3ED2">
    <w:pPr>
      <w:spacing w:line="184" w:lineRule="auto"/>
      <w:ind w:left="4309"/>
      <w:rPr>
        <w:rFonts w:ascii="宋体" w:hAnsi="宋体" w:eastAsia="宋体" w:cs="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D912DE">
                          <w:pPr>
                            <w:rPr>
                              <w:rFonts w:eastAsia="宋体"/>
                              <w:sz w:val="18"/>
                            </w:rPr>
                          </w:pPr>
                          <w:r>
                            <w:rPr>
                              <w:rFonts w:hint="eastAsia" w:eastAsia="宋体"/>
                              <w:sz w:val="18"/>
                            </w:rPr>
                            <w:fldChar w:fldCharType="begin"/>
                          </w:r>
                          <w:r>
                            <w:rPr>
                              <w:rFonts w:hint="eastAsia" w:eastAsia="宋体"/>
                              <w:sz w:val="18"/>
                            </w:rPr>
                            <w:instrText xml:space="preserve"> PAGE  \* MERGEFORMAT </w:instrText>
                          </w:r>
                          <w:r>
                            <w:rPr>
                              <w:rFonts w:hint="eastAsia" w:eastAsia="宋体"/>
                              <w:sz w:val="18"/>
                            </w:rPr>
                            <w:fldChar w:fldCharType="separate"/>
                          </w:r>
                          <w:r>
                            <w:rPr>
                              <w:rFonts w:hint="eastAsia" w:eastAsia="宋体"/>
                              <w:sz w:val="18"/>
                            </w:rPr>
                            <w:t>1</w:t>
                          </w:r>
                          <w:r>
                            <w:rPr>
                              <w:rFonts w:hint="eastAsia" w:eastAsia="宋体"/>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1D912DE">
                    <w:pPr>
                      <w:rPr>
                        <w:rFonts w:eastAsia="宋体"/>
                        <w:sz w:val="18"/>
                      </w:rPr>
                    </w:pPr>
                    <w:r>
                      <w:rPr>
                        <w:rFonts w:hint="eastAsia" w:eastAsia="宋体"/>
                        <w:sz w:val="18"/>
                      </w:rPr>
                      <w:fldChar w:fldCharType="begin"/>
                    </w:r>
                    <w:r>
                      <w:rPr>
                        <w:rFonts w:hint="eastAsia" w:eastAsia="宋体"/>
                        <w:sz w:val="18"/>
                      </w:rPr>
                      <w:instrText xml:space="preserve"> PAGE  \* MERGEFORMAT </w:instrText>
                    </w:r>
                    <w:r>
                      <w:rPr>
                        <w:rFonts w:hint="eastAsia" w:eastAsia="宋体"/>
                        <w:sz w:val="18"/>
                      </w:rPr>
                      <w:fldChar w:fldCharType="separate"/>
                    </w:r>
                    <w:r>
                      <w:rPr>
                        <w:rFonts w:hint="eastAsia" w:eastAsia="宋体"/>
                        <w:sz w:val="18"/>
                      </w:rPr>
                      <w:t>1</w:t>
                    </w:r>
                    <w:r>
                      <w:rPr>
                        <w:rFonts w:hint="eastAsia" w:eastAsia="宋体"/>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6D0C4">
    <w:pPr>
      <w:pStyle w:val="4"/>
      <w:wordWrap w:val="0"/>
      <w:jc w:val="right"/>
      <w:rPr>
        <w:rFonts w:ascii="宋体" w:hAnsi="宋体"/>
        <w:sz w:val="28"/>
        <w:szCs w:val="28"/>
        <w:lang w:eastAsia="zh-CN"/>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DD991E">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9DD991E">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DD5334"/>
    <w:multiLevelType w:val="multilevel"/>
    <w:tmpl w:val="37DD5334"/>
    <w:lvl w:ilvl="0" w:tentative="0">
      <w:start w:val="1"/>
      <w:numFmt w:val="decimal"/>
      <w:lvlText w:val="%1."/>
      <w:lvlJc w:val="left"/>
      <w:pPr>
        <w:ind w:left="3780" w:hanging="420"/>
      </w:pPr>
    </w:lvl>
    <w:lvl w:ilvl="1" w:tentative="0">
      <w:start w:val="1"/>
      <w:numFmt w:val="lowerLetter"/>
      <w:lvlText w:val="%2)"/>
      <w:lvlJc w:val="left"/>
      <w:pPr>
        <w:ind w:left="4200" w:hanging="420"/>
      </w:pPr>
    </w:lvl>
    <w:lvl w:ilvl="2" w:tentative="0">
      <w:start w:val="1"/>
      <w:numFmt w:val="lowerRoman"/>
      <w:lvlText w:val="%3."/>
      <w:lvlJc w:val="right"/>
      <w:pPr>
        <w:ind w:left="4620" w:hanging="420"/>
      </w:pPr>
    </w:lvl>
    <w:lvl w:ilvl="3" w:tentative="0">
      <w:start w:val="1"/>
      <w:numFmt w:val="decimal"/>
      <w:lvlText w:val="%4."/>
      <w:lvlJc w:val="left"/>
      <w:pPr>
        <w:ind w:left="5040" w:hanging="420"/>
      </w:pPr>
    </w:lvl>
    <w:lvl w:ilvl="4" w:tentative="0">
      <w:start w:val="1"/>
      <w:numFmt w:val="lowerLetter"/>
      <w:lvlText w:val="%5)"/>
      <w:lvlJc w:val="left"/>
      <w:pPr>
        <w:ind w:left="5460" w:hanging="420"/>
      </w:pPr>
    </w:lvl>
    <w:lvl w:ilvl="5" w:tentative="0">
      <w:start w:val="1"/>
      <w:numFmt w:val="lowerRoman"/>
      <w:lvlText w:val="%6."/>
      <w:lvlJc w:val="right"/>
      <w:pPr>
        <w:ind w:left="5880" w:hanging="420"/>
      </w:pPr>
    </w:lvl>
    <w:lvl w:ilvl="6" w:tentative="0">
      <w:start w:val="1"/>
      <w:numFmt w:val="decimal"/>
      <w:lvlText w:val="%7."/>
      <w:lvlJc w:val="left"/>
      <w:pPr>
        <w:ind w:left="6300" w:hanging="420"/>
      </w:pPr>
    </w:lvl>
    <w:lvl w:ilvl="7" w:tentative="0">
      <w:start w:val="1"/>
      <w:numFmt w:val="lowerLetter"/>
      <w:lvlText w:val="%8)"/>
      <w:lvlJc w:val="left"/>
      <w:pPr>
        <w:ind w:left="6720" w:hanging="420"/>
      </w:pPr>
    </w:lvl>
    <w:lvl w:ilvl="8" w:tentative="0">
      <w:start w:val="1"/>
      <w:numFmt w:val="lowerRoman"/>
      <w:lvlText w:val="%9."/>
      <w:lvlJc w:val="right"/>
      <w:pPr>
        <w:ind w:left="7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535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qFormat/>
    <w:uiPriority w:val="99"/>
    <w:pPr>
      <w:spacing w:line="460" w:lineRule="exact"/>
      <w:ind w:firstLine="480" w:firstLineChars="200"/>
    </w:pPr>
    <w:rPr>
      <w:rFonts w:ascii="宋体" w:hAnsi="宋体"/>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Body Text First Indent 2"/>
    <w:basedOn w:val="3"/>
    <w:qFormat/>
    <w:uiPriority w:val="99"/>
    <w:pPr>
      <w:ind w:firstLine="420"/>
    </w:pPr>
    <w:rPr>
      <w:rFonts w:ascii="Calibri" w:hAnsi="Calibri"/>
      <w:sz w:val="21"/>
      <w:szCs w:val="22"/>
    </w:rPr>
  </w:style>
  <w:style w:type="table" w:styleId="7">
    <w:name w:val="Table Grid"/>
    <w:basedOn w:val="6"/>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9">
    <w:name w:val="CR-正文"/>
    <w:basedOn w:val="1"/>
    <w:qFormat/>
    <w:uiPriority w:val="0"/>
    <w:pPr>
      <w:kinsoku/>
      <w:autoSpaceDE/>
      <w:autoSpaceDN/>
      <w:adjustRightInd/>
      <w:snapToGrid/>
      <w:spacing w:line="360" w:lineRule="auto"/>
      <w:ind w:firstLine="200" w:firstLineChars="200"/>
      <w:jc w:val="both"/>
      <w:textAlignment w:val="auto"/>
    </w:pPr>
    <w:rPr>
      <w:rFonts w:ascii="Times New Roman" w:hAnsi="Times New Roman" w:eastAsia="宋体" w:cs="Times New Roman"/>
      <w:snapToGrid/>
      <w:color w:val="auto"/>
      <w:sz w:val="28"/>
      <w:szCs w:val="20"/>
    </w:rPr>
  </w:style>
  <w:style w:type="paragraph" w:customStyle="1" w:styleId="10">
    <w:name w:val="cucd-TB-Head"/>
    <w:basedOn w:val="1"/>
    <w:next w:val="1"/>
    <w:qFormat/>
    <w:uiPriority w:val="0"/>
    <w:pPr>
      <w:widowControl w:val="0"/>
      <w:kinsoku/>
      <w:autoSpaceDE/>
      <w:autoSpaceDN/>
      <w:adjustRightInd/>
      <w:snapToGrid/>
      <w:spacing w:line="360" w:lineRule="auto"/>
      <w:ind w:firstLine="643"/>
      <w:jc w:val="center"/>
      <w:textAlignment w:val="auto"/>
    </w:pPr>
    <w:rPr>
      <w:rFonts w:ascii="Times New Roman" w:hAnsi="楷体" w:eastAsia="黑体" w:cs="Times New Roman"/>
      <w:snapToGrid/>
      <w:color w:val="auto"/>
      <w:kern w:val="2"/>
      <w:sz w:val="24"/>
      <w:szCs w:val="24"/>
    </w:rPr>
  </w:style>
  <w:style w:type="paragraph" w:customStyle="1" w:styleId="11">
    <w:name w:val="cucd-TB"/>
    <w:qFormat/>
    <w:uiPriority w:val="0"/>
    <w:pPr>
      <w:spacing w:line="360" w:lineRule="auto"/>
      <w:jc w:val="center"/>
    </w:pPr>
    <w:rPr>
      <w:rFonts w:ascii="Times New Roman" w:hAnsi="Times New Roman" w:eastAsia="宋体" w:cs="Times New Roman"/>
      <w:kern w:val="2"/>
      <w:sz w:val="21"/>
      <w:szCs w:val="24"/>
      <w:lang w:val="en-US" w:eastAsia="zh-CN" w:bidi="ar-SA"/>
    </w:rPr>
  </w:style>
  <w:style w:type="paragraph" w:styleId="12">
    <w:name w:val="List Paragraph"/>
    <w:basedOn w:val="1"/>
    <w:qFormat/>
    <w:uiPriority w:val="34"/>
    <w:pPr>
      <w:ind w:firstLine="420"/>
    </w:pPr>
  </w:style>
  <w:style w:type="paragraph" w:customStyle="1" w:styleId="13">
    <w:name w:val="正文（首行缩进2字符）"/>
    <w:basedOn w:val="1"/>
    <w:qFormat/>
    <w:uiPriority w:val="0"/>
    <w:pPr>
      <w:ind w:firstLine="440"/>
    </w:pPr>
    <w:rPr>
      <w:rFonts w:ascii="宋体" w:hAnsi="宋体"/>
      <w:kern w:val="0"/>
      <w:sz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0</Words>
  <Characters>0</Characters>
  <Lines>0</Lines>
  <Paragraphs>0</Paragraphs>
  <TotalTime>3</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2025-07-10T07:49:39Z</dcterms:created>
  <dc:creator>Administrator</dc:creator>
  <cp:lastModifiedBy>63a</cp:lastModifiedBy>
  <dcterms:modified xsi:type="dcterms:W3CDTF">2025-07-10T07:56:53Z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eyJoZGlkIjoiYzVkZTIzNTI3MTQ0ZTYzMTYzYmQ1YmVlMTczZWZlOTQiLCJ1c2VySWQiOiI1ODE5MTg1NjgifQ==</vt:lpwstr>
  </property>
  <property fmtid="{D5CDD505-2E9C-101B-9397-08002B2CF9AE}" pid="4" name="ICV">
    <vt:lpwstr>F0A358BF832148AE9A2C6A83CE604B7D_12</vt:lpwstr>
  </property>
</Properties>
</file>