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BB9FB">
      <w:pPr>
        <w:tabs>
          <w:tab w:val="left" w:pos="1701"/>
        </w:tabs>
        <w:spacing w:line="560" w:lineRule="exact"/>
        <w:ind w:firstLine="643" w:firstLineChars="200"/>
        <w:rPr>
          <w:rStyle w:val="29"/>
          <w:rFonts w:ascii="宋体" w:hAnsi="宋体" w:cs="宋体"/>
          <w:b/>
          <w:color w:val="auto"/>
          <w:sz w:val="32"/>
          <w:szCs w:val="32"/>
          <w:highlight w:val="none"/>
        </w:rPr>
      </w:pPr>
    </w:p>
    <w:p w14:paraId="625CE93B">
      <w:pPr>
        <w:tabs>
          <w:tab w:val="left" w:pos="1701"/>
        </w:tabs>
        <w:spacing w:line="560" w:lineRule="exact"/>
        <w:ind w:firstLine="643" w:firstLineChars="200"/>
        <w:rPr>
          <w:rStyle w:val="29"/>
          <w:rFonts w:ascii="宋体" w:hAnsi="宋体" w:cs="宋体"/>
          <w:b/>
          <w:color w:val="auto"/>
          <w:sz w:val="32"/>
          <w:szCs w:val="32"/>
          <w:highlight w:val="none"/>
        </w:rPr>
      </w:pPr>
    </w:p>
    <w:p w14:paraId="5D7ADBFA">
      <w:pPr>
        <w:tabs>
          <w:tab w:val="left" w:pos="1701"/>
        </w:tabs>
        <w:spacing w:line="560" w:lineRule="exact"/>
        <w:ind w:firstLine="643" w:firstLineChars="200"/>
        <w:rPr>
          <w:rStyle w:val="29"/>
          <w:rFonts w:ascii="宋体" w:hAnsi="宋体" w:cs="宋体"/>
          <w:b/>
          <w:color w:val="auto"/>
          <w:sz w:val="32"/>
          <w:szCs w:val="32"/>
          <w:highlight w:val="none"/>
        </w:rPr>
      </w:pPr>
    </w:p>
    <w:p w14:paraId="5F911D0F">
      <w:pPr>
        <w:tabs>
          <w:tab w:val="left" w:pos="1701"/>
        </w:tabs>
        <w:spacing w:line="560" w:lineRule="exact"/>
        <w:ind w:firstLine="643" w:firstLineChars="200"/>
        <w:rPr>
          <w:rStyle w:val="29"/>
          <w:rFonts w:ascii="宋体" w:hAnsi="宋体" w:cs="宋体"/>
          <w:b/>
          <w:color w:val="auto"/>
          <w:sz w:val="32"/>
          <w:szCs w:val="32"/>
          <w:highlight w:val="none"/>
        </w:rPr>
      </w:pPr>
    </w:p>
    <w:p w14:paraId="5C9D6E7D">
      <w:pPr>
        <w:tabs>
          <w:tab w:val="left" w:pos="1701"/>
        </w:tabs>
        <w:spacing w:line="560" w:lineRule="exact"/>
        <w:ind w:firstLine="643" w:firstLineChars="200"/>
        <w:rPr>
          <w:rStyle w:val="29"/>
          <w:rFonts w:ascii="宋体" w:hAnsi="宋体" w:cs="宋体"/>
          <w:b/>
          <w:color w:val="auto"/>
          <w:sz w:val="32"/>
          <w:szCs w:val="32"/>
          <w:highlight w:val="none"/>
        </w:rPr>
      </w:pPr>
    </w:p>
    <w:p w14:paraId="5FF96F25">
      <w:pPr>
        <w:tabs>
          <w:tab w:val="left" w:pos="1701"/>
        </w:tabs>
        <w:spacing w:line="560" w:lineRule="exact"/>
        <w:jc w:val="center"/>
        <w:outlineLvl w:val="0"/>
        <w:rPr>
          <w:rStyle w:val="29"/>
          <w:rFonts w:hint="eastAsia" w:ascii="宋体" w:hAnsi="宋体" w:cs="宋体"/>
          <w:b/>
          <w:color w:val="auto"/>
          <w:sz w:val="32"/>
          <w:szCs w:val="32"/>
          <w:highlight w:val="none"/>
        </w:rPr>
      </w:pPr>
      <w:r>
        <w:rPr>
          <w:rStyle w:val="29"/>
          <w:rFonts w:hint="eastAsia" w:ascii="宋体" w:hAnsi="宋体" w:cs="宋体"/>
          <w:b/>
          <w:color w:val="auto"/>
          <w:sz w:val="32"/>
          <w:szCs w:val="32"/>
          <w:highlight w:val="none"/>
        </w:rPr>
        <w:t>海口市202</w:t>
      </w:r>
      <w:r>
        <w:rPr>
          <w:rStyle w:val="29"/>
          <w:rFonts w:hint="eastAsia" w:ascii="宋体" w:hAnsi="宋体" w:cs="宋体"/>
          <w:b/>
          <w:color w:val="auto"/>
          <w:sz w:val="32"/>
          <w:szCs w:val="32"/>
          <w:highlight w:val="none"/>
          <w:lang w:val="en-US" w:eastAsia="zh"/>
        </w:rPr>
        <w:t>5</w:t>
      </w:r>
      <w:r>
        <w:rPr>
          <w:rStyle w:val="29"/>
          <w:rFonts w:hint="eastAsia" w:ascii="宋体" w:hAnsi="宋体" w:cs="宋体"/>
          <w:b/>
          <w:color w:val="auto"/>
          <w:sz w:val="32"/>
          <w:szCs w:val="32"/>
          <w:highlight w:val="none"/>
        </w:rPr>
        <w:t>-202</w:t>
      </w:r>
      <w:r>
        <w:rPr>
          <w:rStyle w:val="29"/>
          <w:rFonts w:hint="eastAsia" w:ascii="宋体" w:hAnsi="宋体" w:cs="宋体"/>
          <w:b/>
          <w:color w:val="auto"/>
          <w:sz w:val="32"/>
          <w:szCs w:val="32"/>
          <w:highlight w:val="none"/>
          <w:lang w:val="en-US" w:eastAsia="zh"/>
        </w:rPr>
        <w:t>8</w:t>
      </w:r>
      <w:r>
        <w:rPr>
          <w:rStyle w:val="29"/>
          <w:rFonts w:hint="eastAsia" w:ascii="宋体" w:hAnsi="宋体" w:cs="宋体"/>
          <w:b/>
          <w:color w:val="auto"/>
          <w:sz w:val="32"/>
          <w:szCs w:val="32"/>
          <w:highlight w:val="none"/>
        </w:rPr>
        <w:t>年污泥处理处置政府购买服务</w:t>
      </w:r>
    </w:p>
    <w:p w14:paraId="13A3A422">
      <w:pPr>
        <w:tabs>
          <w:tab w:val="left" w:pos="1701"/>
        </w:tabs>
        <w:spacing w:line="560" w:lineRule="exact"/>
        <w:jc w:val="center"/>
        <w:outlineLvl w:val="0"/>
        <w:rPr>
          <w:rStyle w:val="29"/>
          <w:rFonts w:ascii="宋体" w:hAnsi="宋体" w:cs="宋体"/>
          <w:b/>
          <w:color w:val="auto"/>
          <w:sz w:val="32"/>
          <w:szCs w:val="32"/>
          <w:highlight w:val="none"/>
        </w:rPr>
      </w:pPr>
      <w:r>
        <w:rPr>
          <w:rStyle w:val="29"/>
          <w:rFonts w:hint="eastAsia" w:ascii="宋体" w:hAnsi="宋体" w:cs="宋体"/>
          <w:b/>
          <w:color w:val="auto"/>
          <w:sz w:val="32"/>
          <w:szCs w:val="32"/>
          <w:highlight w:val="none"/>
        </w:rPr>
        <w:t>采购包1协议</w:t>
      </w:r>
    </w:p>
    <w:p w14:paraId="257848B5">
      <w:pPr>
        <w:tabs>
          <w:tab w:val="left" w:pos="1701"/>
        </w:tabs>
        <w:spacing w:line="560" w:lineRule="exact"/>
        <w:ind w:firstLine="643" w:firstLineChars="200"/>
        <w:rPr>
          <w:rStyle w:val="29"/>
          <w:rFonts w:ascii="宋体" w:hAnsi="宋体" w:cs="宋体"/>
          <w:b/>
          <w:color w:val="auto"/>
          <w:sz w:val="32"/>
          <w:szCs w:val="32"/>
          <w:highlight w:val="none"/>
        </w:rPr>
      </w:pPr>
    </w:p>
    <w:p w14:paraId="02DE94D7">
      <w:pPr>
        <w:tabs>
          <w:tab w:val="left" w:pos="1701"/>
        </w:tabs>
        <w:spacing w:line="560" w:lineRule="exact"/>
        <w:ind w:firstLine="643" w:firstLineChars="200"/>
        <w:rPr>
          <w:rStyle w:val="29"/>
          <w:rFonts w:ascii="宋体" w:hAnsi="宋体" w:cs="宋体"/>
          <w:b/>
          <w:bCs/>
          <w:color w:val="auto"/>
          <w:sz w:val="32"/>
          <w:szCs w:val="32"/>
          <w:highlight w:val="none"/>
        </w:rPr>
      </w:pPr>
    </w:p>
    <w:p w14:paraId="61995806">
      <w:pPr>
        <w:tabs>
          <w:tab w:val="left" w:pos="1701"/>
        </w:tabs>
        <w:spacing w:line="560" w:lineRule="exact"/>
        <w:ind w:firstLine="643" w:firstLineChars="200"/>
        <w:rPr>
          <w:rStyle w:val="29"/>
          <w:rFonts w:ascii="宋体" w:hAnsi="宋体" w:cs="宋体"/>
          <w:b/>
          <w:bCs/>
          <w:color w:val="auto"/>
          <w:sz w:val="32"/>
          <w:szCs w:val="32"/>
          <w:highlight w:val="none"/>
        </w:rPr>
      </w:pPr>
    </w:p>
    <w:p w14:paraId="693F8C6C">
      <w:pPr>
        <w:tabs>
          <w:tab w:val="left" w:pos="1701"/>
        </w:tabs>
        <w:spacing w:line="560" w:lineRule="exact"/>
        <w:ind w:firstLine="643" w:firstLineChars="200"/>
        <w:rPr>
          <w:rStyle w:val="29"/>
          <w:rFonts w:ascii="宋体" w:hAnsi="宋体" w:cs="宋体"/>
          <w:b/>
          <w:bCs/>
          <w:color w:val="auto"/>
          <w:sz w:val="32"/>
          <w:szCs w:val="32"/>
          <w:highlight w:val="none"/>
        </w:rPr>
      </w:pPr>
    </w:p>
    <w:p w14:paraId="517F0595">
      <w:pPr>
        <w:tabs>
          <w:tab w:val="left" w:pos="1701"/>
        </w:tabs>
        <w:spacing w:line="560" w:lineRule="exact"/>
        <w:ind w:firstLine="643" w:firstLineChars="200"/>
        <w:rPr>
          <w:rStyle w:val="29"/>
          <w:rFonts w:ascii="宋体" w:hAnsi="宋体" w:cs="宋体"/>
          <w:b/>
          <w:bCs/>
          <w:color w:val="auto"/>
          <w:sz w:val="32"/>
          <w:szCs w:val="32"/>
          <w:highlight w:val="none"/>
        </w:rPr>
      </w:pPr>
    </w:p>
    <w:p w14:paraId="16EFF724">
      <w:pPr>
        <w:tabs>
          <w:tab w:val="left" w:pos="1701"/>
        </w:tabs>
        <w:spacing w:line="560" w:lineRule="exact"/>
        <w:ind w:firstLine="643" w:firstLineChars="200"/>
        <w:rPr>
          <w:rStyle w:val="29"/>
          <w:rFonts w:ascii="宋体" w:hAnsi="宋体" w:cs="宋体"/>
          <w:b/>
          <w:bCs/>
          <w:color w:val="auto"/>
          <w:sz w:val="32"/>
          <w:szCs w:val="32"/>
          <w:highlight w:val="none"/>
        </w:rPr>
      </w:pPr>
    </w:p>
    <w:p w14:paraId="48D45D5B">
      <w:pPr>
        <w:tabs>
          <w:tab w:val="left" w:pos="1701"/>
        </w:tabs>
        <w:spacing w:line="560" w:lineRule="exact"/>
        <w:ind w:firstLine="643" w:firstLineChars="200"/>
        <w:rPr>
          <w:rStyle w:val="29"/>
          <w:rFonts w:ascii="宋体" w:hAnsi="宋体" w:cs="宋体"/>
          <w:b/>
          <w:bCs/>
          <w:color w:val="auto"/>
          <w:sz w:val="32"/>
          <w:szCs w:val="32"/>
          <w:highlight w:val="none"/>
        </w:rPr>
      </w:pPr>
    </w:p>
    <w:p w14:paraId="46D98B90">
      <w:pPr>
        <w:tabs>
          <w:tab w:val="left" w:pos="1701"/>
        </w:tabs>
        <w:spacing w:line="560" w:lineRule="exact"/>
        <w:ind w:firstLine="643" w:firstLineChars="200"/>
        <w:rPr>
          <w:rStyle w:val="29"/>
          <w:rFonts w:ascii="宋体" w:hAnsi="宋体" w:cs="宋体"/>
          <w:b/>
          <w:bCs/>
          <w:color w:val="auto"/>
          <w:sz w:val="32"/>
          <w:szCs w:val="32"/>
          <w:highlight w:val="none"/>
        </w:rPr>
      </w:pPr>
    </w:p>
    <w:p w14:paraId="26D081B0">
      <w:pPr>
        <w:tabs>
          <w:tab w:val="left" w:pos="1701"/>
        </w:tabs>
        <w:spacing w:line="560" w:lineRule="exact"/>
        <w:ind w:firstLine="643" w:firstLineChars="200"/>
        <w:rPr>
          <w:rStyle w:val="29"/>
          <w:rFonts w:ascii="宋体" w:hAnsi="宋体" w:cs="宋体"/>
          <w:b/>
          <w:bCs/>
          <w:color w:val="auto"/>
          <w:sz w:val="32"/>
          <w:szCs w:val="32"/>
          <w:highlight w:val="none"/>
        </w:rPr>
      </w:pPr>
    </w:p>
    <w:p w14:paraId="550FF839">
      <w:pPr>
        <w:tabs>
          <w:tab w:val="left" w:pos="1701"/>
        </w:tabs>
        <w:spacing w:line="560" w:lineRule="exact"/>
        <w:ind w:firstLine="643" w:firstLineChars="200"/>
        <w:rPr>
          <w:rStyle w:val="29"/>
          <w:rFonts w:ascii="宋体" w:hAnsi="宋体" w:cs="宋体"/>
          <w:b/>
          <w:bCs/>
          <w:color w:val="auto"/>
          <w:sz w:val="32"/>
          <w:szCs w:val="32"/>
          <w:highlight w:val="none"/>
        </w:rPr>
      </w:pPr>
    </w:p>
    <w:p w14:paraId="028A9E67">
      <w:pPr>
        <w:tabs>
          <w:tab w:val="left" w:pos="1701"/>
        </w:tabs>
        <w:spacing w:line="560" w:lineRule="exact"/>
        <w:ind w:firstLine="643" w:firstLineChars="200"/>
        <w:rPr>
          <w:rStyle w:val="29"/>
          <w:rFonts w:ascii="宋体" w:hAnsi="宋体" w:cs="宋体"/>
          <w:b/>
          <w:bCs/>
          <w:color w:val="auto"/>
          <w:sz w:val="32"/>
          <w:szCs w:val="32"/>
          <w:highlight w:val="none"/>
        </w:rPr>
      </w:pPr>
    </w:p>
    <w:p w14:paraId="54AB9573">
      <w:pPr>
        <w:pStyle w:val="22"/>
        <w:tabs>
          <w:tab w:val="left" w:pos="1701"/>
        </w:tabs>
        <w:spacing w:after="0" w:line="560" w:lineRule="exact"/>
        <w:ind w:left="0" w:leftChars="0" w:firstLine="643" w:firstLineChars="200"/>
        <w:rPr>
          <w:rStyle w:val="29"/>
          <w:rFonts w:ascii="宋体" w:hAnsi="宋体" w:cs="宋体"/>
          <w:b/>
          <w:color w:val="auto"/>
          <w:sz w:val="32"/>
          <w:szCs w:val="32"/>
          <w:highlight w:val="none"/>
        </w:rPr>
      </w:pPr>
    </w:p>
    <w:p w14:paraId="3B3FDD3C">
      <w:pPr>
        <w:pStyle w:val="23"/>
        <w:rPr>
          <w:rStyle w:val="29"/>
          <w:rFonts w:ascii="宋体" w:hAnsi="宋体" w:eastAsia="宋体" w:cs="宋体"/>
          <w:b/>
          <w:color w:val="auto"/>
          <w:sz w:val="32"/>
          <w:szCs w:val="32"/>
          <w:highlight w:val="none"/>
        </w:rPr>
      </w:pPr>
    </w:p>
    <w:p w14:paraId="20F8B58C">
      <w:pPr>
        <w:pStyle w:val="23"/>
        <w:rPr>
          <w:rStyle w:val="29"/>
          <w:rFonts w:ascii="宋体" w:hAnsi="宋体" w:eastAsia="宋体" w:cs="宋体"/>
          <w:b/>
          <w:color w:val="auto"/>
          <w:sz w:val="32"/>
          <w:szCs w:val="32"/>
          <w:highlight w:val="none"/>
        </w:rPr>
      </w:pPr>
      <w:bookmarkStart w:id="43" w:name="_GoBack"/>
      <w:bookmarkEnd w:id="43"/>
    </w:p>
    <w:p w14:paraId="6DC55E30">
      <w:pPr>
        <w:pStyle w:val="47"/>
        <w:tabs>
          <w:tab w:val="left" w:pos="639"/>
          <w:tab w:val="left" w:pos="1701"/>
          <w:tab w:val="center" w:pos="4214"/>
        </w:tabs>
        <w:spacing w:before="0" w:after="0" w:line="560" w:lineRule="exact"/>
        <w:ind w:firstLine="643" w:firstLineChars="200"/>
        <w:jc w:val="both"/>
        <w:outlineLvl w:val="0"/>
        <w:rPr>
          <w:rStyle w:val="29"/>
          <w:rFonts w:ascii="宋体" w:hAnsi="宋体" w:cs="宋体"/>
          <w:color w:val="auto"/>
          <w:sz w:val="32"/>
          <w:szCs w:val="32"/>
          <w:highlight w:val="none"/>
        </w:rPr>
      </w:pPr>
    </w:p>
    <w:p w14:paraId="5DB4F9A1">
      <w:pPr>
        <w:pStyle w:val="47"/>
        <w:tabs>
          <w:tab w:val="left" w:pos="639"/>
          <w:tab w:val="left" w:pos="1701"/>
          <w:tab w:val="center" w:pos="4214"/>
        </w:tabs>
        <w:spacing w:before="0" w:after="0" w:line="560" w:lineRule="exact"/>
        <w:ind w:firstLine="643" w:firstLineChars="200"/>
        <w:jc w:val="both"/>
        <w:outlineLvl w:val="0"/>
        <w:rPr>
          <w:rStyle w:val="29"/>
          <w:rFonts w:ascii="宋体" w:hAnsi="宋体" w:cs="宋体"/>
          <w:color w:val="auto"/>
          <w:sz w:val="32"/>
          <w:szCs w:val="32"/>
          <w:highlight w:val="none"/>
        </w:rPr>
      </w:pPr>
      <w:r>
        <w:rPr>
          <w:rStyle w:val="29"/>
          <w:rFonts w:hint="eastAsia" w:ascii="宋体" w:hAnsi="宋体" w:cs="宋体"/>
          <w:color w:val="auto"/>
          <w:sz w:val="32"/>
          <w:szCs w:val="32"/>
          <w:highlight w:val="none"/>
        </w:rPr>
        <w:tab/>
      </w:r>
      <w:r>
        <w:rPr>
          <w:rStyle w:val="29"/>
          <w:rFonts w:hint="eastAsia" w:ascii="宋体" w:hAnsi="宋体" w:cs="宋体"/>
          <w:color w:val="auto"/>
          <w:sz w:val="32"/>
          <w:szCs w:val="32"/>
          <w:highlight w:val="none"/>
        </w:rPr>
        <w:tab/>
      </w:r>
    </w:p>
    <w:p w14:paraId="501A7B29">
      <w:pPr>
        <w:pStyle w:val="47"/>
        <w:tabs>
          <w:tab w:val="left" w:pos="639"/>
          <w:tab w:val="left" w:pos="1701"/>
          <w:tab w:val="center" w:pos="4214"/>
        </w:tabs>
        <w:spacing w:before="0" w:after="0" w:line="560" w:lineRule="exact"/>
        <w:jc w:val="both"/>
        <w:outlineLvl w:val="0"/>
        <w:rPr>
          <w:rStyle w:val="29"/>
          <w:rFonts w:ascii="宋体" w:hAnsi="宋体" w:cs="宋体"/>
          <w:color w:val="auto"/>
          <w:sz w:val="32"/>
          <w:szCs w:val="32"/>
          <w:highlight w:val="none"/>
        </w:rPr>
      </w:pPr>
    </w:p>
    <w:p w14:paraId="327B16FB">
      <w:pPr>
        <w:rPr>
          <w:b/>
          <w:bCs/>
          <w:color w:val="auto"/>
          <w:sz w:val="28"/>
          <w:szCs w:val="28"/>
          <w:highlight w:val="none"/>
        </w:rPr>
        <w:sectPr>
          <w:footerReference r:id="rId7" w:type="first"/>
          <w:headerReference r:id="rId3" w:type="default"/>
          <w:footerReference r:id="rId5" w:type="default"/>
          <w:headerReference r:id="rId4" w:type="even"/>
          <w:footerReference r:id="rId6" w:type="even"/>
          <w:pgSz w:w="11906" w:h="16838"/>
          <w:pgMar w:top="1440" w:right="1800" w:bottom="1440" w:left="1800" w:header="851" w:footer="992" w:gutter="0"/>
          <w:pgNumType w:start="1"/>
          <w:cols w:space="425" w:num="1"/>
          <w:titlePg/>
          <w:docGrid w:type="lines" w:linePitch="312" w:charSpace="0"/>
        </w:sectPr>
      </w:pPr>
    </w:p>
    <w:sdt>
      <w:sdtPr>
        <w:rPr>
          <w:rFonts w:ascii="宋体" w:hAnsi="宋体" w:eastAsia="宋体" w:cs="Times New Roman"/>
          <w:color w:val="auto"/>
          <w:kern w:val="2"/>
          <w:sz w:val="21"/>
          <w:szCs w:val="24"/>
          <w:highlight w:val="none"/>
          <w:lang w:val="en-US" w:eastAsia="zh-CN" w:bidi="ar-SA"/>
        </w:rPr>
        <w:id w:val="147472145"/>
        <w:docPartObj>
          <w:docPartGallery w:val="Table of Contents"/>
          <w:docPartUnique/>
        </w:docPartObj>
      </w:sdtPr>
      <w:sdtEndPr>
        <w:rPr>
          <w:rFonts w:ascii="Times New Roman" w:hAnsi="Times New Roman" w:eastAsia="宋体" w:cs="Times New Roman"/>
          <w:color w:val="auto"/>
          <w:kern w:val="2"/>
          <w:sz w:val="24"/>
          <w:szCs w:val="24"/>
          <w:highlight w:val="none"/>
          <w:lang w:val="en-US" w:eastAsia="zh-CN" w:bidi="ar-SA"/>
        </w:rPr>
      </w:sdtEndPr>
      <w:sdtContent>
        <w:p w14:paraId="2DF69FC9">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rPr>
              <w:color w:val="auto"/>
              <w:sz w:val="24"/>
              <w:szCs w:val="24"/>
              <w:highlight w:val="none"/>
            </w:rPr>
          </w:pPr>
          <w:bookmarkStart w:id="0" w:name="_Toc1356061919_WPSOffice_Type1"/>
          <w:r>
            <w:rPr>
              <w:rFonts w:ascii="宋体" w:hAnsi="宋体" w:eastAsia="宋体"/>
              <w:color w:val="auto"/>
              <w:sz w:val="24"/>
              <w:szCs w:val="24"/>
              <w:highlight w:val="none"/>
            </w:rPr>
            <w:t>目录</w:t>
          </w:r>
        </w:p>
        <w:p w14:paraId="1C46B5E6">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_Toc1266149201_WPSOffice_Level1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663539749"/>
              <w:placeholder>
                <w:docPart w:val="{ce46dcf0-d506-4b8b-a73f-31ba62e3e5ab}"/>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第一条 定义和解释</w:t>
              </w:r>
            </w:sdtContent>
          </w:sdt>
          <w:r>
            <w:rPr>
              <w:color w:val="auto"/>
              <w:sz w:val="24"/>
              <w:szCs w:val="24"/>
              <w:highlight w:val="none"/>
            </w:rPr>
            <w:tab/>
          </w:r>
          <w:bookmarkStart w:id="1" w:name="_Toc1266149201_WPSOffice_Level1Page"/>
          <w:r>
            <w:rPr>
              <w:color w:val="auto"/>
              <w:sz w:val="24"/>
              <w:szCs w:val="24"/>
              <w:highlight w:val="none"/>
            </w:rPr>
            <w:t>5</w:t>
          </w:r>
          <w:bookmarkEnd w:id="1"/>
          <w:r>
            <w:rPr>
              <w:color w:val="auto"/>
              <w:sz w:val="24"/>
              <w:szCs w:val="24"/>
              <w:highlight w:val="none"/>
            </w:rPr>
            <w:fldChar w:fldCharType="end"/>
          </w:r>
        </w:p>
        <w:p w14:paraId="34F46071">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_Toc1356061919_WPSOffice_Level1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9813"/>
              <w:placeholder>
                <w:docPart w:val="{01ff8e8b-b980-4e54-b023-14e88bb1ddf5}"/>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第二条 协议适用顺序</w:t>
              </w:r>
            </w:sdtContent>
          </w:sdt>
          <w:r>
            <w:rPr>
              <w:color w:val="auto"/>
              <w:sz w:val="24"/>
              <w:szCs w:val="24"/>
              <w:highlight w:val="none"/>
            </w:rPr>
            <w:tab/>
          </w:r>
          <w:bookmarkStart w:id="2" w:name="_Toc1356061919_WPSOffice_Level1Page"/>
          <w:r>
            <w:rPr>
              <w:color w:val="auto"/>
              <w:sz w:val="24"/>
              <w:szCs w:val="24"/>
              <w:highlight w:val="none"/>
            </w:rPr>
            <w:t>7</w:t>
          </w:r>
          <w:bookmarkEnd w:id="2"/>
          <w:r>
            <w:rPr>
              <w:color w:val="auto"/>
              <w:sz w:val="24"/>
              <w:szCs w:val="24"/>
              <w:highlight w:val="none"/>
            </w:rPr>
            <w:fldChar w:fldCharType="end"/>
          </w:r>
        </w:p>
        <w:p w14:paraId="46C8D0CC">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_Toc1746065524_WPSOffice_Level1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0905"/>
              <w:placeholder>
                <w:docPart w:val="{05446166-63bf-4956-8b7e-2000aad92d8e}"/>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第三条 购买服务内容、范围及期限</w:t>
              </w:r>
            </w:sdtContent>
          </w:sdt>
          <w:r>
            <w:rPr>
              <w:color w:val="auto"/>
              <w:sz w:val="24"/>
              <w:szCs w:val="24"/>
              <w:highlight w:val="none"/>
            </w:rPr>
            <w:tab/>
          </w:r>
          <w:bookmarkStart w:id="3" w:name="_Toc1746065524_WPSOffice_Level1Page"/>
          <w:r>
            <w:rPr>
              <w:color w:val="auto"/>
              <w:sz w:val="24"/>
              <w:szCs w:val="24"/>
              <w:highlight w:val="none"/>
            </w:rPr>
            <w:t>7</w:t>
          </w:r>
          <w:bookmarkEnd w:id="3"/>
          <w:r>
            <w:rPr>
              <w:color w:val="auto"/>
              <w:sz w:val="24"/>
              <w:szCs w:val="24"/>
              <w:highlight w:val="none"/>
            </w:rPr>
            <w:fldChar w:fldCharType="end"/>
          </w:r>
        </w:p>
        <w:p w14:paraId="0A4F1B5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_Toc91159552_WPSOffice_Level1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4869"/>
              <w:placeholder>
                <w:docPart w:val="{94571012-ddfc-4ab7-b10e-088ddc6fe518}"/>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第四条 污泥处理处置标准和技术要求</w:t>
              </w:r>
            </w:sdtContent>
          </w:sdt>
          <w:r>
            <w:rPr>
              <w:color w:val="auto"/>
              <w:sz w:val="24"/>
              <w:szCs w:val="24"/>
              <w:highlight w:val="none"/>
            </w:rPr>
            <w:tab/>
          </w:r>
          <w:bookmarkStart w:id="4" w:name="_Toc91159552_WPSOffice_Level1Page"/>
          <w:r>
            <w:rPr>
              <w:color w:val="auto"/>
              <w:sz w:val="24"/>
              <w:szCs w:val="24"/>
              <w:highlight w:val="none"/>
            </w:rPr>
            <w:t>8</w:t>
          </w:r>
          <w:bookmarkEnd w:id="4"/>
          <w:r>
            <w:rPr>
              <w:color w:val="auto"/>
              <w:sz w:val="24"/>
              <w:szCs w:val="24"/>
              <w:highlight w:val="none"/>
            </w:rPr>
            <w:fldChar w:fldCharType="end"/>
          </w:r>
        </w:p>
        <w:p w14:paraId="1F14D20F">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_Toc409993279_WPSOffice_Level1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3067"/>
              <w:placeholder>
                <w:docPart w:val="{438f15fe-f1b6-47c2-97c7-f3a8c0d0d109}"/>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第五条</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服务费用及支付方式</w:t>
              </w:r>
            </w:sdtContent>
          </w:sdt>
          <w:r>
            <w:rPr>
              <w:color w:val="auto"/>
              <w:sz w:val="24"/>
              <w:szCs w:val="24"/>
              <w:highlight w:val="none"/>
            </w:rPr>
            <w:tab/>
          </w:r>
          <w:bookmarkStart w:id="5" w:name="_Toc409993279_WPSOffice_Level1Page"/>
          <w:r>
            <w:rPr>
              <w:color w:val="auto"/>
              <w:sz w:val="24"/>
              <w:szCs w:val="24"/>
              <w:highlight w:val="none"/>
            </w:rPr>
            <w:t>8</w:t>
          </w:r>
          <w:bookmarkEnd w:id="5"/>
          <w:r>
            <w:rPr>
              <w:color w:val="auto"/>
              <w:sz w:val="24"/>
              <w:szCs w:val="24"/>
              <w:highlight w:val="none"/>
            </w:rPr>
            <w:fldChar w:fldCharType="end"/>
          </w:r>
        </w:p>
        <w:p w14:paraId="62445AE3">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_Toc527417052_WPSOffice_Level1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7461"/>
              <w:placeholder>
                <w:docPart w:val="{339f9773-662d-423d-8ed0-d80d2217cfd5}"/>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第六条 服务质量的保障措施</w:t>
              </w:r>
            </w:sdtContent>
          </w:sdt>
          <w:r>
            <w:rPr>
              <w:color w:val="auto"/>
              <w:sz w:val="24"/>
              <w:szCs w:val="24"/>
              <w:highlight w:val="none"/>
            </w:rPr>
            <w:tab/>
          </w:r>
          <w:bookmarkStart w:id="6" w:name="_Toc527417052_WPSOffice_Level1Page"/>
          <w:r>
            <w:rPr>
              <w:color w:val="auto"/>
              <w:sz w:val="24"/>
              <w:szCs w:val="24"/>
              <w:highlight w:val="none"/>
            </w:rPr>
            <w:t>10</w:t>
          </w:r>
          <w:bookmarkEnd w:id="6"/>
          <w:r>
            <w:rPr>
              <w:color w:val="auto"/>
              <w:sz w:val="24"/>
              <w:szCs w:val="24"/>
              <w:highlight w:val="none"/>
            </w:rPr>
            <w:fldChar w:fldCharType="end"/>
          </w:r>
        </w:p>
        <w:p w14:paraId="07E28281">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_Toc1907463356_WPSOffice_Level1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0200"/>
              <w:placeholder>
                <w:docPart w:val="{76ddeceb-363c-46b4-9188-86b4df8fed2f}"/>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第七条 甲方的陈述和保证</w:t>
              </w:r>
            </w:sdtContent>
          </w:sdt>
          <w:r>
            <w:rPr>
              <w:color w:val="auto"/>
              <w:sz w:val="24"/>
              <w:szCs w:val="24"/>
              <w:highlight w:val="none"/>
            </w:rPr>
            <w:tab/>
          </w:r>
          <w:bookmarkStart w:id="7" w:name="_Toc1907463356_WPSOffice_Level1Page"/>
          <w:r>
            <w:rPr>
              <w:color w:val="auto"/>
              <w:sz w:val="24"/>
              <w:szCs w:val="24"/>
              <w:highlight w:val="none"/>
            </w:rPr>
            <w:t>10</w:t>
          </w:r>
          <w:bookmarkEnd w:id="7"/>
          <w:r>
            <w:rPr>
              <w:color w:val="auto"/>
              <w:sz w:val="24"/>
              <w:szCs w:val="24"/>
              <w:highlight w:val="none"/>
            </w:rPr>
            <w:fldChar w:fldCharType="end"/>
          </w:r>
        </w:p>
        <w:p w14:paraId="1ECAAE7B">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_Toc1606778224_WPSOffice_Level1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6253"/>
              <w:placeholder>
                <w:docPart w:val="{4a13e551-741b-41ee-87e8-c675a758c1e5}"/>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第八条 乙方的陈述和保证</w:t>
              </w:r>
            </w:sdtContent>
          </w:sdt>
          <w:r>
            <w:rPr>
              <w:color w:val="auto"/>
              <w:sz w:val="24"/>
              <w:szCs w:val="24"/>
              <w:highlight w:val="none"/>
            </w:rPr>
            <w:tab/>
          </w:r>
          <w:bookmarkStart w:id="8" w:name="_Toc1606778224_WPSOffice_Level1Page"/>
          <w:r>
            <w:rPr>
              <w:color w:val="auto"/>
              <w:sz w:val="24"/>
              <w:szCs w:val="24"/>
              <w:highlight w:val="none"/>
            </w:rPr>
            <w:t>11</w:t>
          </w:r>
          <w:bookmarkEnd w:id="8"/>
          <w:r>
            <w:rPr>
              <w:color w:val="auto"/>
              <w:sz w:val="24"/>
              <w:szCs w:val="24"/>
              <w:highlight w:val="none"/>
            </w:rPr>
            <w:fldChar w:fldCharType="end"/>
          </w:r>
        </w:p>
        <w:p w14:paraId="07B5DEC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_Toc1105073895_WPSOffice_Level1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2352"/>
              <w:placeholder>
                <w:docPart w:val="{7e7b71ef-86ab-470a-a3f4-134fedfd4e1f}"/>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第九条 甲方的权利和义务</w:t>
              </w:r>
            </w:sdtContent>
          </w:sdt>
          <w:r>
            <w:rPr>
              <w:color w:val="auto"/>
              <w:sz w:val="24"/>
              <w:szCs w:val="24"/>
              <w:highlight w:val="none"/>
            </w:rPr>
            <w:tab/>
          </w:r>
          <w:bookmarkStart w:id="9" w:name="_Toc1105073895_WPSOffice_Level1Page"/>
          <w:r>
            <w:rPr>
              <w:color w:val="auto"/>
              <w:sz w:val="24"/>
              <w:szCs w:val="24"/>
              <w:highlight w:val="none"/>
            </w:rPr>
            <w:t>11</w:t>
          </w:r>
          <w:bookmarkEnd w:id="9"/>
          <w:r>
            <w:rPr>
              <w:color w:val="auto"/>
              <w:sz w:val="24"/>
              <w:szCs w:val="24"/>
              <w:highlight w:val="none"/>
            </w:rPr>
            <w:fldChar w:fldCharType="end"/>
          </w:r>
        </w:p>
        <w:p w14:paraId="4FC76F15">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_Toc1812542002_WPSOffice_Level1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4309"/>
              <w:placeholder>
                <w:docPart w:val="{661c12d5-712f-481a-a57b-c7d5c157d55e}"/>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第十条 乙方的权利和义务</w:t>
              </w:r>
            </w:sdtContent>
          </w:sdt>
          <w:r>
            <w:rPr>
              <w:color w:val="auto"/>
              <w:sz w:val="24"/>
              <w:szCs w:val="24"/>
              <w:highlight w:val="none"/>
            </w:rPr>
            <w:tab/>
          </w:r>
          <w:bookmarkStart w:id="10" w:name="_Toc1812542002_WPSOffice_Level1Page"/>
          <w:r>
            <w:rPr>
              <w:color w:val="auto"/>
              <w:sz w:val="24"/>
              <w:szCs w:val="24"/>
              <w:highlight w:val="none"/>
            </w:rPr>
            <w:t>12</w:t>
          </w:r>
          <w:bookmarkEnd w:id="10"/>
          <w:r>
            <w:rPr>
              <w:color w:val="auto"/>
              <w:sz w:val="24"/>
              <w:szCs w:val="24"/>
              <w:highlight w:val="none"/>
            </w:rPr>
            <w:fldChar w:fldCharType="end"/>
          </w:r>
        </w:p>
        <w:p w14:paraId="678608D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_Toc2126477607_WPSOffice_Level1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0523"/>
              <w:placeholder>
                <w:docPart w:val="{06c67929-933c-47da-8030-d17a8daf1ff2}"/>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第十一条 指定人员</w:t>
              </w:r>
            </w:sdtContent>
          </w:sdt>
          <w:r>
            <w:rPr>
              <w:color w:val="auto"/>
              <w:sz w:val="24"/>
              <w:szCs w:val="24"/>
              <w:highlight w:val="none"/>
            </w:rPr>
            <w:tab/>
          </w:r>
          <w:bookmarkStart w:id="11" w:name="_Toc2126477607_WPSOffice_Level1Page"/>
          <w:r>
            <w:rPr>
              <w:color w:val="auto"/>
              <w:sz w:val="24"/>
              <w:szCs w:val="24"/>
              <w:highlight w:val="none"/>
            </w:rPr>
            <w:t>14</w:t>
          </w:r>
          <w:bookmarkEnd w:id="11"/>
          <w:r>
            <w:rPr>
              <w:color w:val="auto"/>
              <w:sz w:val="24"/>
              <w:szCs w:val="24"/>
              <w:highlight w:val="none"/>
            </w:rPr>
            <w:fldChar w:fldCharType="end"/>
          </w:r>
        </w:p>
        <w:p w14:paraId="456F0F37">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_Toc693815662_WPSOffice_Level1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2839"/>
              <w:placeholder>
                <w:docPart w:val="{31e1151f-63be-46d6-bb6c-c3947e15fe7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第十二条 权利保证和权利归属</w:t>
              </w:r>
            </w:sdtContent>
          </w:sdt>
          <w:r>
            <w:rPr>
              <w:color w:val="auto"/>
              <w:sz w:val="24"/>
              <w:szCs w:val="24"/>
              <w:highlight w:val="none"/>
            </w:rPr>
            <w:tab/>
          </w:r>
          <w:bookmarkStart w:id="12" w:name="_Toc693815662_WPSOffice_Level1Page"/>
          <w:r>
            <w:rPr>
              <w:color w:val="auto"/>
              <w:sz w:val="24"/>
              <w:szCs w:val="24"/>
              <w:highlight w:val="none"/>
            </w:rPr>
            <w:t>14</w:t>
          </w:r>
          <w:bookmarkEnd w:id="12"/>
          <w:r>
            <w:rPr>
              <w:color w:val="auto"/>
              <w:sz w:val="24"/>
              <w:szCs w:val="24"/>
              <w:highlight w:val="none"/>
            </w:rPr>
            <w:fldChar w:fldCharType="end"/>
          </w:r>
        </w:p>
        <w:p w14:paraId="5DD33DF8">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_Toc1918389147_WPSOffice_Level1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4988"/>
              <w:placeholder>
                <w:docPart w:val="{389aa30d-b264-4d1c-a821-186d5570680d}"/>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第十三条 保密</w:t>
              </w:r>
            </w:sdtContent>
          </w:sdt>
          <w:r>
            <w:rPr>
              <w:color w:val="auto"/>
              <w:sz w:val="24"/>
              <w:szCs w:val="24"/>
              <w:highlight w:val="none"/>
            </w:rPr>
            <w:tab/>
          </w:r>
          <w:bookmarkStart w:id="13" w:name="_Toc1918389147_WPSOffice_Level1Page"/>
          <w:r>
            <w:rPr>
              <w:color w:val="auto"/>
              <w:sz w:val="24"/>
              <w:szCs w:val="24"/>
              <w:highlight w:val="none"/>
            </w:rPr>
            <w:t>14</w:t>
          </w:r>
          <w:bookmarkEnd w:id="13"/>
          <w:r>
            <w:rPr>
              <w:color w:val="auto"/>
              <w:sz w:val="24"/>
              <w:szCs w:val="24"/>
              <w:highlight w:val="none"/>
            </w:rPr>
            <w:fldChar w:fldCharType="end"/>
          </w:r>
        </w:p>
        <w:p w14:paraId="35116550">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_Toc227045029_WPSOffice_Level1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0211"/>
              <w:placeholder>
                <w:docPart w:val="{702455a5-6a9f-4e75-966d-b7e30e0cbdc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第十四条 不可抗力</w:t>
              </w:r>
            </w:sdtContent>
          </w:sdt>
          <w:r>
            <w:rPr>
              <w:color w:val="auto"/>
              <w:sz w:val="24"/>
              <w:szCs w:val="24"/>
              <w:highlight w:val="none"/>
            </w:rPr>
            <w:tab/>
          </w:r>
          <w:bookmarkStart w:id="14" w:name="_Toc227045029_WPSOffice_Level1Page"/>
          <w:r>
            <w:rPr>
              <w:color w:val="auto"/>
              <w:sz w:val="24"/>
              <w:szCs w:val="24"/>
              <w:highlight w:val="none"/>
            </w:rPr>
            <w:t>15</w:t>
          </w:r>
          <w:bookmarkEnd w:id="14"/>
          <w:r>
            <w:rPr>
              <w:color w:val="auto"/>
              <w:sz w:val="24"/>
              <w:szCs w:val="24"/>
              <w:highlight w:val="none"/>
            </w:rPr>
            <w:fldChar w:fldCharType="end"/>
          </w:r>
        </w:p>
        <w:p w14:paraId="24846270">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_Toc1675282067_WPSOffice_Level1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0285"/>
              <w:placeholder>
                <w:docPart w:val="{9e6d2f5e-84a6-406f-8a13-735fd59bb2a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第十五条 违约责任</w:t>
              </w:r>
            </w:sdtContent>
          </w:sdt>
          <w:r>
            <w:rPr>
              <w:color w:val="auto"/>
              <w:sz w:val="24"/>
              <w:szCs w:val="24"/>
              <w:highlight w:val="none"/>
            </w:rPr>
            <w:tab/>
          </w:r>
          <w:bookmarkStart w:id="15" w:name="_Toc1675282067_WPSOffice_Level1Page"/>
          <w:r>
            <w:rPr>
              <w:color w:val="auto"/>
              <w:sz w:val="24"/>
              <w:szCs w:val="24"/>
              <w:highlight w:val="none"/>
            </w:rPr>
            <w:t>16</w:t>
          </w:r>
          <w:bookmarkEnd w:id="15"/>
          <w:r>
            <w:rPr>
              <w:color w:val="auto"/>
              <w:sz w:val="24"/>
              <w:szCs w:val="24"/>
              <w:highlight w:val="none"/>
            </w:rPr>
            <w:fldChar w:fldCharType="end"/>
          </w:r>
        </w:p>
        <w:p w14:paraId="4658A0B4">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_Toc924789176_WPSOffice_Level1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7406"/>
              <w:placeholder>
                <w:docPart w:val="{70b13660-5c91-4177-ad4d-659728bec55c}"/>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第十六条 适用法律和争议解决</w:t>
              </w:r>
            </w:sdtContent>
          </w:sdt>
          <w:r>
            <w:rPr>
              <w:color w:val="auto"/>
              <w:sz w:val="24"/>
              <w:szCs w:val="24"/>
              <w:highlight w:val="none"/>
            </w:rPr>
            <w:tab/>
          </w:r>
          <w:bookmarkStart w:id="16" w:name="_Toc924789176_WPSOffice_Level1Page"/>
          <w:r>
            <w:rPr>
              <w:color w:val="auto"/>
              <w:sz w:val="24"/>
              <w:szCs w:val="24"/>
              <w:highlight w:val="none"/>
            </w:rPr>
            <w:t>17</w:t>
          </w:r>
          <w:bookmarkEnd w:id="16"/>
          <w:r>
            <w:rPr>
              <w:color w:val="auto"/>
              <w:sz w:val="24"/>
              <w:szCs w:val="24"/>
              <w:highlight w:val="none"/>
            </w:rPr>
            <w:fldChar w:fldCharType="end"/>
          </w:r>
        </w:p>
        <w:p w14:paraId="58463AC9">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_Toc504205229_WPSOffice_Level1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7120"/>
              <w:placeholder>
                <w:docPart w:val="{b0976ce4-9e2d-43b1-9c1b-86424591b335}"/>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第十七条 协议的变更、解除和终止</w:t>
              </w:r>
            </w:sdtContent>
          </w:sdt>
          <w:r>
            <w:rPr>
              <w:color w:val="auto"/>
              <w:sz w:val="24"/>
              <w:szCs w:val="24"/>
              <w:highlight w:val="none"/>
            </w:rPr>
            <w:tab/>
          </w:r>
          <w:bookmarkStart w:id="17" w:name="_Toc504205229_WPSOffice_Level1Page"/>
          <w:r>
            <w:rPr>
              <w:color w:val="auto"/>
              <w:sz w:val="24"/>
              <w:szCs w:val="24"/>
              <w:highlight w:val="none"/>
            </w:rPr>
            <w:t>18</w:t>
          </w:r>
          <w:bookmarkEnd w:id="17"/>
          <w:r>
            <w:rPr>
              <w:color w:val="auto"/>
              <w:sz w:val="24"/>
              <w:szCs w:val="24"/>
              <w:highlight w:val="none"/>
            </w:rPr>
            <w:fldChar w:fldCharType="end"/>
          </w:r>
        </w:p>
        <w:p w14:paraId="1188A906">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_Toc774159136_WPSOffice_Level1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2266"/>
              <w:placeholder>
                <w:docPart w:val="{94f8749b-66e9-49f0-bf02-0cb236f0cf0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第十八条 履约保证金</w:t>
              </w:r>
            </w:sdtContent>
          </w:sdt>
          <w:r>
            <w:rPr>
              <w:color w:val="auto"/>
              <w:sz w:val="24"/>
              <w:szCs w:val="24"/>
              <w:highlight w:val="none"/>
            </w:rPr>
            <w:tab/>
          </w:r>
          <w:bookmarkStart w:id="18" w:name="_Toc774159136_WPSOffice_Level1Page"/>
          <w:r>
            <w:rPr>
              <w:color w:val="auto"/>
              <w:sz w:val="24"/>
              <w:szCs w:val="24"/>
              <w:highlight w:val="none"/>
            </w:rPr>
            <w:t>18</w:t>
          </w:r>
          <w:bookmarkEnd w:id="18"/>
          <w:r>
            <w:rPr>
              <w:color w:val="auto"/>
              <w:sz w:val="24"/>
              <w:szCs w:val="24"/>
              <w:highlight w:val="none"/>
            </w:rPr>
            <w:fldChar w:fldCharType="end"/>
          </w:r>
        </w:p>
        <w:p w14:paraId="63A4A9C5">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_Toc2038683850_WPSOffice_Level1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0108"/>
              <w:placeholder>
                <w:docPart w:val="{7b7155f7-a028-4992-8cc4-85f85b6337e6}"/>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第十九条 协议效力</w:t>
              </w:r>
            </w:sdtContent>
          </w:sdt>
          <w:r>
            <w:rPr>
              <w:color w:val="auto"/>
              <w:sz w:val="24"/>
              <w:szCs w:val="24"/>
              <w:highlight w:val="none"/>
            </w:rPr>
            <w:tab/>
          </w:r>
          <w:bookmarkStart w:id="19" w:name="_Toc2038683850_WPSOffice_Level1Page"/>
          <w:r>
            <w:rPr>
              <w:color w:val="auto"/>
              <w:sz w:val="24"/>
              <w:szCs w:val="24"/>
              <w:highlight w:val="none"/>
            </w:rPr>
            <w:t>20</w:t>
          </w:r>
          <w:bookmarkEnd w:id="19"/>
          <w:r>
            <w:rPr>
              <w:color w:val="auto"/>
              <w:sz w:val="24"/>
              <w:szCs w:val="24"/>
              <w:highlight w:val="none"/>
            </w:rPr>
            <w:fldChar w:fldCharType="end"/>
          </w:r>
        </w:p>
        <w:p w14:paraId="7767AD35">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_Toc2078774090_WPSOffice_Level1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0857"/>
              <w:placeholder>
                <w:docPart w:val="{dfbeac81-6a3d-4398-bc43-b330992d9fe6}"/>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第二十条 通知条款</w:t>
              </w:r>
            </w:sdtContent>
          </w:sdt>
          <w:r>
            <w:rPr>
              <w:color w:val="auto"/>
              <w:sz w:val="24"/>
              <w:szCs w:val="24"/>
              <w:highlight w:val="none"/>
            </w:rPr>
            <w:tab/>
          </w:r>
          <w:bookmarkStart w:id="20" w:name="_Toc2078774090_WPSOffice_Level1Page"/>
          <w:r>
            <w:rPr>
              <w:color w:val="auto"/>
              <w:sz w:val="24"/>
              <w:szCs w:val="24"/>
              <w:highlight w:val="none"/>
            </w:rPr>
            <w:t>20</w:t>
          </w:r>
          <w:bookmarkEnd w:id="20"/>
          <w:r>
            <w:rPr>
              <w:color w:val="auto"/>
              <w:sz w:val="24"/>
              <w:szCs w:val="24"/>
              <w:highlight w:val="none"/>
            </w:rPr>
            <w:fldChar w:fldCharType="end"/>
          </w:r>
        </w:p>
        <w:p w14:paraId="398999A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_Toc782512782_WPSOffice_Level1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0902"/>
              <w:placeholder>
                <w:docPart w:val="{291a0b2a-9ddb-4dde-8eda-f23e64a31268}"/>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第二十一条 本协议组成文件</w:t>
              </w:r>
            </w:sdtContent>
          </w:sdt>
          <w:r>
            <w:rPr>
              <w:color w:val="auto"/>
              <w:sz w:val="24"/>
              <w:szCs w:val="24"/>
              <w:highlight w:val="none"/>
            </w:rPr>
            <w:tab/>
          </w:r>
          <w:bookmarkStart w:id="21" w:name="_Toc782512782_WPSOffice_Level1Page"/>
          <w:r>
            <w:rPr>
              <w:color w:val="auto"/>
              <w:sz w:val="24"/>
              <w:szCs w:val="24"/>
              <w:highlight w:val="none"/>
            </w:rPr>
            <w:t>20</w:t>
          </w:r>
          <w:bookmarkEnd w:id="21"/>
          <w:r>
            <w:rPr>
              <w:color w:val="auto"/>
              <w:sz w:val="24"/>
              <w:szCs w:val="24"/>
              <w:highlight w:val="none"/>
            </w:rPr>
            <w:fldChar w:fldCharType="end"/>
          </w:r>
          <w:bookmarkEnd w:id="0"/>
        </w:p>
      </w:sdtContent>
    </w:sdt>
    <w:p w14:paraId="6A54DA19">
      <w:pPr>
        <w:pStyle w:val="2"/>
        <w:keepNext w:val="0"/>
        <w:keepLines w:val="0"/>
        <w:pageBreakBefore w:val="0"/>
        <w:widowControl/>
        <w:kinsoku/>
        <w:wordWrap/>
        <w:overflowPunct/>
        <w:topLinePunct w:val="0"/>
        <w:autoSpaceDE/>
        <w:autoSpaceDN/>
        <w:bidi w:val="0"/>
        <w:adjustRightInd/>
        <w:snapToGrid/>
        <w:spacing w:line="460" w:lineRule="exact"/>
        <w:rPr>
          <w:color w:val="auto"/>
          <w:sz w:val="24"/>
          <w:szCs w:val="24"/>
          <w:highlight w:val="none"/>
        </w:rPr>
      </w:pPr>
    </w:p>
    <w:p w14:paraId="1EFD4E40">
      <w:pPr>
        <w:pStyle w:val="2"/>
        <w:rPr>
          <w:color w:val="auto"/>
          <w:highlight w:val="none"/>
        </w:rPr>
      </w:pPr>
    </w:p>
    <w:p w14:paraId="2F8251C9">
      <w:pPr>
        <w:pStyle w:val="2"/>
        <w:rPr>
          <w:color w:val="auto"/>
          <w:highlight w:val="none"/>
        </w:rPr>
      </w:pPr>
    </w:p>
    <w:p w14:paraId="5F6E383A">
      <w:pPr>
        <w:pStyle w:val="2"/>
        <w:rPr>
          <w:color w:val="auto"/>
          <w:highlight w:val="none"/>
        </w:rPr>
      </w:pPr>
    </w:p>
    <w:p w14:paraId="69A38802">
      <w:pPr>
        <w:pStyle w:val="2"/>
        <w:rPr>
          <w:color w:val="auto"/>
          <w:highlight w:val="none"/>
        </w:rPr>
      </w:pPr>
    </w:p>
    <w:p w14:paraId="34916105">
      <w:pPr>
        <w:pStyle w:val="2"/>
        <w:rPr>
          <w:color w:val="auto"/>
          <w:highlight w:val="none"/>
        </w:rPr>
      </w:pPr>
    </w:p>
    <w:p w14:paraId="3A4E5A52">
      <w:pPr>
        <w:pStyle w:val="2"/>
        <w:rPr>
          <w:color w:val="auto"/>
          <w:highlight w:val="none"/>
        </w:rPr>
      </w:pPr>
    </w:p>
    <w:p w14:paraId="5E095764">
      <w:pPr>
        <w:pStyle w:val="2"/>
        <w:rPr>
          <w:color w:val="auto"/>
          <w:highlight w:val="none"/>
        </w:rPr>
      </w:pPr>
    </w:p>
    <w:p w14:paraId="6D151D4E">
      <w:pPr>
        <w:snapToGrid w:val="0"/>
        <w:spacing w:line="360" w:lineRule="auto"/>
        <w:ind w:firstLine="482" w:firstLineChars="200"/>
        <w:rPr>
          <w:rStyle w:val="29"/>
          <w:rFonts w:ascii="宋体" w:hAnsi="宋体" w:cs="宋体"/>
          <w:b/>
          <w:bCs/>
          <w:color w:val="auto"/>
          <w:sz w:val="24"/>
          <w:highlight w:val="none"/>
        </w:rPr>
      </w:pPr>
    </w:p>
    <w:p w14:paraId="3C0F618D">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甲方：</w:t>
      </w:r>
      <w:r>
        <w:rPr>
          <w:rStyle w:val="29"/>
          <w:rFonts w:hint="eastAsia" w:ascii="宋体" w:hAnsi="宋体" w:cs="宋体"/>
          <w:b/>
          <w:bCs/>
          <w:color w:val="auto"/>
          <w:sz w:val="24"/>
          <w:highlight w:val="none"/>
          <w:u w:val="single"/>
        </w:rPr>
        <w:t>海口市水务局</w:t>
      </w:r>
    </w:p>
    <w:p w14:paraId="517FB184">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法定代表人/负责人：</w:t>
      </w:r>
    </w:p>
    <w:p w14:paraId="6FEFC86E">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住所：</w:t>
      </w:r>
      <w:r>
        <w:rPr>
          <w:rStyle w:val="29"/>
          <w:rFonts w:hint="eastAsia" w:ascii="宋体" w:hAnsi="宋体" w:cs="宋体"/>
          <w:color w:val="auto"/>
          <w:sz w:val="24"/>
          <w:highlight w:val="none"/>
          <w:u w:val="single" w:color="000000"/>
        </w:rPr>
        <w:t>海口市长滨三路17号楼南楼</w:t>
      </w:r>
    </w:p>
    <w:p w14:paraId="2B3568D1">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邮编：</w:t>
      </w:r>
    </w:p>
    <w:p w14:paraId="700804B8">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联系人：</w:t>
      </w:r>
    </w:p>
    <w:p w14:paraId="66E35530">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电话：</w:t>
      </w:r>
    </w:p>
    <w:p w14:paraId="5BB995A5">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传真：</w:t>
      </w:r>
    </w:p>
    <w:p w14:paraId="611CDE14">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邮箱：</w:t>
      </w:r>
    </w:p>
    <w:p w14:paraId="2FEBA936">
      <w:pPr>
        <w:snapToGrid w:val="0"/>
        <w:spacing w:line="360" w:lineRule="auto"/>
        <w:ind w:firstLine="480" w:firstLineChars="200"/>
        <w:rPr>
          <w:rStyle w:val="29"/>
          <w:rFonts w:ascii="宋体" w:hAnsi="宋体" w:cs="宋体"/>
          <w:color w:val="auto"/>
          <w:sz w:val="24"/>
          <w:highlight w:val="none"/>
        </w:rPr>
      </w:pPr>
    </w:p>
    <w:p w14:paraId="42EFD87D">
      <w:pPr>
        <w:snapToGrid w:val="0"/>
        <w:spacing w:line="360" w:lineRule="auto"/>
        <w:ind w:firstLine="480" w:firstLineChars="200"/>
        <w:rPr>
          <w:rStyle w:val="29"/>
          <w:rFonts w:ascii="宋体" w:hAnsi="宋体" w:cs="宋体"/>
          <w:color w:val="auto"/>
          <w:sz w:val="24"/>
          <w:highlight w:val="none"/>
        </w:rPr>
      </w:pPr>
    </w:p>
    <w:p w14:paraId="192FB11F">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乙方：</w:t>
      </w:r>
    </w:p>
    <w:p w14:paraId="51EEA4D0">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法定代表人/负责人：</w:t>
      </w:r>
    </w:p>
    <w:p w14:paraId="16F824C6">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邮编：</w:t>
      </w:r>
    </w:p>
    <w:p w14:paraId="24AE2D68">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联系人：</w:t>
      </w:r>
    </w:p>
    <w:p w14:paraId="72D8D5B1">
      <w:pPr>
        <w:snapToGrid w:val="0"/>
        <w:spacing w:line="360" w:lineRule="auto"/>
        <w:ind w:firstLine="480" w:firstLineChars="200"/>
        <w:rPr>
          <w:color w:val="auto"/>
          <w:highlight w:val="none"/>
        </w:rPr>
      </w:pPr>
      <w:r>
        <w:rPr>
          <w:rStyle w:val="29"/>
          <w:rFonts w:hint="eastAsia" w:ascii="宋体" w:hAnsi="宋体" w:cs="宋体"/>
          <w:color w:val="auto"/>
          <w:sz w:val="24"/>
          <w:highlight w:val="none"/>
        </w:rPr>
        <w:t>电话：</w:t>
      </w:r>
      <w:r>
        <w:rPr>
          <w:rFonts w:hint="eastAsia" w:ascii="宋体" w:hAnsi="宋体" w:cs="宋体"/>
          <w:color w:val="auto"/>
          <w:sz w:val="24"/>
          <w:highlight w:val="none"/>
        </w:rPr>
        <w:t xml:space="preserve"> </w:t>
      </w:r>
    </w:p>
    <w:p w14:paraId="24F34D54">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传真：</w:t>
      </w:r>
    </w:p>
    <w:p w14:paraId="40EB9389">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邮箱：</w:t>
      </w:r>
    </w:p>
    <w:p w14:paraId="5FA7125F">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36C372BA">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623041FC">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2ADE0A78">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14F3A8B8">
      <w:pPr>
        <w:tabs>
          <w:tab w:val="left" w:pos="720"/>
          <w:tab w:val="left" w:pos="1701"/>
          <w:tab w:val="left" w:pos="3255"/>
        </w:tabs>
        <w:spacing w:line="360" w:lineRule="auto"/>
        <w:ind w:firstLine="482" w:firstLineChars="200"/>
        <w:rPr>
          <w:rStyle w:val="29"/>
          <w:rFonts w:ascii="宋体" w:hAnsi="宋体" w:cs="宋体"/>
          <w:b/>
          <w:color w:val="auto"/>
          <w:sz w:val="24"/>
          <w:highlight w:val="none"/>
        </w:rPr>
      </w:pPr>
    </w:p>
    <w:p w14:paraId="5E843790">
      <w:pPr>
        <w:tabs>
          <w:tab w:val="left" w:pos="720"/>
          <w:tab w:val="left" w:pos="1701"/>
          <w:tab w:val="left" w:pos="3255"/>
        </w:tabs>
        <w:spacing w:line="360" w:lineRule="auto"/>
        <w:ind w:firstLine="482" w:firstLineChars="200"/>
        <w:rPr>
          <w:rStyle w:val="29"/>
          <w:rFonts w:ascii="宋体" w:hAnsi="宋体" w:cs="宋体"/>
          <w:b/>
          <w:color w:val="auto"/>
          <w:sz w:val="24"/>
          <w:highlight w:val="none"/>
        </w:rPr>
      </w:pPr>
    </w:p>
    <w:p w14:paraId="4ECFCB36">
      <w:pPr>
        <w:pStyle w:val="13"/>
        <w:rPr>
          <w:rStyle w:val="29"/>
          <w:rFonts w:ascii="宋体" w:hAnsi="宋体" w:cs="宋体"/>
          <w:b/>
          <w:color w:val="auto"/>
          <w:sz w:val="24"/>
          <w:szCs w:val="24"/>
          <w:highlight w:val="none"/>
        </w:rPr>
      </w:pPr>
    </w:p>
    <w:p w14:paraId="666136B7">
      <w:pPr>
        <w:pStyle w:val="5"/>
        <w:rPr>
          <w:rStyle w:val="29"/>
          <w:rFonts w:ascii="宋体" w:hAnsi="宋体" w:cs="宋体"/>
          <w:b/>
          <w:color w:val="auto"/>
          <w:szCs w:val="24"/>
          <w:highlight w:val="none"/>
        </w:rPr>
      </w:pPr>
    </w:p>
    <w:p w14:paraId="57B329C0">
      <w:pPr>
        <w:rPr>
          <w:rStyle w:val="29"/>
          <w:rFonts w:ascii="宋体" w:hAnsi="宋体" w:cs="宋体"/>
          <w:b/>
          <w:color w:val="auto"/>
          <w:sz w:val="24"/>
          <w:highlight w:val="none"/>
        </w:rPr>
      </w:pPr>
    </w:p>
    <w:p w14:paraId="53E7138D">
      <w:pPr>
        <w:pStyle w:val="13"/>
        <w:rPr>
          <w:rStyle w:val="29"/>
          <w:rFonts w:ascii="宋体" w:hAnsi="宋体" w:cs="宋体"/>
          <w:b/>
          <w:color w:val="auto"/>
          <w:sz w:val="24"/>
          <w:szCs w:val="24"/>
          <w:highlight w:val="none"/>
        </w:rPr>
      </w:pPr>
    </w:p>
    <w:p w14:paraId="783655A5">
      <w:pPr>
        <w:pStyle w:val="5"/>
        <w:rPr>
          <w:rStyle w:val="29"/>
          <w:rFonts w:ascii="宋体" w:hAnsi="宋体" w:cs="宋体"/>
          <w:b/>
          <w:color w:val="auto"/>
          <w:szCs w:val="24"/>
          <w:highlight w:val="none"/>
        </w:rPr>
      </w:pPr>
    </w:p>
    <w:p w14:paraId="4E2FA7DA">
      <w:pPr>
        <w:rPr>
          <w:rStyle w:val="29"/>
          <w:rFonts w:ascii="宋体" w:hAnsi="宋体" w:cs="宋体"/>
          <w:b/>
          <w:color w:val="auto"/>
          <w:sz w:val="24"/>
          <w:highlight w:val="none"/>
        </w:rPr>
      </w:pPr>
    </w:p>
    <w:p w14:paraId="43C1B9B7">
      <w:pPr>
        <w:pStyle w:val="13"/>
        <w:rPr>
          <w:rStyle w:val="29"/>
          <w:rFonts w:ascii="宋体" w:hAnsi="宋体" w:cs="宋体"/>
          <w:b/>
          <w:color w:val="auto"/>
          <w:sz w:val="24"/>
          <w:szCs w:val="24"/>
          <w:highlight w:val="none"/>
        </w:rPr>
      </w:pPr>
    </w:p>
    <w:p w14:paraId="749240B3">
      <w:pPr>
        <w:tabs>
          <w:tab w:val="left" w:pos="720"/>
          <w:tab w:val="left" w:pos="1701"/>
          <w:tab w:val="left" w:pos="3255"/>
        </w:tabs>
        <w:spacing w:line="360" w:lineRule="auto"/>
        <w:rPr>
          <w:rStyle w:val="29"/>
          <w:rFonts w:ascii="宋体" w:hAnsi="宋体" w:cs="宋体"/>
          <w:b/>
          <w:color w:val="auto"/>
          <w:sz w:val="24"/>
          <w:highlight w:val="none"/>
        </w:rPr>
      </w:pPr>
    </w:p>
    <w:p w14:paraId="4946D98A">
      <w:pPr>
        <w:pStyle w:val="2"/>
        <w:rPr>
          <w:color w:val="auto"/>
          <w:highlight w:val="none"/>
        </w:rPr>
      </w:pPr>
    </w:p>
    <w:p w14:paraId="0E795BD7">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鉴于：</w:t>
      </w:r>
    </w:p>
    <w:p w14:paraId="738D5CED">
      <w:pPr>
        <w:tabs>
          <w:tab w:val="left" w:pos="720"/>
          <w:tab w:val="left" w:pos="1701"/>
          <w:tab w:val="left" w:pos="3255"/>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1.甲方海口市水务局作为本协议项下</w:t>
      </w:r>
      <w:r>
        <w:rPr>
          <w:rStyle w:val="29"/>
          <w:rFonts w:hint="eastAsia" w:ascii="宋体" w:hAnsi="宋体" w:cs="宋体"/>
          <w:color w:val="auto"/>
          <w:sz w:val="24"/>
          <w:highlight w:val="none"/>
          <w:u w:val="single"/>
        </w:rPr>
        <w:t>海口市市政污水处理厂污泥处理处置</w:t>
      </w:r>
      <w:r>
        <w:rPr>
          <w:rStyle w:val="29"/>
          <w:rFonts w:hint="eastAsia" w:ascii="宋体" w:hAnsi="宋体" w:cs="宋体"/>
          <w:color w:val="auto"/>
          <w:sz w:val="24"/>
          <w:highlight w:val="none"/>
        </w:rPr>
        <w:t>服务的购买主体，有权签订本协议，并按本协议履行义务。</w:t>
      </w:r>
    </w:p>
    <w:p w14:paraId="19F3374F">
      <w:pPr>
        <w:tabs>
          <w:tab w:val="left" w:pos="1701"/>
        </w:tabs>
        <w:spacing w:afterLines="50" w:line="560" w:lineRule="exact"/>
        <w:ind w:firstLine="480" w:firstLineChars="200"/>
        <w:outlineLvl w:val="0"/>
        <w:rPr>
          <w:rStyle w:val="29"/>
          <w:rFonts w:ascii="宋体" w:hAnsi="宋体" w:cs="宋体"/>
          <w:color w:val="auto"/>
          <w:sz w:val="24"/>
          <w:highlight w:val="none"/>
        </w:rPr>
      </w:pPr>
      <w:r>
        <w:rPr>
          <w:rStyle w:val="29"/>
          <w:rFonts w:hint="eastAsia" w:ascii="宋体" w:hAnsi="宋体" w:cs="宋体"/>
          <w:color w:val="auto"/>
          <w:sz w:val="24"/>
          <w:highlight w:val="none"/>
        </w:rPr>
        <w:t>2.乙方为提供服务项目的</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，统一社会信用代码为</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，具有签订本协议的主体资格。</w:t>
      </w:r>
    </w:p>
    <w:p w14:paraId="5480841A">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3.项目概况：</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w:t>
      </w:r>
    </w:p>
    <w:p w14:paraId="4A15B47C">
      <w:pPr>
        <w:tabs>
          <w:tab w:val="left" w:pos="720"/>
          <w:tab w:val="left" w:pos="1701"/>
          <w:tab w:val="left" w:pos="3255"/>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4.为推动我市生态文明试验区建设，强化对污水处理厂（站）污泥全处置工作，</w:t>
      </w:r>
      <w:r>
        <w:rPr>
          <w:rStyle w:val="29"/>
          <w:rFonts w:hint="eastAsia" w:ascii="宋体" w:hAnsi="宋体" w:cs="宋体"/>
          <w:color w:val="auto"/>
          <w:sz w:val="24"/>
          <w:highlight w:val="none"/>
          <w:lang w:eastAsia="zh-CN"/>
        </w:rPr>
        <w:t>我市</w:t>
      </w:r>
      <w:r>
        <w:rPr>
          <w:rStyle w:val="29"/>
          <w:rFonts w:hint="eastAsia" w:ascii="宋体" w:hAnsi="宋体" w:cs="宋体"/>
          <w:color w:val="auto"/>
          <w:sz w:val="24"/>
          <w:highlight w:val="none"/>
        </w:rPr>
        <w:t>通过政府购买服务的方式解决海口市202</w:t>
      </w:r>
      <w:r>
        <w:rPr>
          <w:rStyle w:val="29"/>
          <w:rFonts w:hint="eastAsia" w:ascii="宋体" w:hAnsi="宋体" w:cs="宋体"/>
          <w:color w:val="auto"/>
          <w:sz w:val="24"/>
          <w:highlight w:val="none"/>
          <w:lang w:val="en-US" w:eastAsia="zh-CN"/>
        </w:rPr>
        <w:t>5</w:t>
      </w:r>
      <w:r>
        <w:rPr>
          <w:rStyle w:val="29"/>
          <w:rFonts w:hint="eastAsia" w:ascii="宋体" w:hAnsi="宋体" w:cs="宋体"/>
          <w:color w:val="auto"/>
          <w:sz w:val="24"/>
          <w:highlight w:val="none"/>
        </w:rPr>
        <w:t>-202</w:t>
      </w:r>
      <w:r>
        <w:rPr>
          <w:rStyle w:val="29"/>
          <w:rFonts w:hint="eastAsia" w:ascii="宋体" w:hAnsi="宋体" w:cs="宋体"/>
          <w:color w:val="auto"/>
          <w:sz w:val="24"/>
          <w:highlight w:val="none"/>
          <w:lang w:val="en-US" w:eastAsia="zh-CN"/>
        </w:rPr>
        <w:t>8</w:t>
      </w:r>
      <w:r>
        <w:rPr>
          <w:rStyle w:val="29"/>
          <w:rFonts w:hint="eastAsia" w:ascii="宋体" w:hAnsi="宋体" w:cs="宋体"/>
          <w:color w:val="auto"/>
          <w:sz w:val="24"/>
          <w:highlight w:val="none"/>
        </w:rPr>
        <w:t>年污水处理厂（站）污泥处理处置问题，处置全过程实施闭环管理，实现污泥处置减量化、无害化、稳定化。甲方海口市水务局通过委托第三方招标代理（</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）于</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年</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月在海口市公共资源交易中心完成开标、评标工作</w:t>
      </w:r>
      <w:r>
        <w:rPr>
          <w:rFonts w:hint="eastAsia" w:ascii="宋体" w:hAnsi="宋体" w:cs="宋体"/>
          <w:color w:val="auto"/>
          <w:sz w:val="24"/>
          <w:highlight w:val="none"/>
        </w:rPr>
        <w:t>，</w:t>
      </w:r>
      <w:r>
        <w:rPr>
          <w:rStyle w:val="29"/>
          <w:rFonts w:hint="eastAsia" w:ascii="宋体" w:hAnsi="宋体" w:cs="宋体"/>
          <w:color w:val="auto"/>
          <w:sz w:val="24"/>
          <w:highlight w:val="none"/>
        </w:rPr>
        <w:t>确定</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公司作为《海口市202</w:t>
      </w:r>
      <w:r>
        <w:rPr>
          <w:rStyle w:val="29"/>
          <w:rFonts w:hint="eastAsia" w:ascii="宋体" w:hAnsi="宋体" w:cs="宋体"/>
          <w:color w:val="auto"/>
          <w:sz w:val="24"/>
          <w:highlight w:val="none"/>
          <w:lang w:val="en-US" w:eastAsia="zh-CN"/>
        </w:rPr>
        <w:t>5</w:t>
      </w:r>
      <w:r>
        <w:rPr>
          <w:rStyle w:val="29"/>
          <w:rFonts w:hint="eastAsia" w:ascii="宋体" w:hAnsi="宋体" w:cs="宋体"/>
          <w:color w:val="auto"/>
          <w:sz w:val="24"/>
          <w:highlight w:val="none"/>
        </w:rPr>
        <w:t>-202</w:t>
      </w:r>
      <w:r>
        <w:rPr>
          <w:rStyle w:val="29"/>
          <w:rFonts w:hint="eastAsia" w:ascii="宋体" w:hAnsi="宋体" w:cs="宋体"/>
          <w:color w:val="auto"/>
          <w:sz w:val="24"/>
          <w:highlight w:val="none"/>
          <w:lang w:val="en-US" w:eastAsia="zh-CN"/>
        </w:rPr>
        <w:t>8</w:t>
      </w:r>
      <w:r>
        <w:rPr>
          <w:rStyle w:val="29"/>
          <w:rFonts w:hint="eastAsia" w:ascii="宋体" w:hAnsi="宋体" w:cs="宋体"/>
          <w:color w:val="auto"/>
          <w:sz w:val="24"/>
          <w:highlight w:val="none"/>
        </w:rPr>
        <w:t>年污泥处理处置政府购买服务》</w:t>
      </w:r>
      <w:r>
        <w:rPr>
          <w:rStyle w:val="29"/>
          <w:rFonts w:hint="eastAsia" w:ascii="宋体" w:hAnsi="宋体" w:cs="宋体"/>
          <w:color w:val="auto"/>
          <w:sz w:val="24"/>
          <w:highlight w:val="none"/>
          <w:lang w:val="en-US" w:eastAsia="zh-CN"/>
        </w:rPr>
        <w:t>采购包1</w:t>
      </w:r>
      <w:r>
        <w:rPr>
          <w:rStyle w:val="29"/>
          <w:rFonts w:hint="eastAsia" w:ascii="宋体" w:hAnsi="宋体" w:cs="宋体"/>
          <w:color w:val="auto"/>
          <w:sz w:val="24"/>
          <w:highlight w:val="none"/>
        </w:rPr>
        <w:t>项目的中标单位,符合有关法律法规规定的采购程序和资质要求。乙方愿意向甲方提供本协议约定的各项服务。</w:t>
      </w:r>
    </w:p>
    <w:p w14:paraId="2E9EFCEE">
      <w:pPr>
        <w:tabs>
          <w:tab w:val="left" w:pos="720"/>
          <w:tab w:val="left" w:pos="1701"/>
          <w:tab w:val="left" w:pos="3255"/>
        </w:tabs>
        <w:spacing w:line="360" w:lineRule="auto"/>
        <w:ind w:firstLine="480" w:firstLineChars="200"/>
        <w:rPr>
          <w:rStyle w:val="29"/>
          <w:rFonts w:ascii="宋体" w:hAnsi="宋体" w:cs="宋体"/>
          <w:b/>
          <w:color w:val="auto"/>
          <w:highlight w:val="none"/>
        </w:rPr>
      </w:pPr>
      <w:r>
        <w:rPr>
          <w:rStyle w:val="29"/>
          <w:rFonts w:hint="eastAsia" w:ascii="宋体" w:hAnsi="宋体" w:cs="宋体"/>
          <w:color w:val="auto"/>
          <w:sz w:val="24"/>
          <w:highlight w:val="none"/>
        </w:rPr>
        <w:t>现根据《中华人民共和国民法典》《中华人民共和国预算法》《中华人民共和国政府采购法》、《国务院办公厅关于政府向社会力量购买服务的指导意见》（国办发〔2013〕96号）、《政府购买服务管理办法（暂行）》（财综〔2014〕96号）和《海南省人民政府办公厅关于印发海南省政府购买服务实施暂行办法的通知》（琼府办〔2014〕76号）、《海口市政府购买服务管理暂行办法》等有关要求和规定，遵循平等、自愿、公平和诚实信用的原则，经甲乙双方协商一致，签订本协议，以资共同信守。</w:t>
      </w:r>
    </w:p>
    <w:p w14:paraId="79B673F1">
      <w:pPr>
        <w:pStyle w:val="68"/>
        <w:tabs>
          <w:tab w:val="left" w:pos="851"/>
          <w:tab w:val="left" w:pos="1276"/>
          <w:tab w:val="left" w:pos="1701"/>
        </w:tabs>
        <w:snapToGrid w:val="0"/>
        <w:spacing w:line="360" w:lineRule="auto"/>
        <w:ind w:firstLine="482" w:firstLineChars="200"/>
        <w:jc w:val="both"/>
        <w:rPr>
          <w:rStyle w:val="29"/>
          <w:rFonts w:ascii="宋体" w:hAnsi="宋体" w:cs="宋体"/>
          <w:b/>
          <w:color w:val="auto"/>
          <w:highlight w:val="none"/>
        </w:rPr>
      </w:pPr>
      <w:bookmarkStart w:id="22" w:name="_Toc1266149201_WPSOffice_Level1"/>
      <w:r>
        <w:rPr>
          <w:rStyle w:val="29"/>
          <w:rFonts w:hint="eastAsia" w:ascii="宋体" w:hAnsi="宋体" w:cs="宋体"/>
          <w:b/>
          <w:color w:val="auto"/>
          <w:highlight w:val="none"/>
        </w:rPr>
        <w:t>第一条 定义和解释</w:t>
      </w:r>
      <w:bookmarkEnd w:id="22"/>
    </w:p>
    <w:p w14:paraId="63DC59D6">
      <w:pPr>
        <w:pStyle w:val="68"/>
        <w:tabs>
          <w:tab w:val="left" w:pos="851"/>
          <w:tab w:val="left" w:pos="1276"/>
          <w:tab w:val="left" w:pos="1701"/>
        </w:tabs>
        <w:snapToGrid w:val="0"/>
        <w:spacing w:line="360" w:lineRule="auto"/>
        <w:ind w:firstLine="482" w:firstLineChars="200"/>
        <w:jc w:val="both"/>
        <w:rPr>
          <w:rStyle w:val="29"/>
          <w:rFonts w:ascii="宋体" w:hAnsi="宋体" w:cs="宋体"/>
          <w:b/>
          <w:color w:val="auto"/>
          <w:highlight w:val="none"/>
        </w:rPr>
      </w:pPr>
      <w:r>
        <w:rPr>
          <w:rStyle w:val="29"/>
          <w:rFonts w:hint="eastAsia" w:ascii="宋体" w:hAnsi="宋体" w:cs="宋体"/>
          <w:b/>
          <w:color w:val="auto"/>
          <w:highlight w:val="none"/>
        </w:rPr>
        <w:t>定义</w:t>
      </w:r>
    </w:p>
    <w:p w14:paraId="631EE1B4">
      <w:pPr>
        <w:pStyle w:val="68"/>
        <w:tabs>
          <w:tab w:val="left" w:pos="851"/>
          <w:tab w:val="left" w:pos="1276"/>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本协议中，除文件明示另有所指外，下列术语具有如下含义：</w:t>
      </w:r>
    </w:p>
    <w:p w14:paraId="735DE574">
      <w:pPr>
        <w:pStyle w:val="26"/>
        <w:tabs>
          <w:tab w:val="left" w:pos="851"/>
          <w:tab w:val="left" w:pos="1701"/>
        </w:tabs>
        <w:snapToGrid w:val="0"/>
        <w:spacing w:before="0" w:after="0" w:line="360" w:lineRule="auto"/>
        <w:ind w:firstLine="482" w:firstLineChars="200"/>
        <w:rPr>
          <w:rStyle w:val="29"/>
          <w:rFonts w:ascii="宋体" w:hAnsi="宋体" w:eastAsia="宋体" w:cs="宋体"/>
          <w:b w:val="0"/>
          <w:color w:val="auto"/>
          <w:sz w:val="24"/>
          <w:szCs w:val="24"/>
          <w:highlight w:val="none"/>
        </w:rPr>
      </w:pPr>
      <w:r>
        <w:rPr>
          <w:rStyle w:val="29"/>
          <w:rFonts w:hint="eastAsia" w:ascii="宋体" w:hAnsi="宋体" w:eastAsia="宋体" w:cs="宋体"/>
          <w:bCs w:val="0"/>
          <w:color w:val="auto"/>
          <w:sz w:val="24"/>
          <w:szCs w:val="24"/>
          <w:highlight w:val="none"/>
        </w:rPr>
        <w:t>1</w:t>
      </w:r>
      <w:r>
        <w:rPr>
          <w:rStyle w:val="29"/>
          <w:rFonts w:hint="eastAsia" w:ascii="宋体" w:hAnsi="宋体" w:eastAsia="宋体" w:cs="宋体"/>
          <w:color w:val="auto"/>
          <w:sz w:val="24"/>
          <w:szCs w:val="24"/>
          <w:highlight w:val="none"/>
        </w:rPr>
        <w:t>.本协议</w:t>
      </w:r>
      <w:r>
        <w:rPr>
          <w:rStyle w:val="29"/>
          <w:rFonts w:hint="eastAsia" w:ascii="宋体" w:hAnsi="宋体" w:eastAsia="宋体" w:cs="宋体"/>
          <w:b w:val="0"/>
          <w:bCs w:val="0"/>
          <w:color w:val="auto"/>
          <w:sz w:val="24"/>
          <w:szCs w:val="24"/>
          <w:highlight w:val="none"/>
        </w:rPr>
        <w:t>：</w:t>
      </w:r>
      <w:r>
        <w:rPr>
          <w:rStyle w:val="29"/>
          <w:rFonts w:hint="eastAsia" w:ascii="宋体" w:hAnsi="宋体" w:eastAsia="宋体" w:cs="宋体"/>
          <w:b w:val="0"/>
          <w:color w:val="auto"/>
          <w:sz w:val="24"/>
          <w:szCs w:val="24"/>
          <w:highlight w:val="none"/>
        </w:rPr>
        <w:t>指甲方与乙方之间签订的《海口市202</w:t>
      </w:r>
      <w:r>
        <w:rPr>
          <w:rStyle w:val="29"/>
          <w:rFonts w:hint="eastAsia" w:ascii="宋体" w:hAnsi="宋体" w:eastAsia="宋体" w:cs="宋体"/>
          <w:b w:val="0"/>
          <w:color w:val="auto"/>
          <w:sz w:val="24"/>
          <w:szCs w:val="24"/>
          <w:highlight w:val="none"/>
          <w:lang w:val="en-US" w:eastAsia="zh-CN"/>
        </w:rPr>
        <w:t>5</w:t>
      </w:r>
      <w:r>
        <w:rPr>
          <w:rStyle w:val="29"/>
          <w:rFonts w:hint="eastAsia" w:ascii="宋体" w:hAnsi="宋体" w:eastAsia="宋体" w:cs="宋体"/>
          <w:b w:val="0"/>
          <w:color w:val="auto"/>
          <w:sz w:val="24"/>
          <w:szCs w:val="24"/>
          <w:highlight w:val="none"/>
        </w:rPr>
        <w:t>-202</w:t>
      </w:r>
      <w:r>
        <w:rPr>
          <w:rStyle w:val="29"/>
          <w:rFonts w:hint="eastAsia" w:ascii="宋体" w:hAnsi="宋体" w:eastAsia="宋体" w:cs="宋体"/>
          <w:b w:val="0"/>
          <w:color w:val="auto"/>
          <w:sz w:val="24"/>
          <w:szCs w:val="24"/>
          <w:highlight w:val="none"/>
          <w:lang w:val="en-US" w:eastAsia="zh-CN"/>
        </w:rPr>
        <w:t>8</w:t>
      </w:r>
      <w:r>
        <w:rPr>
          <w:rStyle w:val="29"/>
          <w:rFonts w:hint="eastAsia" w:ascii="宋体" w:hAnsi="宋体" w:eastAsia="宋体" w:cs="宋体"/>
          <w:b w:val="0"/>
          <w:color w:val="auto"/>
          <w:sz w:val="24"/>
          <w:szCs w:val="24"/>
          <w:highlight w:val="none"/>
        </w:rPr>
        <w:t>年</w:t>
      </w:r>
      <w:r>
        <w:rPr>
          <w:rStyle w:val="29"/>
          <w:rFonts w:hint="eastAsia" w:ascii="宋体" w:hAnsi="宋体" w:eastAsia="宋体" w:cs="宋体"/>
          <w:b w:val="0"/>
          <w:bCs w:val="0"/>
          <w:color w:val="auto"/>
          <w:sz w:val="24"/>
          <w:szCs w:val="24"/>
          <w:highlight w:val="none"/>
        </w:rPr>
        <w:t>污泥处理处置政府购买服</w:t>
      </w:r>
      <w:r>
        <w:rPr>
          <w:rStyle w:val="29"/>
          <w:rFonts w:hint="eastAsia" w:ascii="宋体" w:hAnsi="宋体" w:eastAsia="宋体" w:cs="宋体"/>
          <w:b w:val="0"/>
          <w:color w:val="auto"/>
          <w:sz w:val="24"/>
          <w:szCs w:val="24"/>
          <w:highlight w:val="none"/>
        </w:rPr>
        <w:t>务采购包1</w:t>
      </w:r>
      <w:r>
        <w:rPr>
          <w:rStyle w:val="29"/>
          <w:rFonts w:hint="eastAsia" w:ascii="宋体" w:hAnsi="宋体" w:eastAsia="宋体" w:cs="宋体"/>
          <w:b w:val="0"/>
          <w:color w:val="auto"/>
          <w:sz w:val="24"/>
          <w:szCs w:val="24"/>
          <w:highlight w:val="none"/>
          <w:lang w:val="en-US" w:eastAsia="zh-CN"/>
        </w:rPr>
        <w:t>协议</w:t>
      </w:r>
      <w:r>
        <w:rPr>
          <w:rStyle w:val="29"/>
          <w:rFonts w:hint="eastAsia" w:ascii="宋体" w:hAnsi="宋体" w:eastAsia="宋体" w:cs="宋体"/>
          <w:b w:val="0"/>
          <w:bCs w:val="0"/>
          <w:color w:val="auto"/>
          <w:sz w:val="24"/>
          <w:szCs w:val="24"/>
          <w:highlight w:val="none"/>
        </w:rPr>
        <w:t>》</w:t>
      </w:r>
      <w:r>
        <w:rPr>
          <w:rStyle w:val="29"/>
          <w:rFonts w:hint="eastAsia" w:ascii="宋体" w:hAnsi="宋体" w:eastAsia="宋体" w:cs="宋体"/>
          <w:b w:val="0"/>
          <w:color w:val="auto"/>
          <w:sz w:val="24"/>
          <w:szCs w:val="24"/>
          <w:highlight w:val="none"/>
        </w:rPr>
        <w:t>，包括协议的附件以及日后可能签订的任何本污泥处理处置协议之补充修改协议和附件，上述每一文件均被视为并入本协议。</w:t>
      </w:r>
    </w:p>
    <w:p w14:paraId="7A188EA1">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2.中国</w:t>
      </w:r>
      <w:r>
        <w:rPr>
          <w:rStyle w:val="29"/>
          <w:rFonts w:hint="eastAsia" w:ascii="宋体" w:hAnsi="宋体" w:cs="宋体"/>
          <w:color w:val="auto"/>
          <w:sz w:val="24"/>
          <w:highlight w:val="none"/>
        </w:rPr>
        <w:t>：指中华人民共和国，仅为本协议之目的，不包括香港特别行政区、澳门特别行政区和台湾地区。</w:t>
      </w:r>
    </w:p>
    <w:p w14:paraId="6CFBBA23">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3.法律</w:t>
      </w:r>
      <w:r>
        <w:rPr>
          <w:rStyle w:val="29"/>
          <w:rFonts w:hint="eastAsia" w:ascii="宋体" w:hAnsi="宋体" w:cs="宋体"/>
          <w:color w:val="auto"/>
          <w:sz w:val="24"/>
          <w:highlight w:val="none"/>
        </w:rPr>
        <w:t>：指所有适用的中国法律、行政法规、规章、自治条例、单行条例、地方性法规、司法解释及其它有法律约束力的规范性文件。</w:t>
      </w:r>
    </w:p>
    <w:p w14:paraId="25F40EE9">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法律变更：指</w:t>
      </w:r>
    </w:p>
    <w:p w14:paraId="5925FB28">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（1）在本协议签署日之后，立法部门或政府部门对任何法律、立法解释、行政法规、部门规章、地方性法规、单行条例、政府规章的颁布、实施、修改或废除；</w:t>
      </w:r>
    </w:p>
    <w:p w14:paraId="1E172536">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（2）在本协议签署日之后，立法部门或政府部门对有关任何规范性法律文件、行业标准的发布、实施、修改或废除；</w:t>
      </w:r>
    </w:p>
    <w:p w14:paraId="4429C9B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无论是上述哪一种情况，</w:t>
      </w:r>
    </w:p>
    <w:p w14:paraId="510B9AE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（1）导致适用于乙方的税收、税收优惠或关税发生任何变化；</w:t>
      </w:r>
    </w:p>
    <w:p w14:paraId="65A55DB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（2）实施、修改或取消了对本项目的投资、建设、运营、维护或移交的要求。</w:t>
      </w:r>
    </w:p>
    <w:p w14:paraId="03E39623">
      <w:pPr>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4.</w:t>
      </w:r>
      <w:r>
        <w:rPr>
          <w:rStyle w:val="29"/>
          <w:rFonts w:hint="eastAsia" w:ascii="宋体" w:hAnsi="宋体" w:cs="宋体"/>
          <w:b/>
          <w:bCs/>
          <w:color w:val="auto"/>
          <w:sz w:val="24"/>
          <w:highlight w:val="none"/>
        </w:rPr>
        <w:t>本项目：</w:t>
      </w:r>
      <w:r>
        <w:rPr>
          <w:rStyle w:val="29"/>
          <w:rFonts w:hint="eastAsia" w:ascii="宋体" w:hAnsi="宋体" w:eastAsia="宋体" w:cs="宋体"/>
          <w:b w:val="0"/>
          <w:bCs w:val="0"/>
          <w:color w:val="auto"/>
          <w:sz w:val="24"/>
          <w:szCs w:val="24"/>
          <w:highlight w:val="none"/>
          <w:lang w:val="en-US" w:eastAsia="zh"/>
        </w:rPr>
        <w:t>xx</w:t>
      </w:r>
    </w:p>
    <w:p w14:paraId="664AE7B4">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5.项目厂区</w:t>
      </w:r>
      <w:r>
        <w:rPr>
          <w:rStyle w:val="29"/>
          <w:rFonts w:hint="eastAsia" w:ascii="宋体" w:hAnsi="宋体" w:cs="宋体"/>
          <w:color w:val="auto"/>
          <w:sz w:val="24"/>
          <w:highlight w:val="none"/>
        </w:rPr>
        <w:t>：</w:t>
      </w:r>
      <w:r>
        <w:rPr>
          <w:rStyle w:val="29"/>
          <w:rFonts w:hint="eastAsia" w:ascii="宋体" w:hAnsi="宋体" w:eastAsia="宋体" w:cs="宋体"/>
          <w:b w:val="0"/>
          <w:bCs w:val="0"/>
          <w:color w:val="auto"/>
          <w:sz w:val="24"/>
          <w:szCs w:val="24"/>
          <w:highlight w:val="none"/>
          <w:lang w:val="en-US" w:eastAsia="zh"/>
        </w:rPr>
        <w:t>xx</w:t>
      </w:r>
      <w:r>
        <w:rPr>
          <w:rStyle w:val="29"/>
          <w:rFonts w:hint="eastAsia" w:ascii="宋体" w:hAnsi="宋体" w:cs="宋体"/>
          <w:color w:val="auto"/>
          <w:sz w:val="24"/>
          <w:highlight w:val="none"/>
        </w:rPr>
        <w:t>。</w:t>
      </w:r>
    </w:p>
    <w:p w14:paraId="2E0300AC">
      <w:pPr>
        <w:tabs>
          <w:tab w:val="left" w:pos="85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6.污泥</w:t>
      </w:r>
      <w:r>
        <w:rPr>
          <w:rStyle w:val="29"/>
          <w:rFonts w:hint="eastAsia" w:ascii="宋体" w:hAnsi="宋体" w:cs="宋体"/>
          <w:color w:val="auto"/>
          <w:sz w:val="24"/>
          <w:highlight w:val="none"/>
        </w:rPr>
        <w:t>：乙方接收并处置以下污水处理厂 (站) 产生的污泥，包括但不限于：</w:t>
      </w:r>
      <w:bookmarkStart w:id="23" w:name="_bookmark35"/>
      <w:bookmarkEnd w:id="23"/>
      <w:r>
        <w:rPr>
          <w:rStyle w:val="29"/>
          <w:rFonts w:hint="eastAsia" w:ascii="宋体" w:hAnsi="宋体" w:eastAsia="宋体" w:cs="宋体"/>
          <w:b w:val="0"/>
          <w:bCs w:val="0"/>
          <w:color w:val="auto"/>
          <w:sz w:val="24"/>
          <w:szCs w:val="24"/>
          <w:highlight w:val="none"/>
          <w:lang w:val="en-US" w:eastAsia="zh"/>
        </w:rPr>
        <w:t>白沙门污水处理厂(二期)、长堤路污水处理厂、丁村污水处理厂、空港地埋式水质净化中心、江东地埋式水质净化中心、美安污水处理厂、滨江西污水处理厂、狮子岭一期污水处理厂、狮子岭二期污水处理厂等9座污水处理产生的污泥，每天产泥量预估100吨至110吨，产泥含水率均等于或小于60%。以上污泥量</w:t>
      </w:r>
      <w:r>
        <w:rPr>
          <w:rStyle w:val="29"/>
          <w:rFonts w:hint="eastAsia" w:ascii="宋体" w:hAnsi="宋体" w:cs="宋体"/>
          <w:b w:val="0"/>
          <w:bCs w:val="0"/>
          <w:color w:val="auto"/>
          <w:sz w:val="24"/>
          <w:szCs w:val="24"/>
          <w:highlight w:val="none"/>
          <w:lang w:val="en-US" w:eastAsia="zh-CN"/>
        </w:rPr>
        <w:t>为</w:t>
      </w:r>
      <w:r>
        <w:rPr>
          <w:rStyle w:val="29"/>
          <w:rFonts w:hint="eastAsia" w:ascii="宋体" w:hAnsi="宋体" w:eastAsia="宋体" w:cs="宋体"/>
          <w:b w:val="0"/>
          <w:bCs w:val="0"/>
          <w:color w:val="auto"/>
          <w:sz w:val="24"/>
          <w:szCs w:val="24"/>
          <w:highlight w:val="none"/>
          <w:lang w:val="en-US" w:eastAsia="zh"/>
        </w:rPr>
        <w:t>甲方预估，具体以实际各污水处理厂产生的污泥量为准。</w:t>
      </w:r>
    </w:p>
    <w:p w14:paraId="64DE631F">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7.第三方：</w:t>
      </w:r>
      <w:r>
        <w:rPr>
          <w:rStyle w:val="29"/>
          <w:rFonts w:hint="eastAsia" w:ascii="宋体" w:hAnsi="宋体" w:cs="宋体"/>
          <w:color w:val="auto"/>
          <w:sz w:val="24"/>
          <w:highlight w:val="none"/>
        </w:rPr>
        <w:t>指甲乙双方以外的任何自然人、法人、机构、组织、单位、实体等。</w:t>
      </w:r>
    </w:p>
    <w:p w14:paraId="08272418">
      <w:pPr>
        <w:tabs>
          <w:tab w:val="left" w:pos="851"/>
          <w:tab w:val="left" w:pos="1701"/>
        </w:tabs>
        <w:snapToGrid w:val="0"/>
        <w:spacing w:line="360" w:lineRule="auto"/>
        <w:ind w:firstLine="482" w:firstLineChars="200"/>
        <w:rPr>
          <w:rStyle w:val="29"/>
          <w:rFonts w:ascii="宋体" w:hAnsi="宋体" w:cs="宋体"/>
          <w:b/>
          <w:color w:val="auto"/>
          <w:sz w:val="24"/>
          <w:highlight w:val="none"/>
        </w:rPr>
      </w:pPr>
      <w:r>
        <w:rPr>
          <w:rStyle w:val="29"/>
          <w:rFonts w:hint="eastAsia" w:ascii="宋体" w:hAnsi="宋体" w:cs="宋体"/>
          <w:b/>
          <w:color w:val="auto"/>
          <w:sz w:val="24"/>
          <w:highlight w:val="none"/>
        </w:rPr>
        <w:t>8.服务：</w:t>
      </w:r>
      <w:r>
        <w:rPr>
          <w:rStyle w:val="29"/>
          <w:rFonts w:hint="eastAsia" w:ascii="宋体" w:hAnsi="宋体" w:cs="宋体"/>
          <w:color w:val="auto"/>
          <w:sz w:val="24"/>
          <w:highlight w:val="none"/>
        </w:rPr>
        <w:t>指甲方依据本协议第三条第（一）款规定从乙方购买的各项服务。</w:t>
      </w:r>
    </w:p>
    <w:p w14:paraId="0389C03E">
      <w:pPr>
        <w:tabs>
          <w:tab w:val="left" w:pos="851"/>
          <w:tab w:val="left" w:pos="1276"/>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9.书面形式：</w:t>
      </w:r>
      <w:r>
        <w:rPr>
          <w:rStyle w:val="29"/>
          <w:rFonts w:hint="eastAsia" w:ascii="宋体" w:hAnsi="宋体" w:cs="宋体"/>
          <w:color w:val="auto"/>
          <w:sz w:val="24"/>
          <w:highlight w:val="none"/>
        </w:rPr>
        <w:t>指有形表现所载内容的形式，包括协议文件、信件、电报、传真、电子邮件等。</w:t>
      </w:r>
    </w:p>
    <w:p w14:paraId="4BCCC46D">
      <w:pPr>
        <w:pStyle w:val="68"/>
        <w:tabs>
          <w:tab w:val="left" w:pos="1418"/>
        </w:tabs>
        <w:spacing w:line="360" w:lineRule="auto"/>
        <w:ind w:firstLine="482" w:firstLineChars="200"/>
        <w:jc w:val="both"/>
        <w:rPr>
          <w:rStyle w:val="29"/>
          <w:rFonts w:ascii="宋体" w:hAnsi="宋体" w:cs="宋体"/>
          <w:color w:val="auto"/>
          <w:highlight w:val="none"/>
        </w:rPr>
      </w:pPr>
      <w:r>
        <w:rPr>
          <w:rStyle w:val="29"/>
          <w:rFonts w:hint="eastAsia" w:ascii="宋体" w:hAnsi="宋体" w:cs="宋体"/>
          <w:b/>
          <w:bCs/>
          <w:color w:val="auto"/>
          <w:highlight w:val="none"/>
        </w:rPr>
        <w:t>10</w:t>
      </w:r>
      <w:r>
        <w:rPr>
          <w:rStyle w:val="29"/>
          <w:rFonts w:hint="eastAsia" w:ascii="宋体" w:hAnsi="宋体" w:cs="宋体"/>
          <w:b/>
          <w:color w:val="auto"/>
          <w:highlight w:val="none"/>
        </w:rPr>
        <w:t>.</w:t>
      </w:r>
      <w:r>
        <w:rPr>
          <w:rStyle w:val="29"/>
          <w:rFonts w:hint="eastAsia" w:ascii="宋体" w:hAnsi="宋体" w:cs="宋体"/>
          <w:b/>
          <w:bCs/>
          <w:color w:val="auto"/>
          <w:highlight w:val="none"/>
        </w:rPr>
        <w:t>“元”：</w:t>
      </w:r>
      <w:r>
        <w:rPr>
          <w:rStyle w:val="29"/>
          <w:rFonts w:hint="eastAsia" w:ascii="宋体" w:hAnsi="宋体" w:cs="宋体"/>
          <w:color w:val="auto"/>
          <w:highlight w:val="none"/>
        </w:rPr>
        <w:t>指人民币元，为中华人民共和国法定货币。</w:t>
      </w:r>
    </w:p>
    <w:p w14:paraId="718D0A1F">
      <w:pPr>
        <w:pStyle w:val="26"/>
        <w:tabs>
          <w:tab w:val="left" w:pos="851"/>
          <w:tab w:val="left" w:pos="1701"/>
        </w:tabs>
        <w:snapToGrid w:val="0"/>
        <w:spacing w:before="0" w:after="0" w:line="360" w:lineRule="auto"/>
        <w:ind w:firstLine="482" w:firstLineChars="200"/>
        <w:rPr>
          <w:rStyle w:val="29"/>
          <w:rFonts w:ascii="宋体" w:hAnsi="宋体" w:eastAsia="宋体" w:cs="宋体"/>
          <w:color w:val="auto"/>
          <w:sz w:val="24"/>
          <w:szCs w:val="24"/>
          <w:highlight w:val="none"/>
        </w:rPr>
      </w:pPr>
      <w:r>
        <w:rPr>
          <w:rStyle w:val="29"/>
          <w:rFonts w:hint="eastAsia" w:ascii="宋体" w:hAnsi="宋体" w:eastAsia="宋体" w:cs="宋体"/>
          <w:color w:val="auto"/>
          <w:sz w:val="24"/>
          <w:szCs w:val="24"/>
          <w:highlight w:val="none"/>
        </w:rPr>
        <w:t>（二）解释</w:t>
      </w:r>
    </w:p>
    <w:p w14:paraId="6A9752DA">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除非本协议另有说明，下述词语在本协议中应适用本条规定的释义：</w:t>
      </w:r>
    </w:p>
    <w:p w14:paraId="39A91FEA">
      <w:pPr>
        <w:pStyle w:val="68"/>
        <w:tabs>
          <w:tab w:val="left" w:pos="851"/>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w:t>
      </w:r>
      <w:r>
        <w:rPr>
          <w:rStyle w:val="29"/>
          <w:rFonts w:hint="eastAsia" w:ascii="宋体" w:hAnsi="宋体" w:cs="宋体"/>
          <w:b/>
          <w:color w:val="auto"/>
          <w:highlight w:val="none"/>
        </w:rPr>
        <w:t>.</w:t>
      </w:r>
      <w:r>
        <w:rPr>
          <w:rStyle w:val="29"/>
          <w:rFonts w:hint="eastAsia" w:ascii="宋体" w:hAnsi="宋体" w:cs="宋体"/>
          <w:color w:val="auto"/>
          <w:highlight w:val="none"/>
        </w:rPr>
        <w:t>“一方”或“各方”指本协议的一方或各方。本协议的各方均包括其各自的获准受让人；</w:t>
      </w:r>
    </w:p>
    <w:p w14:paraId="5FBD0EA7">
      <w:pPr>
        <w:pStyle w:val="68"/>
        <w:tabs>
          <w:tab w:val="left" w:pos="851"/>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w:t>
      </w:r>
      <w:r>
        <w:rPr>
          <w:rStyle w:val="29"/>
          <w:rFonts w:hint="eastAsia" w:ascii="宋体" w:hAnsi="宋体" w:cs="宋体"/>
          <w:b/>
          <w:color w:val="auto"/>
          <w:highlight w:val="none"/>
        </w:rPr>
        <w:t>.</w:t>
      </w:r>
      <w:r>
        <w:rPr>
          <w:rStyle w:val="29"/>
          <w:rFonts w:hint="eastAsia" w:ascii="宋体" w:hAnsi="宋体" w:cs="宋体"/>
          <w:color w:val="auto"/>
          <w:highlight w:val="none"/>
        </w:rPr>
        <w:t>“资产”包括现有和将来的任何类别的财产、收入及权益；</w:t>
      </w:r>
    </w:p>
    <w:p w14:paraId="5D3B2557">
      <w:pPr>
        <w:pStyle w:val="68"/>
        <w:tabs>
          <w:tab w:val="left" w:pos="851"/>
          <w:tab w:val="left" w:pos="1276"/>
          <w:tab w:val="left" w:pos="1701"/>
        </w:tabs>
        <w:snapToGrid w:val="0"/>
        <w:spacing w:line="360" w:lineRule="auto"/>
        <w:ind w:firstLine="480" w:firstLineChars="200"/>
        <w:jc w:val="both"/>
        <w:rPr>
          <w:rStyle w:val="29"/>
          <w:rFonts w:ascii="宋体" w:hAnsi="宋体" w:cs="宋体"/>
          <w:b/>
          <w:color w:val="auto"/>
          <w:highlight w:val="none"/>
        </w:rPr>
      </w:pPr>
      <w:r>
        <w:rPr>
          <w:rStyle w:val="29"/>
          <w:rFonts w:hint="eastAsia" w:ascii="宋体" w:hAnsi="宋体" w:cs="宋体"/>
          <w:color w:val="auto"/>
          <w:highlight w:val="none"/>
        </w:rPr>
        <w:t>3</w:t>
      </w:r>
      <w:r>
        <w:rPr>
          <w:rStyle w:val="29"/>
          <w:rFonts w:hint="eastAsia" w:ascii="宋体" w:hAnsi="宋体" w:cs="宋体"/>
          <w:b/>
          <w:color w:val="auto"/>
          <w:highlight w:val="none"/>
        </w:rPr>
        <w:t>.</w:t>
      </w:r>
      <w:r>
        <w:rPr>
          <w:rStyle w:val="29"/>
          <w:rFonts w:hint="eastAsia" w:ascii="宋体" w:hAnsi="宋体" w:cs="宋体"/>
          <w:color w:val="auto"/>
          <w:highlight w:val="none"/>
        </w:rPr>
        <w:t>“修订”包括补充、更新、替换或重新制订（“被修订”应作相应解释）。</w:t>
      </w:r>
    </w:p>
    <w:p w14:paraId="6512D082">
      <w:pPr>
        <w:snapToGrid w:val="0"/>
        <w:spacing w:line="360" w:lineRule="auto"/>
        <w:ind w:firstLine="482" w:firstLineChars="200"/>
        <w:rPr>
          <w:rStyle w:val="29"/>
          <w:rFonts w:ascii="宋体" w:hAnsi="宋体" w:cs="宋体"/>
          <w:b/>
          <w:bCs/>
          <w:color w:val="auto"/>
          <w:sz w:val="24"/>
          <w:highlight w:val="none"/>
        </w:rPr>
      </w:pPr>
      <w:bookmarkStart w:id="24" w:name="_Toc1356061919_WPSOffice_Level1"/>
      <w:r>
        <w:rPr>
          <w:rStyle w:val="29"/>
          <w:rFonts w:hint="eastAsia" w:ascii="宋体" w:hAnsi="宋体" w:cs="宋体"/>
          <w:b/>
          <w:bCs/>
          <w:color w:val="auto"/>
          <w:sz w:val="24"/>
          <w:highlight w:val="none"/>
        </w:rPr>
        <w:t>第二条 协议适用顺序</w:t>
      </w:r>
      <w:bookmarkEnd w:id="24"/>
    </w:p>
    <w:p w14:paraId="3156BDFF">
      <w:pPr>
        <w:tabs>
          <w:tab w:val="left" w:pos="426"/>
          <w:tab w:val="left" w:pos="1276"/>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任何关于本协议内容的争议应按照下述顺序适用本协议文件予以澄清：（1）本协议；（2）协议附件。上述文件中上一序位文件与下一序位文件内容相矛盾时，应优先适用上一序位文件标准澄清本协议的规定。</w:t>
      </w:r>
    </w:p>
    <w:p w14:paraId="2EE663E9">
      <w:pPr>
        <w:snapToGrid w:val="0"/>
        <w:spacing w:line="360" w:lineRule="auto"/>
        <w:ind w:firstLine="482" w:firstLineChars="200"/>
        <w:rPr>
          <w:rStyle w:val="29"/>
          <w:rFonts w:ascii="宋体" w:hAnsi="宋体" w:cs="宋体"/>
          <w:b/>
          <w:bCs/>
          <w:color w:val="auto"/>
          <w:sz w:val="24"/>
          <w:highlight w:val="none"/>
        </w:rPr>
      </w:pPr>
      <w:bookmarkStart w:id="25" w:name="_Toc1746065524_WPSOffice_Level1"/>
      <w:r>
        <w:rPr>
          <w:rStyle w:val="29"/>
          <w:rFonts w:hint="eastAsia" w:ascii="宋体" w:hAnsi="宋体" w:cs="宋体"/>
          <w:b/>
          <w:bCs/>
          <w:color w:val="auto"/>
          <w:sz w:val="24"/>
          <w:highlight w:val="none"/>
        </w:rPr>
        <w:t>第三条 购买服务内容、范围及期限</w:t>
      </w:r>
      <w:bookmarkEnd w:id="25"/>
    </w:p>
    <w:p w14:paraId="3156CF26">
      <w:pPr>
        <w:pStyle w:val="26"/>
        <w:tabs>
          <w:tab w:val="left" w:pos="851"/>
          <w:tab w:val="left" w:pos="1701"/>
        </w:tabs>
        <w:snapToGrid w:val="0"/>
        <w:spacing w:before="0" w:after="0" w:line="360" w:lineRule="auto"/>
        <w:ind w:firstLine="480" w:firstLineChars="200"/>
        <w:rPr>
          <w:rStyle w:val="29"/>
          <w:rFonts w:ascii="宋体" w:hAnsi="宋体" w:eastAsia="宋体" w:cs="宋体"/>
          <w:b w:val="0"/>
          <w:bCs w:val="0"/>
          <w:color w:val="auto"/>
          <w:sz w:val="24"/>
          <w:szCs w:val="24"/>
          <w:highlight w:val="none"/>
        </w:rPr>
      </w:pPr>
      <w:r>
        <w:rPr>
          <w:rStyle w:val="29"/>
          <w:rFonts w:hint="eastAsia" w:ascii="宋体" w:hAnsi="宋体" w:eastAsia="宋体" w:cs="宋体"/>
          <w:b w:val="0"/>
          <w:bCs w:val="0"/>
          <w:color w:val="auto"/>
          <w:sz w:val="24"/>
          <w:szCs w:val="24"/>
          <w:highlight w:val="none"/>
        </w:rPr>
        <w:t>甲方购买乙方负责提供的</w:t>
      </w:r>
      <w:r>
        <w:rPr>
          <w:rStyle w:val="29"/>
          <w:rFonts w:hint="eastAsia" w:ascii="宋体" w:hAnsi="宋体" w:eastAsia="宋体" w:cs="宋体"/>
          <w:color w:val="auto"/>
          <w:sz w:val="24"/>
          <w:szCs w:val="24"/>
          <w:highlight w:val="none"/>
        </w:rPr>
        <w:t>海口市202</w:t>
      </w:r>
      <w:r>
        <w:rPr>
          <w:rStyle w:val="29"/>
          <w:rFonts w:hint="eastAsia" w:ascii="宋体" w:hAnsi="宋体" w:eastAsia="宋体" w:cs="宋体"/>
          <w:color w:val="auto"/>
          <w:sz w:val="24"/>
          <w:szCs w:val="24"/>
          <w:highlight w:val="none"/>
          <w:lang w:val="en-US" w:eastAsia="zh-CN"/>
        </w:rPr>
        <w:t>5</w:t>
      </w:r>
      <w:r>
        <w:rPr>
          <w:rStyle w:val="29"/>
          <w:rFonts w:hint="eastAsia" w:ascii="宋体" w:hAnsi="宋体" w:eastAsia="宋体" w:cs="宋体"/>
          <w:color w:val="auto"/>
          <w:sz w:val="24"/>
          <w:szCs w:val="24"/>
          <w:highlight w:val="none"/>
        </w:rPr>
        <w:t>-202</w:t>
      </w:r>
      <w:r>
        <w:rPr>
          <w:rStyle w:val="29"/>
          <w:rFonts w:hint="eastAsia" w:ascii="宋体" w:hAnsi="宋体" w:eastAsia="宋体" w:cs="宋体"/>
          <w:color w:val="auto"/>
          <w:sz w:val="24"/>
          <w:szCs w:val="24"/>
          <w:highlight w:val="none"/>
          <w:lang w:val="en-US" w:eastAsia="zh-CN"/>
        </w:rPr>
        <w:t>8</w:t>
      </w:r>
      <w:r>
        <w:rPr>
          <w:rStyle w:val="29"/>
          <w:rFonts w:hint="eastAsia" w:ascii="宋体" w:hAnsi="宋体" w:eastAsia="宋体" w:cs="宋体"/>
          <w:color w:val="auto"/>
          <w:sz w:val="24"/>
          <w:szCs w:val="24"/>
          <w:highlight w:val="none"/>
        </w:rPr>
        <w:t>年</w:t>
      </w:r>
      <w:r>
        <w:rPr>
          <w:rStyle w:val="29"/>
          <w:rFonts w:hint="eastAsia" w:ascii="宋体" w:hAnsi="宋体" w:eastAsia="宋体" w:cs="宋体"/>
          <w:b w:val="0"/>
          <w:bCs w:val="0"/>
          <w:color w:val="auto"/>
          <w:sz w:val="24"/>
          <w:szCs w:val="24"/>
          <w:highlight w:val="none"/>
        </w:rPr>
        <w:t>污泥处理处置政府购买服务采购包1。</w:t>
      </w:r>
    </w:p>
    <w:p w14:paraId="4676F1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（一）服务内容和范围</w:t>
      </w:r>
    </w:p>
    <w:p w14:paraId="39807725">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640"/>
        <w:jc w:val="left"/>
        <w:rPr>
          <w:rStyle w:val="29"/>
          <w:rFonts w:ascii="宋体" w:hAnsi="宋体" w:cs="宋体"/>
          <w:color w:val="auto"/>
          <w:sz w:val="24"/>
          <w:highlight w:val="none"/>
        </w:rPr>
      </w:pPr>
      <w:r>
        <w:rPr>
          <w:rFonts w:hint="eastAsia" w:ascii="宋体" w:hAnsi="宋体" w:cs="宋体"/>
          <w:b/>
          <w:bCs/>
          <w:color w:val="auto"/>
          <w:sz w:val="24"/>
          <w:highlight w:val="none"/>
        </w:rPr>
        <w:t>海口市行政辖区内</w:t>
      </w:r>
      <w:r>
        <w:rPr>
          <w:rStyle w:val="29"/>
          <w:rFonts w:hint="eastAsia" w:ascii="宋体" w:hAnsi="宋体" w:eastAsia="宋体" w:cs="宋体"/>
          <w:color w:val="auto"/>
          <w:kern w:val="2"/>
          <w:sz w:val="24"/>
          <w:szCs w:val="24"/>
          <w:highlight w:val="none"/>
          <w:lang w:val="en-US" w:eastAsia="zh-CN" w:bidi="ar-SA"/>
        </w:rPr>
        <w:t>污水处理厂 (站) 产生的污泥，包括但不限于：</w:t>
      </w:r>
      <w:r>
        <w:rPr>
          <w:rStyle w:val="29"/>
          <w:rFonts w:hint="eastAsia" w:ascii="宋体" w:hAnsi="宋体" w:eastAsia="宋体" w:cs="宋体"/>
          <w:color w:val="auto"/>
          <w:kern w:val="2"/>
          <w:sz w:val="24"/>
          <w:szCs w:val="24"/>
          <w:highlight w:val="none"/>
          <w:lang w:val="en-US" w:eastAsia="zh-Hans" w:bidi="ar-SA"/>
        </w:rPr>
        <w:t>白沙门污水处理厂(二期)、长堤路污水处理厂、丁村污水处理厂、空港地埋式水质净化中心、江东地埋式水质净化中心、美安污水处理厂、滨江西污水处理厂、狮子岭一期污水处理厂、狮子岭二期污水处理厂等9座污水处理产生的污泥，每天产泥量预估100吨至110吨，产泥含水率均等于或小于60%。以上污泥量为甲方预估，具体以实际各污水处理厂产生的污泥量为准。</w:t>
      </w:r>
      <w:r>
        <w:rPr>
          <w:rStyle w:val="29"/>
          <w:rFonts w:hint="eastAsia" w:ascii="宋体" w:hAnsi="宋体" w:cs="宋体"/>
          <w:color w:val="auto"/>
          <w:sz w:val="24"/>
          <w:highlight w:val="none"/>
        </w:rPr>
        <w:t>当有特殊情况甲方需要增减处置污泥时，乙方应无条件配合并做好处置工作。</w:t>
      </w:r>
    </w:p>
    <w:p w14:paraId="479A9A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（二）服务期限</w:t>
      </w:r>
    </w:p>
    <w:p w14:paraId="44914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本协议项目下的服务期限为：</w:t>
      </w:r>
      <w:r>
        <w:rPr>
          <w:rStyle w:val="29"/>
          <w:rFonts w:hint="eastAsia" w:ascii="宋体" w:hAnsi="宋体" w:cs="宋体"/>
          <w:color w:val="auto"/>
          <w:kern w:val="0"/>
          <w:sz w:val="24"/>
          <w:highlight w:val="none"/>
          <w:lang w:val="en-US" w:eastAsia="zh-CN"/>
        </w:rPr>
        <w:t>36</w:t>
      </w:r>
      <w:r>
        <w:rPr>
          <w:rStyle w:val="29"/>
          <w:rFonts w:hint="eastAsia" w:ascii="宋体" w:hAnsi="宋体" w:cs="宋体"/>
          <w:color w:val="auto"/>
          <w:kern w:val="0"/>
          <w:sz w:val="24"/>
          <w:highlight w:val="none"/>
        </w:rPr>
        <w:t>个月，自202</w:t>
      </w:r>
      <w:r>
        <w:rPr>
          <w:rStyle w:val="29"/>
          <w:rFonts w:hint="eastAsia" w:ascii="宋体" w:hAnsi="宋体" w:cs="宋体"/>
          <w:color w:val="auto"/>
          <w:kern w:val="0"/>
          <w:sz w:val="24"/>
          <w:highlight w:val="none"/>
          <w:lang w:val="en-US" w:eastAsia="zh-CN"/>
        </w:rPr>
        <w:t>5</w:t>
      </w:r>
      <w:r>
        <w:rPr>
          <w:rStyle w:val="29"/>
          <w:rFonts w:hint="eastAsia" w:ascii="宋体" w:hAnsi="宋体" w:cs="宋体"/>
          <w:color w:val="auto"/>
          <w:kern w:val="0"/>
          <w:sz w:val="24"/>
          <w:highlight w:val="none"/>
        </w:rPr>
        <w:t>年</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月</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日起至202</w:t>
      </w:r>
      <w:r>
        <w:rPr>
          <w:rStyle w:val="29"/>
          <w:rFonts w:hint="eastAsia" w:ascii="宋体" w:hAnsi="宋体" w:cs="宋体"/>
          <w:color w:val="auto"/>
          <w:kern w:val="0"/>
          <w:sz w:val="24"/>
          <w:highlight w:val="none"/>
          <w:lang w:val="en-US" w:eastAsia="zh-CN"/>
        </w:rPr>
        <w:t>8</w:t>
      </w:r>
      <w:r>
        <w:rPr>
          <w:rStyle w:val="29"/>
          <w:rFonts w:hint="eastAsia" w:ascii="宋体" w:hAnsi="宋体" w:cs="宋体"/>
          <w:color w:val="auto"/>
          <w:kern w:val="0"/>
          <w:sz w:val="24"/>
          <w:highlight w:val="none"/>
        </w:rPr>
        <w:t>年</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月</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日止（若</w:t>
      </w:r>
      <w:r>
        <w:rPr>
          <w:rFonts w:hint="eastAsia" w:ascii="宋体" w:hAnsi="宋体" w:cs="宋体"/>
          <w:color w:val="auto"/>
          <w:sz w:val="24"/>
          <w:highlight w:val="none"/>
        </w:rPr>
        <w:t>开始时间与甲方向乙方发函开始进行污泥处置之日不一致的,则以甲方向乙方发函开始进行污泥处置之日起算</w:t>
      </w:r>
      <w:r>
        <w:rPr>
          <w:rStyle w:val="29"/>
          <w:rFonts w:hint="eastAsia" w:ascii="宋体" w:hAnsi="宋体" w:cs="宋体"/>
          <w:color w:val="auto"/>
          <w:kern w:val="0"/>
          <w:sz w:val="24"/>
          <w:highlight w:val="none"/>
        </w:rPr>
        <w:t>）。本协议服务期限届满前三个月双方可协商签订补充合同，如甲方需追加与本协议约定相同的服务，在不改变本协议其他条款的前提下，甲乙双方可以协商签订补充合同，但补充合同的采购金额不得超过原合同采购金额的百分之十。</w:t>
      </w:r>
    </w:p>
    <w:p w14:paraId="1A9697D5">
      <w:pPr>
        <w:snapToGrid w:val="0"/>
        <w:spacing w:beforeLines="50" w:line="360" w:lineRule="auto"/>
        <w:ind w:firstLine="482" w:firstLineChars="200"/>
        <w:rPr>
          <w:rStyle w:val="29"/>
          <w:rFonts w:ascii="宋体" w:hAnsi="宋体" w:cs="宋体"/>
          <w:b/>
          <w:bCs/>
          <w:color w:val="auto"/>
          <w:sz w:val="24"/>
          <w:highlight w:val="none"/>
        </w:rPr>
      </w:pPr>
      <w:bookmarkStart w:id="26" w:name="_Toc91159552_WPSOffice_Level1"/>
      <w:r>
        <w:rPr>
          <w:rStyle w:val="29"/>
          <w:rFonts w:hint="eastAsia" w:ascii="宋体" w:hAnsi="宋体" w:cs="宋体"/>
          <w:b/>
          <w:bCs/>
          <w:color w:val="auto"/>
          <w:sz w:val="24"/>
          <w:highlight w:val="none"/>
        </w:rPr>
        <w:t>第四条 污泥处理处置标准和技术要求</w:t>
      </w:r>
      <w:bookmarkEnd w:id="26"/>
    </w:p>
    <w:p w14:paraId="3F5A07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hint="eastAsia" w:ascii="宋体" w:hAnsi="宋体" w:cs="宋体"/>
          <w:color w:val="auto"/>
          <w:kern w:val="0"/>
          <w:sz w:val="24"/>
          <w:highlight w:val="none"/>
        </w:rPr>
      </w:pPr>
      <w:r>
        <w:rPr>
          <w:rStyle w:val="29"/>
          <w:rFonts w:hint="eastAsia" w:ascii="宋体" w:hAnsi="宋体" w:cs="宋体"/>
          <w:color w:val="auto"/>
          <w:kern w:val="0"/>
          <w:sz w:val="24"/>
          <w:highlight w:val="none"/>
        </w:rPr>
        <w:t>（一）持续解决海口市市政污水处理厂污泥进行安全处置工作减量化、无害化、稳定化处理处置，处置方式符合《中华人民共和国固体废物污染环境防治法》以及国家及地方有关污泥处置处理的法规及要求，项目实施过程中如有新颁布的标准或方法的，乙方将无条件按照新标准、新规范执行，相关标准也作为验收标准使用。确保安全稳定有序处置。</w:t>
      </w:r>
    </w:p>
    <w:p w14:paraId="13D157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hint="eastAsia" w:ascii="宋体" w:hAnsi="宋体" w:cs="宋体"/>
          <w:color w:val="auto"/>
          <w:kern w:val="0"/>
          <w:sz w:val="24"/>
          <w:highlight w:val="none"/>
        </w:rPr>
      </w:pPr>
      <w:r>
        <w:rPr>
          <w:rStyle w:val="29"/>
          <w:rFonts w:hint="eastAsia" w:ascii="宋体" w:hAnsi="宋体" w:cs="宋体"/>
          <w:color w:val="auto"/>
          <w:kern w:val="0"/>
          <w:sz w:val="24"/>
          <w:highlight w:val="none"/>
        </w:rPr>
        <w:t>（二）污泥处置能力每日不低于</w:t>
      </w:r>
      <w:r>
        <w:rPr>
          <w:rStyle w:val="29"/>
          <w:rFonts w:hint="eastAsia" w:ascii="宋体" w:hAnsi="宋体" w:cs="宋体"/>
          <w:color w:val="auto"/>
          <w:kern w:val="0"/>
          <w:sz w:val="24"/>
          <w:highlight w:val="none"/>
          <w:lang w:val="en-US" w:eastAsia="zh-CN"/>
        </w:rPr>
        <w:t>110</w:t>
      </w:r>
      <w:r>
        <w:rPr>
          <w:rStyle w:val="29"/>
          <w:rFonts w:hint="eastAsia" w:ascii="宋体" w:hAnsi="宋体" w:cs="宋体"/>
          <w:color w:val="auto"/>
          <w:kern w:val="0"/>
          <w:sz w:val="24"/>
          <w:highlight w:val="none"/>
        </w:rPr>
        <w:t>吨。（并承诺根据海口市污泥产生量情况，污泥处置能力可能不足时，应该根据采购人要求无条件新增处理处置能力，以确保海口市污水处理设施污泥得到安全化、无害化处置）</w:t>
      </w:r>
    </w:p>
    <w:p w14:paraId="383CD051">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（三）乙方安排专人进行现场指挥管理，保证污泥处置场地道路平整，能够满足昼夜污泥运输安全条件（夜间照明、围挡设置或者警示标志等）。</w:t>
      </w:r>
    </w:p>
    <w:p w14:paraId="1298C674">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（四）乙方安排专职人员进行计量登记，建立污泥处置台账，对污泥由进厂到出厂全过程进行管理及记录，按照“一车一单”、“逐车称重”的要求如实记录。</w:t>
      </w:r>
    </w:p>
    <w:p w14:paraId="4DEBE6BC">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（五）污泥处置最终去向确定：乙方须每月向甲方提供污泥处理处置台账和最终成品去向清单，建立完善的记录、存档和报告制度。</w:t>
      </w:r>
    </w:p>
    <w:p w14:paraId="0C1AC322">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（六）污泥转运过程安全有序，符合《城镇污水处理厂污泥处理处置技术指南》等相关要求，确保处置工作安全、环保、有效。</w:t>
      </w:r>
    </w:p>
    <w:p w14:paraId="1D1B6462">
      <w:pPr>
        <w:snapToGrid w:val="0"/>
        <w:spacing w:line="360" w:lineRule="auto"/>
        <w:ind w:firstLine="482" w:firstLineChars="200"/>
        <w:rPr>
          <w:rStyle w:val="29"/>
          <w:rFonts w:ascii="宋体" w:hAnsi="宋体" w:cs="宋体"/>
          <w:b/>
          <w:bCs/>
          <w:color w:val="auto"/>
          <w:sz w:val="24"/>
          <w:highlight w:val="none"/>
        </w:rPr>
      </w:pPr>
      <w:bookmarkStart w:id="27" w:name="_Toc409993279_WPSOffice_Level1"/>
      <w:r>
        <w:rPr>
          <w:rStyle w:val="29"/>
          <w:rFonts w:hint="eastAsia" w:ascii="宋体" w:hAnsi="宋体" w:cs="宋体"/>
          <w:b/>
          <w:bCs/>
          <w:color w:val="auto"/>
          <w:sz w:val="24"/>
          <w:highlight w:val="none"/>
        </w:rPr>
        <w:t>第五条</w:t>
      </w:r>
      <w:r>
        <w:rPr>
          <w:rStyle w:val="29"/>
          <w:rFonts w:hint="eastAsia" w:ascii="宋体" w:hAnsi="宋体" w:cs="宋体"/>
          <w:b/>
          <w:bCs/>
          <w:color w:val="auto"/>
          <w:sz w:val="24"/>
          <w:highlight w:val="none"/>
          <w:lang w:val="en-US" w:eastAsia="zh-CN"/>
        </w:rPr>
        <w:t xml:space="preserve"> </w:t>
      </w:r>
      <w:r>
        <w:rPr>
          <w:rStyle w:val="29"/>
          <w:rFonts w:hint="eastAsia" w:ascii="宋体" w:hAnsi="宋体" w:cs="宋体"/>
          <w:b/>
          <w:bCs/>
          <w:color w:val="auto"/>
          <w:sz w:val="24"/>
          <w:highlight w:val="none"/>
        </w:rPr>
        <w:t>服务费用及支付方式</w:t>
      </w:r>
      <w:bookmarkEnd w:id="27"/>
    </w:p>
    <w:p w14:paraId="1841948A">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（一）污泥处理处置服务费单价</w:t>
      </w:r>
    </w:p>
    <w:p w14:paraId="72E5B98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污泥处理处置单价为人民币</w:t>
      </w:r>
      <w:r>
        <w:rPr>
          <w:rStyle w:val="29"/>
          <w:rFonts w:hint="eastAsia" w:ascii="宋体" w:hAnsi="宋体" w:eastAsia="宋体" w:cs="宋体"/>
          <w:b w:val="0"/>
          <w:bCs w:val="0"/>
          <w:color w:val="auto"/>
          <w:sz w:val="24"/>
          <w:szCs w:val="24"/>
          <w:highlight w:val="none"/>
          <w:lang w:val="en-US" w:eastAsia="zh"/>
        </w:rPr>
        <w:t>xx</w:t>
      </w:r>
      <w:r>
        <w:rPr>
          <w:rStyle w:val="29"/>
          <w:rFonts w:hint="eastAsia" w:ascii="宋体" w:hAnsi="宋体" w:cs="宋体"/>
          <w:color w:val="auto"/>
          <w:sz w:val="24"/>
          <w:highlight w:val="none"/>
        </w:rPr>
        <w:t>元/吨，该污泥处置费包括且不限于处理本项目污泥收集、运输、处理和处置，污泥相关的各类设备费、污泥收集储存处置费、环保处理费、管理费、过磅费、保险费、员工服装费、员工工资、税费、证件办理费、利润等以及一切不可预见费用。</w:t>
      </w:r>
    </w:p>
    <w:p w14:paraId="0A6DBE92">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（二）污泥的计量</w:t>
      </w:r>
    </w:p>
    <w:p w14:paraId="3A9FF9F2">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乙双方以项目厂区的地磅称重设施所测量的进厂污泥车重量，计算乙方实际处理污泥量：计算方式为地磅称重时，污泥运输车辆总重量减去车辆净重，得出的结果便是污泥重量；并如实填写《污泥转移联单（五联单）》。</w:t>
      </w:r>
    </w:p>
    <w:p w14:paraId="4297939A">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地磅按质检部门有关标准每年进行年检校准，年检结果须送达甲方，并安装“一备一用”录像监控设施进行监控，乙方应当确保该等监控设施完好并正常运作，在出现其中一套监控设施无法正常运作时，应立即改用备用设施进行监控（台账要求存档3年以上）。</w:t>
      </w:r>
    </w:p>
    <w:p w14:paraId="5FEFF387">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2.服务期内，甲方可派驻人员专门对污泥计量进行监督，乙方应给予支持和配合。</w:t>
      </w:r>
    </w:p>
    <w:p w14:paraId="20C9D437">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各方应依照上述约定，由甲方核定上月乙方处理污泥的结算数量。</w:t>
      </w:r>
    </w:p>
    <w:p w14:paraId="1D718D5F">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（三）污泥处理处置服务费计算和支付</w:t>
      </w:r>
    </w:p>
    <w:p w14:paraId="35B7BBB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1.污泥处理处置服务费的计算</w:t>
      </w:r>
    </w:p>
    <w:p w14:paraId="2298B2F1">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本项目的污泥处理处置服务费按月支付：</w:t>
      </w:r>
    </w:p>
    <w:p w14:paraId="508C3FCE">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当日处理处置污泥的服务费=污泥处理处置单价×污泥当日合格处置量。</w:t>
      </w:r>
    </w:p>
    <w:p w14:paraId="09A2B2BE">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2.污泥处理处置费的支付</w:t>
      </w:r>
    </w:p>
    <w:p w14:paraId="70A6D954">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乙方于每月10日前将上月的《污泥转移联单（五联单）》和过磅单等原始资料、月度污泥处置工作报告，污泥处理处置服务费支付申请报告及相关材料提交甲方或甲方指定的第三方机构审核，以此作为支付污泥处置费用的重要依据。</w:t>
      </w:r>
    </w:p>
    <w:p w14:paraId="114E1FDF">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（2）甲方在收到乙方递交的支付申请报告之日（“支付申请单日”）后，在</w:t>
      </w:r>
      <w:r>
        <w:rPr>
          <w:rStyle w:val="29"/>
          <w:rFonts w:hint="eastAsia" w:ascii="宋体" w:hAnsi="宋体" w:cs="宋体"/>
          <w:color w:val="auto"/>
          <w:sz w:val="24"/>
          <w:highlight w:val="none"/>
          <w:lang w:val="en-US" w:eastAsia="zh"/>
        </w:rPr>
        <w:t>10</w:t>
      </w:r>
      <w:r>
        <w:rPr>
          <w:rStyle w:val="29"/>
          <w:rFonts w:hint="eastAsia" w:ascii="宋体" w:hAnsi="宋体" w:cs="宋体"/>
          <w:color w:val="auto"/>
          <w:sz w:val="24"/>
          <w:highlight w:val="none"/>
        </w:rPr>
        <w:t>个工作日内进行支付报告的审核，审核无异议由甲方向财政部门申请资金，财政资金下达且乙方出具相应金额发票后，甲方在15个工作日内完成污泥处理处置服务费的支付。</w:t>
      </w:r>
    </w:p>
    <w:p w14:paraId="5268C055">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甲方对支付申请单如有任何异议，应在收到支付申请报告后五（5）个工作日内通知乙方。如果无故未发出通知，有关的支付申请单应视为无异议。对于无异议部分的污泥处理处置量,甲方应按第五条第（三）款约定向乙方支付污泥处理处置服务费；异议部分的污泥处理处置服务费在争议解决后，确应由甲方支付的，甲方在下月支付污泥处理处置服务费时一并支付。</w:t>
      </w:r>
    </w:p>
    <w:p w14:paraId="1924D68A">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如果甲方对支付申请报告的任何部分有异议，乙方应当给予解答，各方应为解决异议进行协商。</w:t>
      </w:r>
    </w:p>
    <w:p w14:paraId="6B4C3AE2">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（4）甲方应按本协议约定，按时将污泥处理处置费支付至乙方提供的以下银行账户（如账户变化再做调整）：</w:t>
      </w:r>
    </w:p>
    <w:p w14:paraId="5EDC377A">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u w:val="single"/>
        </w:rPr>
        <w:t>账户名称：</w:t>
      </w:r>
    </w:p>
    <w:p w14:paraId="2D96ED2F">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u w:val="single"/>
        </w:rPr>
        <w:t>开户行：</w:t>
      </w:r>
    </w:p>
    <w:p w14:paraId="24D9F645">
      <w:pPr>
        <w:spacing w:line="360" w:lineRule="auto"/>
        <w:ind w:firstLine="480" w:firstLineChars="200"/>
        <w:rPr>
          <w:rStyle w:val="29"/>
          <w:rFonts w:ascii="宋体" w:hAnsi="宋体" w:cs="宋体"/>
          <w:color w:val="auto"/>
          <w:sz w:val="24"/>
          <w:highlight w:val="none"/>
        </w:rPr>
      </w:pPr>
      <w:r>
        <w:rPr>
          <w:rFonts w:hint="eastAsia" w:ascii="宋体" w:hAnsi="宋体" w:cs="宋体"/>
          <w:color w:val="auto"/>
          <w:sz w:val="24"/>
          <w:highlight w:val="none"/>
          <w:u w:val="single"/>
        </w:rPr>
        <w:t>账号：</w:t>
      </w:r>
    </w:p>
    <w:p w14:paraId="504F75FB">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5）因甲方的上级主管部门或政府主管部门未能及时拨付资金造成甲方未能按本合同约定时间和进度支付污泥处理处置费的，不视为甲方违约，甲方无需承担任何违约责任，亦无需向乙方支付违约金、滞纳金或者利息等任何形式的违约补偿。</w:t>
      </w:r>
    </w:p>
    <w:p w14:paraId="7DC63B04">
      <w:pPr>
        <w:snapToGrid w:val="0"/>
        <w:spacing w:line="360" w:lineRule="auto"/>
        <w:ind w:firstLine="482" w:firstLineChars="200"/>
        <w:rPr>
          <w:rStyle w:val="29"/>
          <w:rFonts w:ascii="宋体" w:hAnsi="宋体" w:cs="宋体"/>
          <w:b/>
          <w:bCs/>
          <w:color w:val="auto"/>
          <w:sz w:val="24"/>
          <w:highlight w:val="none"/>
        </w:rPr>
      </w:pPr>
      <w:bookmarkStart w:id="28" w:name="_Toc527417052_WPSOffice_Level1"/>
      <w:r>
        <w:rPr>
          <w:rStyle w:val="29"/>
          <w:rFonts w:hint="eastAsia" w:ascii="宋体" w:hAnsi="宋体" w:cs="宋体"/>
          <w:b/>
          <w:bCs/>
          <w:color w:val="auto"/>
          <w:sz w:val="24"/>
          <w:highlight w:val="none"/>
        </w:rPr>
        <w:t>第六条 服务质量的保障措施</w:t>
      </w:r>
      <w:bookmarkEnd w:id="28"/>
    </w:p>
    <w:p w14:paraId="2328E844">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应在项目协议履行过程中采取一切必要措施保障其所提供的服务符合服务质量标准，如乙方处理处置未达到本合同有关污泥处理处置的标准，甲方有权拒付未达到本合同有关污泥处理处置的标准的处理处置费用。如果由于不可抗力、项目技改或工艺升级改造等原因无法处理处置污泥，不能保障服务事项的质量，乙方应及时书面通知甲方，并尽快启动应急措施。</w:t>
      </w:r>
    </w:p>
    <w:p w14:paraId="10FAEF69">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（二）甲方有权在乙方提供服务的过程中，在不影响乙方正常运营的前提下，对乙方的计量、运输、及污泥的处理处置等内容予以定期或不定期检查。</w:t>
      </w:r>
    </w:p>
    <w:p w14:paraId="124AC95F">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（三）甲方对项目服务检查的结果应以书面形式通知乙方。乙方如果对甲方的检查结果有异议，应在</w:t>
      </w:r>
      <w:r>
        <w:rPr>
          <w:rStyle w:val="29"/>
          <w:rFonts w:hint="eastAsia" w:ascii="宋体" w:hAnsi="宋体" w:cs="宋体"/>
          <w:color w:val="auto"/>
          <w:sz w:val="24"/>
          <w:highlight w:val="none"/>
          <w:u w:val="single" w:color="000000"/>
        </w:rPr>
        <w:t>七（7）</w:t>
      </w:r>
      <w:r>
        <w:rPr>
          <w:rStyle w:val="29"/>
          <w:rFonts w:hint="eastAsia" w:ascii="宋体" w:hAnsi="宋体" w:cs="宋体"/>
          <w:color w:val="auto"/>
          <w:sz w:val="24"/>
          <w:highlight w:val="none"/>
        </w:rPr>
        <w:t>个工作日内向甲方提出书面说明。甲方有权依据服务检查结果通知乙方停止履行本协议规定的有关服务。如果甲方没有通知乙方停止履行协议义务，乙方应继续向甲方提供所规定的有关服务，甲方也应按照本协议规定履行相应义务。双方有关服务检查结果的争议由双方协商解决，协商不成的可以按照本协议规定的争议解决方式解决。</w:t>
      </w:r>
    </w:p>
    <w:p w14:paraId="626A9C13">
      <w:pPr>
        <w:snapToGrid w:val="0"/>
        <w:spacing w:line="360" w:lineRule="auto"/>
        <w:ind w:firstLine="482" w:firstLineChars="200"/>
        <w:rPr>
          <w:rStyle w:val="29"/>
          <w:rFonts w:ascii="宋体" w:hAnsi="宋体" w:cs="宋体"/>
          <w:b/>
          <w:bCs/>
          <w:color w:val="auto"/>
          <w:sz w:val="24"/>
          <w:highlight w:val="none"/>
        </w:rPr>
      </w:pPr>
      <w:bookmarkStart w:id="29" w:name="_Toc1907463356_WPSOffice_Level1"/>
      <w:r>
        <w:rPr>
          <w:rStyle w:val="29"/>
          <w:rFonts w:hint="eastAsia" w:ascii="宋体" w:hAnsi="宋体" w:cs="宋体"/>
          <w:b/>
          <w:bCs/>
          <w:color w:val="auto"/>
          <w:sz w:val="24"/>
          <w:highlight w:val="none"/>
        </w:rPr>
        <w:t>第七条 甲方的陈述和保证</w:t>
      </w:r>
      <w:bookmarkEnd w:id="29"/>
    </w:p>
    <w:p w14:paraId="4CDE9D89">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（一）甲方已经获得海口市人民政府的有效授权，负责购买本协议所规定的各项服务，并代表海口市人民政府与乙方签署本协议。</w:t>
      </w:r>
    </w:p>
    <w:p w14:paraId="554B17B6">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已清楚地知晓本协议约定的权利、义务和责任。甲方保证：本协议一经签署，即形成对签约方有效的、合法的、有约束力的义务和责任，并按其条款依照适用法律对签约方有强制执行力。因此，甲方承诺：甲方将严格履行本协议条款约定的义务和责任，并享有本协议条款约定的权利和利益；如有违约，甲方将按本协议条款的约定承担违约责任，并依约向乙方赔偿经济损失；乙方有权根据本协议的约定依法向甲方提出索赔。</w:t>
      </w:r>
    </w:p>
    <w:p w14:paraId="47140CE2">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（三）甲方保证本协议涉及的财政支出责任已经按照相关法律规定获得必备的批准及授权。在服务期内，乙方已按本协议约定履行提供服务，甲方将严格按照本协议约定时间支付对应款项。</w:t>
      </w:r>
    </w:p>
    <w:p w14:paraId="214D1FDB">
      <w:pPr>
        <w:snapToGrid w:val="0"/>
        <w:spacing w:line="360" w:lineRule="auto"/>
        <w:ind w:firstLine="482" w:firstLineChars="200"/>
        <w:rPr>
          <w:rStyle w:val="29"/>
          <w:rFonts w:ascii="宋体" w:hAnsi="宋体" w:cs="宋体"/>
          <w:b/>
          <w:bCs/>
          <w:color w:val="auto"/>
          <w:sz w:val="24"/>
          <w:highlight w:val="none"/>
        </w:rPr>
      </w:pPr>
      <w:bookmarkStart w:id="30" w:name="_Toc1606778224_WPSOffice_Level1"/>
      <w:r>
        <w:rPr>
          <w:rStyle w:val="29"/>
          <w:rFonts w:hint="eastAsia" w:ascii="宋体" w:hAnsi="宋体" w:cs="宋体"/>
          <w:b/>
          <w:bCs/>
          <w:color w:val="auto"/>
          <w:sz w:val="24"/>
          <w:highlight w:val="none"/>
        </w:rPr>
        <w:t>第八条 乙方的陈述和保证</w:t>
      </w:r>
      <w:bookmarkEnd w:id="30"/>
    </w:p>
    <w:p w14:paraId="4CBA21D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（一）乙方为依法设立、有独立承担民事责任的能力的法人。</w:t>
      </w:r>
    </w:p>
    <w:p w14:paraId="11798155">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乙方已清楚地知晓本协议约定的权利、义务和责任。乙方保证：本协议一经签署，即形成对签约方有效的、合法的、有约束力的义务和责任，并按其条款依照适用法律对签约方有强制执行力。因此，乙方承诺：乙方将严格履行本协议条款约定的义务和责任，并享有本协议条款约定的权利和利益；如有违约，乙方将按本协议条款的约定承担违约责任，并依约向甲方赔偿经济损失；甲方有权根据本协议的约定依法向乙方提出索赔。</w:t>
      </w:r>
    </w:p>
    <w:p w14:paraId="2B85344F">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（三）乙方保证其向甲方提供的信息是真实、准确和完整的。</w:t>
      </w:r>
    </w:p>
    <w:p w14:paraId="4D189A1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将科学合理地制定项目年度经营计划，按照适用法律和本协议及附件规定组织项目的安全生产；完善污泥处理及处置方案、运输方案、投入本项目设施设备、项目组人员配备情况、应急处理方案、进度计划方案、管理方案和管理制度等。</w:t>
      </w:r>
    </w:p>
    <w:p w14:paraId="2BB6D59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乙方将根据本协议的规定，自行承担费用、责任和风险，负责项目设施的运营、维护和更新改造，保证按照适用法律、本协议和谨慎运营惯例运营项目设施，使其处于良好的运营状况并能在项目设计运营参数范围内安全稳定地处理污泥。</w:t>
      </w:r>
    </w:p>
    <w:p w14:paraId="0831EBB9">
      <w:pPr>
        <w:tabs>
          <w:tab w:val="left" w:pos="851"/>
          <w:tab w:val="left" w:pos="1701"/>
        </w:tabs>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（六）乙方向甲方或海口市人民政府提供的所有文件资料真实、准确、完整，向甲方作出的所有陈述和保证在本协议有效期内真实有效。</w:t>
      </w:r>
    </w:p>
    <w:p w14:paraId="4F77A61C">
      <w:pPr>
        <w:tabs>
          <w:tab w:val="left" w:pos="851"/>
          <w:tab w:val="left" w:pos="1701"/>
        </w:tabs>
        <w:snapToGrid w:val="0"/>
        <w:spacing w:line="360" w:lineRule="auto"/>
        <w:ind w:firstLine="480" w:firstLineChars="200"/>
        <w:rPr>
          <w:rStyle w:val="29"/>
          <w:rFonts w:hint="eastAsia" w:ascii="宋体" w:hAnsi="宋体" w:cs="宋体"/>
          <w:color w:val="auto"/>
          <w:sz w:val="24"/>
          <w:highlight w:val="none"/>
          <w:lang w:eastAsia="zh-CN"/>
        </w:rPr>
      </w:pPr>
      <w:r>
        <w:rPr>
          <w:rStyle w:val="29"/>
          <w:rFonts w:hint="eastAsia" w:ascii="宋体" w:hAnsi="宋体" w:cs="宋体"/>
          <w:color w:val="auto"/>
          <w:sz w:val="24"/>
          <w:highlight w:val="none"/>
        </w:rPr>
        <w:t>（</w:t>
      </w:r>
      <w:r>
        <w:rPr>
          <w:rStyle w:val="29"/>
          <w:rFonts w:hint="eastAsia" w:ascii="宋体" w:hAnsi="宋体" w:cs="宋体"/>
          <w:color w:val="auto"/>
          <w:sz w:val="24"/>
          <w:highlight w:val="none"/>
          <w:lang w:eastAsia="zh-CN"/>
        </w:rPr>
        <w:t>七</w:t>
      </w:r>
      <w:r>
        <w:rPr>
          <w:rStyle w:val="29"/>
          <w:rFonts w:hint="eastAsia" w:ascii="宋体" w:hAnsi="宋体" w:cs="宋体"/>
          <w:color w:val="auto"/>
          <w:sz w:val="24"/>
          <w:highlight w:val="none"/>
        </w:rPr>
        <w:t>）乙方</w:t>
      </w:r>
      <w:r>
        <w:rPr>
          <w:rStyle w:val="29"/>
          <w:rFonts w:hint="eastAsia" w:ascii="宋体" w:hAnsi="宋体" w:cs="宋体"/>
          <w:color w:val="auto"/>
          <w:sz w:val="24"/>
          <w:highlight w:val="none"/>
          <w:lang w:eastAsia="zh-CN"/>
        </w:rPr>
        <w:t>应于</w:t>
      </w:r>
      <w:r>
        <w:rPr>
          <w:rStyle w:val="29"/>
          <w:rFonts w:hint="eastAsia" w:ascii="宋体" w:hAnsi="宋体" w:cs="宋体"/>
          <w:color w:val="auto"/>
          <w:sz w:val="24"/>
          <w:highlight w:val="none"/>
        </w:rPr>
        <w:t>2025年9月10日前取得环境影响评价批复等相关污泥处置手续文件</w:t>
      </w:r>
      <w:r>
        <w:rPr>
          <w:rStyle w:val="29"/>
          <w:rFonts w:hint="eastAsia" w:ascii="宋体" w:hAnsi="宋体" w:cs="宋体"/>
          <w:color w:val="auto"/>
          <w:sz w:val="24"/>
          <w:highlight w:val="none"/>
          <w:lang w:eastAsia="zh-CN"/>
        </w:rPr>
        <w:t>，否则甲方有权解除协议。</w:t>
      </w:r>
    </w:p>
    <w:p w14:paraId="32456F5F">
      <w:pPr>
        <w:snapToGrid w:val="0"/>
        <w:spacing w:line="360" w:lineRule="auto"/>
        <w:ind w:firstLine="482" w:firstLineChars="200"/>
        <w:rPr>
          <w:rStyle w:val="29"/>
          <w:rFonts w:ascii="宋体" w:hAnsi="宋体" w:cs="宋体"/>
          <w:b/>
          <w:bCs/>
          <w:color w:val="auto"/>
          <w:sz w:val="24"/>
          <w:highlight w:val="none"/>
        </w:rPr>
      </w:pPr>
      <w:bookmarkStart w:id="31" w:name="_Toc1105073895_WPSOffice_Level1"/>
      <w:r>
        <w:rPr>
          <w:rStyle w:val="29"/>
          <w:rFonts w:hint="eastAsia" w:ascii="宋体" w:hAnsi="宋体" w:cs="宋体"/>
          <w:b/>
          <w:bCs/>
          <w:color w:val="auto"/>
          <w:sz w:val="24"/>
          <w:highlight w:val="none"/>
        </w:rPr>
        <w:t>第九条 甲方的权利和义务</w:t>
      </w:r>
      <w:bookmarkEnd w:id="31"/>
    </w:p>
    <w:p w14:paraId="0D570C3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（一）甲方有权要求乙方在对污泥进行处理处置的过程中遵守国家相关法律法规。</w:t>
      </w:r>
    </w:p>
    <w:p w14:paraId="1293760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（二）甲方有权对乙方污泥处理处置量实施监督，有权进入项目厂区。</w:t>
      </w:r>
    </w:p>
    <w:p w14:paraId="00F6045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（三）甲方有权要求乙方配合，迎接主管部门的检查、调研和业务指导。</w:t>
      </w:r>
    </w:p>
    <w:p w14:paraId="78052C52">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（四）甲方对乙方违反本协议要求的行为，有权提出书面的整改要求。</w:t>
      </w:r>
    </w:p>
    <w:p w14:paraId="3DBF567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（五）甲方有权要求乙方提供与污泥处置有关的污泥量资料及相关检测报告。</w:t>
      </w:r>
    </w:p>
    <w:p w14:paraId="7A01747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（六）甲方应根据本协议的规定按时向乙方支付污泥处理处置服务费。</w:t>
      </w:r>
    </w:p>
    <w:p w14:paraId="47026D7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（七）甲方有权或委托有资质的监测机构对乙方的检测程序、仪器、设备和结果进行检查和检测。</w:t>
      </w:r>
    </w:p>
    <w:p w14:paraId="253AC8C2">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（八）甲方不干预乙方的经营行为，但是依据适用法律和本协议的规定履行其法定权利或对乙方进行监督检查的除外。</w:t>
      </w:r>
    </w:p>
    <w:p w14:paraId="39A586B5">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（九）在乙方遵守协议的前提下，甲方应确保本协议不被无故中止。</w:t>
      </w:r>
    </w:p>
    <w:p w14:paraId="39FCC2D7">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（十）乙方依法享受国家相关的各种优惠政策，甲方协助乙方办理相关手续。</w:t>
      </w:r>
    </w:p>
    <w:p w14:paraId="7913A0A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（十一）甲方应积极协调海口市政府相关部门及行政辖区各污水厂，配合乙方顺利实施污泥收集及运输。</w:t>
      </w:r>
    </w:p>
    <w:p w14:paraId="30FB430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（十二）甲方行使并履行法律、法规、当地政府的政策文件及本协议约定的其他权利和义务。</w:t>
      </w:r>
    </w:p>
    <w:p w14:paraId="3CA9063A">
      <w:pPr>
        <w:pStyle w:val="21"/>
        <w:spacing w:after="0" w:line="360" w:lineRule="auto"/>
        <w:ind w:left="0" w:leftChars="0" w:firstLine="480" w:firstLineChars="200"/>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十三）甲方有权根据海口市实际情况调增或调减本协议服务的污水处理厂数量或范围，乙方必须无条件服从调配，但甲方需事先书面通知乙方，且调配的污泥不得超出乙方的处理能力，该处理能力包括污泥处置质量、数量等。</w:t>
      </w:r>
    </w:p>
    <w:p w14:paraId="47DA7C04">
      <w:pPr>
        <w:pStyle w:val="21"/>
        <w:spacing w:after="0" w:line="360" w:lineRule="auto"/>
        <w:ind w:left="0" w:leftChars="0" w:firstLine="480" w:firstLineChars="200"/>
        <w:rPr>
          <w:rFonts w:ascii="宋体" w:hAnsi="宋体" w:cs="宋体"/>
          <w:color w:val="auto"/>
          <w:sz w:val="24"/>
          <w:szCs w:val="24"/>
          <w:highlight w:val="none"/>
        </w:rPr>
      </w:pPr>
    </w:p>
    <w:p w14:paraId="4C58EFEF">
      <w:pPr>
        <w:snapToGrid w:val="0"/>
        <w:spacing w:line="360" w:lineRule="auto"/>
        <w:ind w:firstLine="482" w:firstLineChars="200"/>
        <w:rPr>
          <w:rStyle w:val="29"/>
          <w:rFonts w:ascii="宋体" w:hAnsi="宋体" w:cs="宋体"/>
          <w:b/>
          <w:bCs/>
          <w:color w:val="auto"/>
          <w:sz w:val="24"/>
          <w:highlight w:val="none"/>
        </w:rPr>
      </w:pPr>
      <w:bookmarkStart w:id="32" w:name="_Toc1812542002_WPSOffice_Level1"/>
      <w:r>
        <w:rPr>
          <w:rStyle w:val="29"/>
          <w:rFonts w:hint="eastAsia" w:ascii="宋体" w:hAnsi="宋体" w:cs="宋体"/>
          <w:b/>
          <w:bCs/>
          <w:color w:val="auto"/>
          <w:sz w:val="24"/>
          <w:highlight w:val="none"/>
        </w:rPr>
        <w:t>第十条 乙方的权利和义务</w:t>
      </w:r>
      <w:bookmarkEnd w:id="32"/>
    </w:p>
    <w:p w14:paraId="72AC95A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（一）在国家法律、政策范围内，乙方有权建立以经营者为首的生产经营管理制度正确行使生产经营权和经营管理自主权。</w:t>
      </w:r>
    </w:p>
    <w:p w14:paraId="1A11372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（二）按本协议的约定对污泥进行处理处置，按时足额收取污泥处理处置费。</w:t>
      </w:r>
    </w:p>
    <w:p w14:paraId="138F7CD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（三）在保证正常运行质量的前提下，优化污泥处置的运行工艺及决定内部行政事务。</w:t>
      </w:r>
    </w:p>
    <w:p w14:paraId="41D57CB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（四）乙方拥有充分的经营自主权，依法自主决定生产经营中的一切事项，但适用法律有特别规定或本协议另有约定的除外。</w:t>
      </w:r>
    </w:p>
    <w:p w14:paraId="1176CD1A">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乙方应依照适用法律和本协议的约定，接受甲方和其他政府部门的监管，配合甲方履行上述监督管理权利提供便利的工作条件，服从社会公共利益，履行对社会公益性事业所应尽的义务和服务，同时无条件服从甲方根据污泥处置工作实际情况调配泥量，运输车辆也要符合相关规定并服从</w:t>
      </w:r>
      <w:r>
        <w:rPr>
          <w:rStyle w:val="29"/>
          <w:rFonts w:hint="eastAsia" w:ascii="宋体" w:hAnsi="宋体" w:cs="宋体"/>
          <w:color w:val="auto"/>
          <w:sz w:val="24"/>
          <w:highlight w:val="none"/>
          <w:lang w:eastAsia="zh-CN"/>
        </w:rPr>
        <w:t>甲方</w:t>
      </w:r>
      <w:r>
        <w:rPr>
          <w:rStyle w:val="29"/>
          <w:rFonts w:hint="eastAsia" w:ascii="宋体" w:hAnsi="宋体" w:cs="宋体"/>
          <w:color w:val="auto"/>
          <w:sz w:val="24"/>
          <w:highlight w:val="none"/>
        </w:rPr>
        <w:t>的调配</w:t>
      </w:r>
      <w:r>
        <w:rPr>
          <w:rStyle w:val="29"/>
          <w:rFonts w:hint="eastAsia" w:ascii="宋体" w:hAnsi="宋体" w:cs="宋体"/>
          <w:color w:val="auto"/>
          <w:sz w:val="24"/>
          <w:highlight w:val="none"/>
          <w:lang w:eastAsia="zh-CN"/>
        </w:rPr>
        <w:t>，</w:t>
      </w:r>
      <w:r>
        <w:rPr>
          <w:rStyle w:val="29"/>
          <w:rFonts w:hint="eastAsia" w:ascii="宋体" w:hAnsi="宋体" w:cs="宋体"/>
          <w:color w:val="auto"/>
          <w:sz w:val="24"/>
          <w:highlight w:val="none"/>
        </w:rPr>
        <w:t>但甲方需事先书面通知乙方，且该调配的污泥不得超出乙方的处理能力。</w:t>
      </w:r>
    </w:p>
    <w:p w14:paraId="327369A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（六）乙方应按适用法律的规定，办理获得所有政府部门或公共服务机构要求的以乙方名义申请的各种许可、批准，以备履行本协议之用。</w:t>
      </w:r>
    </w:p>
    <w:p w14:paraId="70EAB52D">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（七）乙方应遵守现行的劳动保护法规，尊重职工的权利和严格执行安全法规及有关标准。</w:t>
      </w:r>
    </w:p>
    <w:p w14:paraId="2370202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（八）除本协议另有约定外，乙方应按照适用法律缴纳所有税金。</w:t>
      </w:r>
    </w:p>
    <w:p w14:paraId="77DDA6ED">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（九）乙方应组建高素质的管理团队和技术团队，制定务实、高效的管理制度，保证污泥处理处置工作的正常开展。</w:t>
      </w:r>
    </w:p>
    <w:p w14:paraId="7DE665D5">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（十）遵守国家法律，执行国家政策，完成协议规定的污泥处理处置任务，达到国家对污泥处理处置的要求和标准，维护国家、企业和职工的合法权益。</w:t>
      </w:r>
    </w:p>
    <w:p w14:paraId="50184AA6">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（十一）乙方在服务期内，应确保安全生产，如发生安全事故，由乙方自行负责。</w:t>
      </w:r>
    </w:p>
    <w:p w14:paraId="7ACF414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二）乙方应确保污泥运输安全，严格遵守环保、交通、城管委相关规定标准，最大限度减少污泥泄露及其他影响环境问题或事故的发生，如污泥运输过程中发生泄露事故或其他影响环境的问题，由乙方自行负责，与甲方无关。</w:t>
      </w:r>
    </w:p>
    <w:p w14:paraId="15178CF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（十三）乙方应保证污泥处理处置设施的正常稳定运营，保证运营过程中不得随意倾倒或弃置污泥及其他废弃物。</w:t>
      </w:r>
    </w:p>
    <w:p w14:paraId="6A41E273">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四）乙方应制订污泥处理处置管理应急处理预案，确保紧急情况下对污泥的妥善处理。乙方应在甲方签署协议后，十个工作日内提供应急处理预案给甲方备案以及相关部门备案，若甲方要求对应急处理预案进行合理修正的，乙方应当根据甲方的意见予以修正。经甲方以及相关部门同意备案的应急处理预案，作为合同的附件，乙方应当遵照执行。</w:t>
      </w:r>
    </w:p>
    <w:p w14:paraId="1A45D8F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（十五）乙方严格执行本协议所有约定。</w:t>
      </w:r>
    </w:p>
    <w:p w14:paraId="794102CD">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（十六）乙方应做好各项安全生产工作。</w:t>
      </w:r>
    </w:p>
    <w:p w14:paraId="58B6915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（十七）乙方应接受和配合甲方及其他政府部门对本项目的监管，接受政府方对本项目实施的临时接管或征用。</w:t>
      </w:r>
    </w:p>
    <w:p w14:paraId="00598BB4">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八）乙方不得无故拒绝接收本协议约定范围内的市政污水处理厂依据约定运送过来的污泥、或拒绝安排专用污泥运输车辆收集运输本协议约定的污泥到项目厂区进行处理处置，否则，甲方有权通知要求乙方进行整改，若乙方拒绝整改的，甲方有权先行采用其他方式进行污泥的处理处置且无需承担任何违约责任。</w:t>
      </w:r>
    </w:p>
    <w:p w14:paraId="2D8DCA0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（十九）乙方行使并履行法律、法规、当地政府的政策文件及本协议约定的其他权利和义务。</w:t>
      </w:r>
    </w:p>
    <w:p w14:paraId="43C36A5C">
      <w:pPr>
        <w:snapToGrid w:val="0"/>
        <w:spacing w:line="360" w:lineRule="auto"/>
        <w:ind w:firstLine="482" w:firstLineChars="200"/>
        <w:rPr>
          <w:rStyle w:val="29"/>
          <w:rFonts w:ascii="宋体" w:hAnsi="宋体" w:cs="宋体"/>
          <w:b/>
          <w:bCs/>
          <w:color w:val="auto"/>
          <w:sz w:val="24"/>
          <w:highlight w:val="none"/>
        </w:rPr>
      </w:pPr>
      <w:bookmarkStart w:id="33" w:name="_Toc2126477607_WPSOffice_Level1"/>
      <w:r>
        <w:rPr>
          <w:rStyle w:val="29"/>
          <w:rFonts w:hint="eastAsia" w:ascii="宋体" w:hAnsi="宋体" w:cs="宋体"/>
          <w:b/>
          <w:bCs/>
          <w:color w:val="auto"/>
          <w:sz w:val="24"/>
          <w:highlight w:val="none"/>
        </w:rPr>
        <w:t>第十一条 指定人员</w:t>
      </w:r>
      <w:bookmarkEnd w:id="33"/>
    </w:p>
    <w:p w14:paraId="7A0AD2CD">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1.甲方应指定专门人员负责与乙方的联络沟通及本协议履行中的各项事宜。</w:t>
      </w:r>
    </w:p>
    <w:p w14:paraId="348878A2">
      <w:pPr>
        <w:tabs>
          <w:tab w:val="left" w:pos="426"/>
          <w:tab w:val="left" w:pos="1418"/>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2.乙方应指定专门人员负责与甲方的联络沟通及本协议履行中的各项事宜。</w:t>
      </w:r>
    </w:p>
    <w:p w14:paraId="5F340DCF">
      <w:pPr>
        <w:snapToGrid w:val="0"/>
        <w:spacing w:line="360" w:lineRule="auto"/>
        <w:ind w:firstLine="482" w:firstLineChars="200"/>
        <w:rPr>
          <w:rStyle w:val="29"/>
          <w:rFonts w:ascii="宋体" w:hAnsi="宋体" w:cs="宋体"/>
          <w:b/>
          <w:bCs/>
          <w:color w:val="auto"/>
          <w:sz w:val="24"/>
          <w:highlight w:val="none"/>
        </w:rPr>
      </w:pPr>
      <w:bookmarkStart w:id="34" w:name="_Toc693815662_WPSOffice_Level1"/>
      <w:r>
        <w:rPr>
          <w:rStyle w:val="29"/>
          <w:rFonts w:hint="eastAsia" w:ascii="宋体" w:hAnsi="宋体" w:cs="宋体"/>
          <w:b/>
          <w:bCs/>
          <w:color w:val="auto"/>
          <w:sz w:val="24"/>
          <w:highlight w:val="none"/>
        </w:rPr>
        <w:t>第十二条 权利保证和权利归属</w:t>
      </w:r>
      <w:bookmarkEnd w:id="34"/>
    </w:p>
    <w:p w14:paraId="7AC09CF5">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（一）权利保证</w:t>
      </w:r>
    </w:p>
    <w:p w14:paraId="12447E8D">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乙方保证其所提供之服务不侵犯任何第三方的权利和知识产权。</w:t>
      </w:r>
    </w:p>
    <w:p w14:paraId="5184875F">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（二）权利归属</w:t>
      </w:r>
    </w:p>
    <w:p w14:paraId="6D910B2D">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1.甲方向乙方提供的与履行协议相关的文件资料，其知识产权归甲方或甲方指定之第三方所有。</w:t>
      </w:r>
    </w:p>
    <w:p w14:paraId="089C7267">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2.乙方及其工作人员在为甲方提供服务的期间所产生的所有知识产权归乙方所有。</w:t>
      </w:r>
    </w:p>
    <w:p w14:paraId="6D3F23BE">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3.乙方拥有本项目形成的所有资产的所有权和支配权。</w:t>
      </w:r>
    </w:p>
    <w:p w14:paraId="5DA04117">
      <w:pPr>
        <w:snapToGrid w:val="0"/>
        <w:spacing w:line="360" w:lineRule="auto"/>
        <w:ind w:firstLine="482" w:firstLineChars="200"/>
        <w:rPr>
          <w:rStyle w:val="29"/>
          <w:rFonts w:ascii="宋体" w:hAnsi="宋体" w:cs="宋体"/>
          <w:b/>
          <w:bCs/>
          <w:color w:val="auto"/>
          <w:sz w:val="24"/>
          <w:highlight w:val="none"/>
        </w:rPr>
      </w:pPr>
      <w:bookmarkStart w:id="35" w:name="_Toc1918389147_WPSOffice_Level1"/>
      <w:r>
        <w:rPr>
          <w:rStyle w:val="29"/>
          <w:rFonts w:hint="eastAsia" w:ascii="宋体" w:hAnsi="宋体" w:cs="宋体"/>
          <w:b/>
          <w:bCs/>
          <w:color w:val="auto"/>
          <w:sz w:val="24"/>
          <w:highlight w:val="none"/>
        </w:rPr>
        <w:t>第十三条 保密</w:t>
      </w:r>
      <w:bookmarkEnd w:id="35"/>
    </w:p>
    <w:p w14:paraId="462BC787">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（一）乙方及乙方工作人员在本协议履行过程中所获得的甲方、甲方所代表之政府及项目的所有信息和与提供本协议项下服务相关的记录、数据、报告等资料均属甲方之保密信息。</w:t>
      </w:r>
    </w:p>
    <w:p w14:paraId="6C7B09BD">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（二）乙方应对该保密信息采取保密措施，且仅得为本协议之目的使用该保密信息。</w:t>
      </w:r>
    </w:p>
    <w:p w14:paraId="32BD11E5">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（三）未经甲方书面同意，乙方不得披露、使用、转让、复制或允许第三方使用上述保密信息，为本协议之履行需要向其工作人员、代理人、贷款银行及其工作人员等披露的除外。</w:t>
      </w:r>
    </w:p>
    <w:p w14:paraId="096A28C0">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（四）乙方应保证其工作人员、代理人等遵守本条有关保密的约定，且该约定不因本协议终止或者解除而失效。</w:t>
      </w:r>
    </w:p>
    <w:p w14:paraId="208B9139">
      <w:pPr>
        <w:snapToGrid w:val="0"/>
        <w:spacing w:line="360" w:lineRule="auto"/>
        <w:ind w:firstLine="482" w:firstLineChars="200"/>
        <w:rPr>
          <w:rStyle w:val="29"/>
          <w:rFonts w:ascii="宋体" w:hAnsi="宋体" w:cs="宋体"/>
          <w:b/>
          <w:bCs/>
          <w:color w:val="auto"/>
          <w:sz w:val="24"/>
          <w:highlight w:val="none"/>
        </w:rPr>
      </w:pPr>
      <w:bookmarkStart w:id="36" w:name="_Toc227045029_WPSOffice_Level1"/>
      <w:r>
        <w:rPr>
          <w:rStyle w:val="29"/>
          <w:rFonts w:hint="eastAsia" w:ascii="宋体" w:hAnsi="宋体" w:cs="宋体"/>
          <w:b/>
          <w:bCs/>
          <w:color w:val="auto"/>
          <w:sz w:val="24"/>
          <w:highlight w:val="none"/>
        </w:rPr>
        <w:t>第十四条 不可抗力</w:t>
      </w:r>
      <w:bookmarkEnd w:id="36"/>
    </w:p>
    <w:p w14:paraId="38447C68">
      <w:pPr>
        <w:tabs>
          <w:tab w:val="left" w:pos="864"/>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不可抗力指在签订和履行本协议时不能合理预见的；并且声称遭受不可抗力影响的一方不能克服和不能避免的事件，包括符合下述条件的：1.雷电、干旱、地震、火山爆发、滑坡、水灾、暴风雨、海啸、台风或龙卷风；2.流行病、饥荒或瘟疫；3.战争行为（无论是宣战的或未宣战的）、入侵、武装冲突或敌对行为、封锁、暴乱、恐怖行为或军事力量的使用；4.全国性、地区性等大规模罢工。</w:t>
      </w:r>
    </w:p>
    <w:p w14:paraId="5EABCC6F">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（二）免予履行</w:t>
      </w:r>
    </w:p>
    <w:p w14:paraId="6736AAC0">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签约双方任一方由于不可抗力事故的影响而不能执行合同时，经确认后，允许延期履行、部分履行或不履行合同，根据情况可部分或全部免予承担违约责任。</w:t>
      </w:r>
    </w:p>
    <w:p w14:paraId="480D327A">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（三）不可抗力的通知</w:t>
      </w:r>
    </w:p>
    <w:p w14:paraId="47F74C1A">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声称受到不可抗力影响的一方应在发生不可抗力或知道发生不可抗力后及时书面通知另一方并详细描述不可抗力的发生情况和可能导致的后果，包括该不可抗力发生的日期和预计停止的时间，以及对该方履行在本协议项下义务的影响，并在另一方合理要求时提供证明。受阻一方应在不可抗力事件发生后尽快用电报、传真或电话通知对方，并于事件发生后14个日历日内将有关部门出具的证明文件用专人递交、特快专递或挂号信寄给对方审阅确认。</w:t>
      </w:r>
    </w:p>
    <w:p w14:paraId="2E99CE95">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（四）减少损失的责任和协商</w:t>
      </w:r>
    </w:p>
    <w:p w14:paraId="7FF42F10">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如果甲乙双方中任何一方由于战争、严重火灾、水灾、台风和地震以及其它经双方同意属于不可抗力的事故，致使合同履行受阻时，履行合同的期限应予以延长，延长的期限应相当于事故所影响的时间。</w:t>
      </w:r>
    </w:p>
    <w:p w14:paraId="452FC988">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同时受到不可抗力影响的一方应尽一切合理努力以继续履行其在本协议下的义务，尽合理的努力减少不可抗力对其造成的影响，包括根据该等措施为可能产生的结果支付合理的金额。双方应协商制定并实施补救计划及合理的替代措施以消除不可抗力的影响，并决定为尽量减少不可抗力给每一方带来的损失应采取的合理的手段。</w:t>
      </w:r>
    </w:p>
    <w:p w14:paraId="71DA846A">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声称受到不可抗力影响的一方在不可抗力的影响消除之后应尽快恢复履行本协议项下的义务。</w:t>
      </w:r>
    </w:p>
    <w:p w14:paraId="0FEF4140">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（五）不可抗力导致的提前终止</w:t>
      </w:r>
    </w:p>
    <w:p w14:paraId="0A1129D5">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因不可抗力致使乙方正常运营受到严重影响或无法继续运营，且双方未能就恢复正常运营达成一致意见，则任一方可向对方提出终止。</w:t>
      </w:r>
    </w:p>
    <w:p w14:paraId="09A091C3">
      <w:pPr>
        <w:snapToGrid w:val="0"/>
        <w:spacing w:line="360" w:lineRule="auto"/>
        <w:ind w:firstLine="482" w:firstLineChars="200"/>
        <w:rPr>
          <w:rStyle w:val="29"/>
          <w:rFonts w:ascii="宋体" w:hAnsi="宋体" w:cs="宋体"/>
          <w:b/>
          <w:bCs/>
          <w:color w:val="auto"/>
          <w:sz w:val="24"/>
          <w:highlight w:val="none"/>
        </w:rPr>
      </w:pPr>
      <w:bookmarkStart w:id="37" w:name="_Toc1675282067_WPSOffice_Level1"/>
      <w:r>
        <w:rPr>
          <w:rStyle w:val="29"/>
          <w:rFonts w:hint="eastAsia" w:ascii="宋体" w:hAnsi="宋体" w:cs="宋体"/>
          <w:b/>
          <w:bCs/>
          <w:color w:val="auto"/>
          <w:sz w:val="24"/>
          <w:highlight w:val="none"/>
        </w:rPr>
        <w:t>第十五条 违约责任</w:t>
      </w:r>
      <w:bookmarkEnd w:id="37"/>
    </w:p>
    <w:p w14:paraId="40EF77C9">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（一）乙方违约</w:t>
      </w:r>
    </w:p>
    <w:p w14:paraId="0E178840">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乙方项目在运行过程中，不能做到安全、有序、稳定的情形；或未能确保市政污水处理厂产泥单位的污泥及时清理，严重耽误污水厂运行的情形；或存在因污泥处置工作不力受到环境保护职能部门罚款的的情形；或因污泥的运输及处理处置等问题被媒体曝光等情形，当日污泥处置服务费将全部扣除。</w:t>
      </w:r>
    </w:p>
    <w:p w14:paraId="0CD441E5">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污泥转运过程中出现随意倾倒导致环境污染、转运单弄虚作假等情形，首次发生并证实后甲方要求乙方支付违约金10万并无条件整改到位，后续再次出现上述情形将逐次递增违约金50万，如涉及相关违法问题将与其解除合同并移交司法机构进行追究。</w:t>
      </w:r>
    </w:p>
    <w:p w14:paraId="7C6D983E">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乙方项目运行出现因乙方一方原因导致的臭气等市民、12345等平台投诉，车辆倾倒等问题，乙方应妥当处置，其中受到臭气投诉未能及时妥当按时办结将支付违约金2万元/次，车辆倾倒支付违约金2万元/次，其他未能明确情形，以政府职能部门发文要求整改为准，甲方收到文后，乙方未能及时完成整改的支付违约金10万元/次。</w:t>
      </w:r>
    </w:p>
    <w:p w14:paraId="5CC008D8">
      <w:pPr>
        <w:spacing w:line="360" w:lineRule="auto"/>
        <w:ind w:firstLine="480" w:firstLineChars="200"/>
        <w:rPr>
          <w:rFonts w:ascii="宋体" w:hAnsi="宋体" w:cs="宋体"/>
          <w:color w:val="auto"/>
          <w:sz w:val="24"/>
          <w:highlight w:val="none"/>
        </w:rPr>
      </w:pPr>
      <w:r>
        <w:rPr>
          <w:rStyle w:val="29"/>
          <w:rFonts w:hint="eastAsia" w:ascii="宋体" w:hAnsi="宋体" w:cs="宋体"/>
          <w:color w:val="auto"/>
          <w:sz w:val="24"/>
          <w:highlight w:val="none"/>
        </w:rPr>
        <w:t>4.乙方承担本协议规定所有服务内容，不得以任何形式分包，否则甲方有权解除合同并没收履约保证金。该不得分包事项的主体范围特指污泥的无害化处置工作，不包含运输、检测等其他第三方服务，且乙方为此（第三方服务）承担相应责任。</w:t>
      </w:r>
    </w:p>
    <w:p w14:paraId="15D6EE1A">
      <w:pPr>
        <w:pStyle w:val="21"/>
        <w:spacing w:line="360" w:lineRule="auto"/>
        <w:ind w:left="0" w:leftChars="0" w:firstLine="480" w:firstLineChars="200"/>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由于乙方原因造成污泥处置不及时对污水厂生产造成严重影响的，或受到污水厂的投诉且未及时按要求处理时（不可抗力原因造成的除外），甲方现场核实确认后有权对乙方收取违约金，违约金金额为5000元/次，当一年受到投诉累计超出5次（含）后，违约金金额为10000元/次。当一年投诉累计超过10次（含），违约金金额为20000元/次,具体违约金以年度为单位计算，公式如下：</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3B9A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3E11AE6">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5次以内/年</w:t>
            </w:r>
          </w:p>
        </w:tc>
        <w:tc>
          <w:tcPr>
            <w:tcW w:w="4261" w:type="dxa"/>
          </w:tcPr>
          <w:p w14:paraId="29A6657D">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5000乘以次数</w:t>
            </w:r>
          </w:p>
        </w:tc>
      </w:tr>
      <w:tr w14:paraId="20B4C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4A42E68">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5-10次以内/年</w:t>
            </w:r>
          </w:p>
        </w:tc>
        <w:tc>
          <w:tcPr>
            <w:tcW w:w="4261" w:type="dxa"/>
          </w:tcPr>
          <w:p w14:paraId="3641004D">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10000乘以次数</w:t>
            </w:r>
          </w:p>
        </w:tc>
      </w:tr>
      <w:tr w14:paraId="094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2044ACD">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10（含）以上/年</w:t>
            </w:r>
          </w:p>
        </w:tc>
        <w:tc>
          <w:tcPr>
            <w:tcW w:w="4261" w:type="dxa"/>
          </w:tcPr>
          <w:p w14:paraId="4CDD71D7">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20000乘以次数</w:t>
            </w:r>
          </w:p>
        </w:tc>
      </w:tr>
    </w:tbl>
    <w:p w14:paraId="375F2982">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当一年投诉累计超过15次（含），或乙方违反本合同其他约定，或未能如期完成招投标文件中承诺事项（如：未在 202</w:t>
      </w:r>
      <w:r>
        <w:rPr>
          <w:rStyle w:val="29"/>
          <w:rFonts w:hint="eastAsia" w:ascii="宋体" w:hAnsi="宋体" w:cs="宋体"/>
          <w:color w:val="auto"/>
          <w:sz w:val="24"/>
          <w:highlight w:val="none"/>
          <w:lang w:val="en-US" w:eastAsia="zh"/>
        </w:rPr>
        <w:t>5</w:t>
      </w:r>
      <w:r>
        <w:rPr>
          <w:rStyle w:val="29"/>
          <w:rFonts w:hint="eastAsia" w:ascii="宋体" w:hAnsi="宋体" w:cs="宋体"/>
          <w:color w:val="auto"/>
          <w:sz w:val="24"/>
          <w:highlight w:val="none"/>
        </w:rPr>
        <w:t>年</w:t>
      </w:r>
      <w:r>
        <w:rPr>
          <w:rStyle w:val="29"/>
          <w:rFonts w:hint="eastAsia" w:ascii="宋体" w:hAnsi="宋体" w:cs="宋体"/>
          <w:color w:val="auto"/>
          <w:sz w:val="24"/>
          <w:highlight w:val="none"/>
          <w:lang w:val="en-US" w:eastAsia="zh"/>
        </w:rPr>
        <w:t>9</w:t>
      </w:r>
      <w:r>
        <w:rPr>
          <w:rStyle w:val="29"/>
          <w:rFonts w:hint="eastAsia" w:ascii="宋体" w:hAnsi="宋体" w:cs="宋体"/>
          <w:color w:val="auto"/>
          <w:sz w:val="24"/>
          <w:highlight w:val="none"/>
        </w:rPr>
        <w:t>月</w:t>
      </w:r>
      <w:r>
        <w:rPr>
          <w:rStyle w:val="29"/>
          <w:rFonts w:hint="eastAsia" w:ascii="宋体" w:hAnsi="宋体" w:cs="宋体"/>
          <w:color w:val="auto"/>
          <w:sz w:val="24"/>
          <w:highlight w:val="none"/>
          <w:lang w:val="en-US" w:eastAsia="zh"/>
        </w:rPr>
        <w:t>10</w:t>
      </w:r>
      <w:r>
        <w:rPr>
          <w:rStyle w:val="29"/>
          <w:rFonts w:hint="eastAsia" w:ascii="宋体" w:hAnsi="宋体" w:cs="宋体"/>
          <w:color w:val="auto"/>
          <w:sz w:val="24"/>
          <w:highlight w:val="none"/>
        </w:rPr>
        <w:t>日前投入使用），接甲方通知后拒不整改合格的，甲方有权解除合同并没收乙方履约保证金。</w:t>
      </w:r>
    </w:p>
    <w:p w14:paraId="046B238F">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（二）甲方的违约</w:t>
      </w:r>
    </w:p>
    <w:p w14:paraId="3104B046">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甲方不按时支付污泥处理处置服务费；</w:t>
      </w:r>
    </w:p>
    <w:p w14:paraId="214B6411">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甲方未按照本协议约定，及时足额向乙方支付相应的污泥处理处置服务费，则乙方有权向甲方发出催告，如甲方在催告通知出具后的三十（30）日内仍未能支付的，则甲方除应支付应付未付的污泥处理处置服务费外，必须按照以下标准向乙方支付违约金：</w:t>
      </w:r>
    </w:p>
    <w:p w14:paraId="2A3C924D">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A.第一个延误三十(30)日内，每日支付50元；</w:t>
      </w:r>
    </w:p>
    <w:p w14:paraId="432668EE">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B.第二个延误三十(30)日内，每日支付100元；</w:t>
      </w:r>
    </w:p>
    <w:p w14:paraId="65259548">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C.第三个延误三十(30)日内，每日支付150元；</w:t>
      </w:r>
    </w:p>
    <w:p w14:paraId="1C61060C">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D.此后延误每日支付200元。</w:t>
      </w:r>
    </w:p>
    <w:p w14:paraId="4AA08023">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（三）违约金支付</w:t>
      </w:r>
    </w:p>
    <w:p w14:paraId="4737A669">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乙方应根据第十五条（一）款计算应向甲方支付的违约金金额，甲方优先从当月污泥处理处置服务费中直接扣减；若某运营月的污泥处理处置服务费总额不足以抵扣违约金，则甲方有权从履约保证金中进行扣减，并向乙方发出书面通知并告知甲方兑取的理由和拟兑取的金额。</w:t>
      </w:r>
    </w:p>
    <w:p w14:paraId="3F87C36A">
      <w:pPr>
        <w:snapToGrid w:val="0"/>
        <w:spacing w:line="360" w:lineRule="auto"/>
        <w:ind w:firstLine="482" w:firstLineChars="200"/>
        <w:rPr>
          <w:rStyle w:val="29"/>
          <w:rFonts w:ascii="宋体" w:hAnsi="宋体" w:cs="宋体"/>
          <w:b/>
          <w:bCs/>
          <w:color w:val="auto"/>
          <w:sz w:val="24"/>
          <w:highlight w:val="none"/>
        </w:rPr>
      </w:pPr>
      <w:bookmarkStart w:id="38" w:name="_Toc924789176_WPSOffice_Level1"/>
      <w:r>
        <w:rPr>
          <w:rStyle w:val="29"/>
          <w:rFonts w:hint="eastAsia" w:ascii="宋体" w:hAnsi="宋体" w:cs="宋体"/>
          <w:b/>
          <w:bCs/>
          <w:color w:val="auto"/>
          <w:sz w:val="24"/>
          <w:highlight w:val="none"/>
        </w:rPr>
        <w:t>第十六条 适用法律和争议解决</w:t>
      </w:r>
      <w:bookmarkEnd w:id="38"/>
    </w:p>
    <w:p w14:paraId="61796D19">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（一）本协议适用中华人民共和国法律。</w:t>
      </w:r>
    </w:p>
    <w:p w14:paraId="66DA8A9A">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二）因本协议引起的或执行本协议所产生的任何争议和分歧，甲、乙双方应当在诚信原则基础上以友好协商方式解决。如协商之日起六十日内甲、乙双方未能达成共识或解决方案，任何一方可依法通过以下第2种方式解决：</w:t>
      </w:r>
    </w:p>
    <w:p w14:paraId="4491A8B6">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1.提交海南仲裁委员会进行仲裁。仲裁裁决是终局的，对双方均有约束力。（可根据实际情况选择仲裁机构）；</w:t>
      </w:r>
    </w:p>
    <w:p w14:paraId="7560F632">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2.向甲方所在地人民法院提起诉讼。</w:t>
      </w:r>
    </w:p>
    <w:p w14:paraId="0AC6899C">
      <w:pPr>
        <w:spacing w:line="360" w:lineRule="auto"/>
        <w:ind w:firstLine="480" w:firstLineChars="200"/>
        <w:rPr>
          <w:rStyle w:val="29"/>
          <w:rFonts w:ascii="宋体" w:hAnsi="宋体" w:cs="宋体"/>
          <w:b/>
          <w:color w:val="auto"/>
          <w:sz w:val="24"/>
          <w:highlight w:val="none"/>
        </w:rPr>
      </w:pPr>
      <w:r>
        <w:rPr>
          <w:rStyle w:val="29"/>
          <w:rFonts w:hint="eastAsia" w:ascii="宋体" w:hAnsi="宋体" w:cs="宋体"/>
          <w:color w:val="auto"/>
          <w:sz w:val="24"/>
          <w:highlight w:val="none"/>
        </w:rPr>
        <w:t>（三）争议解决期间，除争议事项外，双方应继续履行本协议。</w:t>
      </w:r>
    </w:p>
    <w:p w14:paraId="12F176E1">
      <w:pPr>
        <w:snapToGrid w:val="0"/>
        <w:spacing w:line="360" w:lineRule="auto"/>
        <w:ind w:firstLine="482" w:firstLineChars="200"/>
        <w:rPr>
          <w:rStyle w:val="29"/>
          <w:rFonts w:ascii="宋体" w:hAnsi="宋体" w:cs="宋体"/>
          <w:b/>
          <w:bCs/>
          <w:color w:val="auto"/>
          <w:sz w:val="24"/>
          <w:highlight w:val="none"/>
        </w:rPr>
      </w:pPr>
      <w:bookmarkStart w:id="39" w:name="_Toc504205229_WPSOffice_Level1"/>
      <w:r>
        <w:rPr>
          <w:rStyle w:val="29"/>
          <w:rFonts w:hint="eastAsia" w:ascii="宋体" w:hAnsi="宋体" w:cs="宋体"/>
          <w:b/>
          <w:bCs/>
          <w:color w:val="auto"/>
          <w:sz w:val="24"/>
          <w:highlight w:val="none"/>
        </w:rPr>
        <w:t>第十七条 协议的变更、解除和终止</w:t>
      </w:r>
      <w:bookmarkEnd w:id="39"/>
    </w:p>
    <w:p w14:paraId="65CE7483">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（一）变更、解除和终止的事由</w:t>
      </w:r>
    </w:p>
    <w:p w14:paraId="06606CC4">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1.如本协议的继续履行将损害国家利益和社会公共利益，则双方均有权书面通知对方要求变更、解除本协议或针对本协议项下服务另行签署其他书面协议。</w:t>
      </w:r>
    </w:p>
    <w:p w14:paraId="0478892A">
      <w:pPr>
        <w:pStyle w:val="64"/>
        <w:tabs>
          <w:tab w:val="left" w:pos="1701"/>
        </w:tabs>
        <w:snapToGrid w:val="0"/>
        <w:spacing w:line="360" w:lineRule="auto"/>
        <w:ind w:firstLine="480"/>
        <w:rPr>
          <w:rStyle w:val="29"/>
          <w:rFonts w:ascii="宋体" w:hAnsi="宋体" w:cs="宋体"/>
          <w:color w:val="auto"/>
          <w:sz w:val="24"/>
          <w:highlight w:val="none"/>
        </w:rPr>
      </w:pPr>
      <w:r>
        <w:rPr>
          <w:rStyle w:val="29"/>
          <w:rFonts w:hint="eastAsia" w:ascii="宋体" w:hAnsi="宋体" w:cs="宋体"/>
          <w:color w:val="auto"/>
          <w:sz w:val="24"/>
          <w:highlight w:val="none"/>
        </w:rPr>
        <w:t>2.非乙方原因导致本协议在双方约定的期限内无法完全履行或在履行过程中出现双方无法预见的困难，导致协议目的难以实现的，双方可经协商决定变更或解除本协议。</w:t>
      </w:r>
    </w:p>
    <w:p w14:paraId="71DEA82D">
      <w:pPr>
        <w:pStyle w:val="64"/>
        <w:tabs>
          <w:tab w:val="left" w:pos="1701"/>
        </w:tabs>
        <w:snapToGrid w:val="0"/>
        <w:spacing w:line="360" w:lineRule="auto"/>
        <w:ind w:firstLine="480"/>
        <w:rPr>
          <w:rFonts w:ascii="宋体" w:hAnsi="宋体" w:cs="宋体"/>
          <w:color w:val="auto"/>
          <w:sz w:val="24"/>
          <w:highlight w:val="none"/>
        </w:rPr>
      </w:pPr>
      <w:r>
        <w:rPr>
          <w:rStyle w:val="29"/>
          <w:rFonts w:hint="eastAsia" w:ascii="宋体" w:hAnsi="宋体" w:cs="宋体"/>
          <w:color w:val="auto"/>
          <w:sz w:val="24"/>
          <w:highlight w:val="none"/>
        </w:rPr>
        <w:t>3.本协议执行过程，若“合同期内累计结算金额达到采购预算金额”或“服务期限满三年”这二项中任意一项达到时，则合同自动终止。</w:t>
      </w:r>
    </w:p>
    <w:p w14:paraId="4AA66851">
      <w:pPr>
        <w:pStyle w:val="64"/>
        <w:tabs>
          <w:tab w:val="left" w:pos="1701"/>
        </w:tabs>
        <w:snapToGrid w:val="0"/>
        <w:spacing w:line="360" w:lineRule="auto"/>
        <w:ind w:firstLine="480"/>
        <w:rPr>
          <w:rFonts w:ascii="宋体" w:hAnsi="宋体" w:cs="宋体"/>
          <w:color w:val="auto"/>
          <w:sz w:val="24"/>
          <w:highlight w:val="none"/>
        </w:rPr>
      </w:pPr>
      <w:r>
        <w:rPr>
          <w:rFonts w:hint="eastAsia" w:ascii="宋体" w:hAnsi="宋体" w:cs="宋体"/>
          <w:color w:val="auto"/>
          <w:sz w:val="24"/>
          <w:highlight w:val="none"/>
        </w:rPr>
        <w:t>4.</w:t>
      </w:r>
      <w:r>
        <w:rPr>
          <w:rStyle w:val="29"/>
          <w:rFonts w:hint="eastAsia" w:ascii="宋体" w:hAnsi="宋体" w:cs="宋体"/>
          <w:color w:val="auto"/>
          <w:sz w:val="24"/>
          <w:highlight w:val="none"/>
        </w:rPr>
        <w:t>若乙方未在第十八条款约定时间内提交履约保证金，则本协议自动作废，甲方有权获得履约保证金金额的赔偿。</w:t>
      </w:r>
    </w:p>
    <w:p w14:paraId="017AB6ED">
      <w:pPr>
        <w:tabs>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5.法律规定或本协议约定的其他事由。</w:t>
      </w:r>
    </w:p>
    <w:p w14:paraId="11B5E801">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（二）变更、解除和终止的后果</w:t>
      </w:r>
    </w:p>
    <w:p w14:paraId="1FB30571">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1.一方收到对方解除协议的通知或向对方发出解除协议的通知后，应立即停止履行与本协议相关的工作。</w:t>
      </w:r>
    </w:p>
    <w:p w14:paraId="0C91928A">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2.双方应进行清算。经乙方提供书面证明文件后，甲方应按双方核定后的乙方投入项目的实际成本费用支付价款。</w:t>
      </w:r>
    </w:p>
    <w:p w14:paraId="7DE57E2A">
      <w:pPr>
        <w:snapToGrid w:val="0"/>
        <w:spacing w:line="360" w:lineRule="auto"/>
        <w:ind w:firstLine="482" w:firstLineChars="200"/>
        <w:rPr>
          <w:rStyle w:val="29"/>
          <w:rFonts w:ascii="宋体" w:hAnsi="宋体" w:cs="宋体"/>
          <w:b/>
          <w:bCs/>
          <w:color w:val="auto"/>
          <w:sz w:val="24"/>
          <w:highlight w:val="none"/>
        </w:rPr>
      </w:pPr>
      <w:bookmarkStart w:id="40" w:name="_Toc2038683850_WPSOffice_Level1"/>
      <w:r>
        <w:rPr>
          <w:rStyle w:val="29"/>
          <w:rFonts w:hint="eastAsia" w:ascii="宋体" w:hAnsi="宋体" w:cs="宋体"/>
          <w:b/>
          <w:bCs/>
          <w:color w:val="auto"/>
          <w:sz w:val="24"/>
          <w:highlight w:val="none"/>
        </w:rPr>
        <w:t>第十</w:t>
      </w:r>
      <w:r>
        <w:rPr>
          <w:rStyle w:val="29"/>
          <w:rFonts w:hint="eastAsia" w:ascii="宋体" w:hAnsi="宋体" w:cs="宋体"/>
          <w:b/>
          <w:bCs/>
          <w:color w:val="auto"/>
          <w:sz w:val="24"/>
          <w:highlight w:val="none"/>
          <w:lang w:eastAsia="zh-CN"/>
        </w:rPr>
        <w:t>八</w:t>
      </w:r>
      <w:r>
        <w:rPr>
          <w:rStyle w:val="29"/>
          <w:rFonts w:hint="eastAsia" w:ascii="宋体" w:hAnsi="宋体" w:cs="宋体"/>
          <w:b/>
          <w:bCs/>
          <w:color w:val="auto"/>
          <w:sz w:val="24"/>
          <w:highlight w:val="none"/>
        </w:rPr>
        <w:t>条 协议效力</w:t>
      </w:r>
      <w:bookmarkEnd w:id="40"/>
    </w:p>
    <w:p w14:paraId="4669E9A8">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（一）本协议未尽事宜，由双方协商解决并签订补充协议。对本协议的任何修改或补充应当由甲乙双方协商达成一致意见。</w:t>
      </w:r>
    </w:p>
    <w:p w14:paraId="1C4F346A">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（二）本协议任何条款被主管部门或法院认定为不合法、无效或不能强制执行的，或因法律、法规、国家政策等的变化而不合法、无效或不能强制执行的，该等不合法、无效或不能强制执行则：</w:t>
      </w:r>
    </w:p>
    <w:p w14:paraId="46025275">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1.并不影响其他条款的有效性和可执行程度，本协议的其他条款仍继续有效；</w:t>
      </w:r>
    </w:p>
    <w:p w14:paraId="0DB3AE32">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2.甲、乙双方应商定对不合法、无效或不可强制执行的条款进行修改或更换，使之合法、有效并可执行，并且这些修改或更换尽可能恰如其分地维护甲、乙双方的合法权益。</w:t>
      </w:r>
    </w:p>
    <w:p w14:paraId="13421662">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（三）本协议经双方盖章，并经法定代表人（负责人）或授权代表签署后生效。</w:t>
      </w:r>
    </w:p>
    <w:p w14:paraId="19D54374">
      <w:pPr>
        <w:snapToGrid w:val="0"/>
        <w:spacing w:line="360" w:lineRule="auto"/>
        <w:ind w:firstLine="480" w:firstLineChars="200"/>
        <w:rPr>
          <w:rStyle w:val="29"/>
          <w:rFonts w:ascii="宋体" w:hAnsi="宋体" w:cs="宋体"/>
          <w:b/>
          <w:bCs/>
          <w:color w:val="auto"/>
          <w:sz w:val="24"/>
          <w:highlight w:val="none"/>
        </w:rPr>
      </w:pPr>
      <w:r>
        <w:rPr>
          <w:rStyle w:val="29"/>
          <w:rFonts w:hint="eastAsia" w:ascii="宋体" w:hAnsi="宋体" w:cs="宋体"/>
          <w:color w:val="auto"/>
          <w:sz w:val="24"/>
          <w:highlight w:val="none"/>
        </w:rPr>
        <w:t>（四）本协议一式拾份，具有同等法律效力。其中，甲方执</w:t>
      </w:r>
      <w:r>
        <w:rPr>
          <w:rStyle w:val="29"/>
          <w:rFonts w:hint="eastAsia" w:ascii="宋体" w:hAnsi="宋体" w:cs="宋体"/>
          <w:color w:val="auto"/>
          <w:sz w:val="24"/>
          <w:highlight w:val="none"/>
          <w:lang w:eastAsia="zh-CN"/>
        </w:rPr>
        <w:t>肆</w:t>
      </w:r>
      <w:r>
        <w:rPr>
          <w:rStyle w:val="29"/>
          <w:rFonts w:hint="eastAsia" w:ascii="宋体" w:hAnsi="宋体" w:cs="宋体"/>
          <w:color w:val="auto"/>
          <w:sz w:val="24"/>
          <w:highlight w:val="none"/>
        </w:rPr>
        <w:t>份、乙方执</w:t>
      </w:r>
      <w:r>
        <w:rPr>
          <w:rStyle w:val="29"/>
          <w:rFonts w:hint="eastAsia" w:ascii="宋体" w:hAnsi="宋体" w:cs="宋体"/>
          <w:color w:val="auto"/>
          <w:sz w:val="24"/>
          <w:highlight w:val="none"/>
          <w:lang w:eastAsia="zh-CN"/>
        </w:rPr>
        <w:t>肆</w:t>
      </w:r>
      <w:r>
        <w:rPr>
          <w:rStyle w:val="29"/>
          <w:rFonts w:hint="eastAsia" w:ascii="宋体" w:hAnsi="宋体" w:cs="宋体"/>
          <w:color w:val="auto"/>
          <w:sz w:val="24"/>
          <w:highlight w:val="none"/>
        </w:rPr>
        <w:t>份，其余报政府财政等相关部门备案。</w:t>
      </w:r>
    </w:p>
    <w:p w14:paraId="6A962C4E">
      <w:pPr>
        <w:snapToGrid w:val="0"/>
        <w:spacing w:line="360" w:lineRule="auto"/>
        <w:ind w:firstLine="482" w:firstLineChars="200"/>
        <w:rPr>
          <w:rStyle w:val="29"/>
          <w:rFonts w:ascii="宋体" w:hAnsi="宋体" w:cs="宋体"/>
          <w:b/>
          <w:bCs/>
          <w:color w:val="auto"/>
          <w:sz w:val="24"/>
          <w:highlight w:val="none"/>
        </w:rPr>
      </w:pPr>
      <w:bookmarkStart w:id="41" w:name="_Toc2078774090_WPSOffice_Level1"/>
      <w:r>
        <w:rPr>
          <w:rStyle w:val="29"/>
          <w:rFonts w:hint="eastAsia" w:ascii="宋体" w:hAnsi="宋体" w:cs="宋体"/>
          <w:b/>
          <w:bCs/>
          <w:color w:val="auto"/>
          <w:sz w:val="24"/>
          <w:highlight w:val="none"/>
        </w:rPr>
        <w:t>第十</w:t>
      </w:r>
      <w:r>
        <w:rPr>
          <w:rStyle w:val="29"/>
          <w:rFonts w:hint="eastAsia" w:ascii="宋体" w:hAnsi="宋体" w:cs="宋体"/>
          <w:b/>
          <w:bCs/>
          <w:color w:val="auto"/>
          <w:sz w:val="24"/>
          <w:highlight w:val="none"/>
          <w:lang w:eastAsia="zh-CN"/>
        </w:rPr>
        <w:t>九</w:t>
      </w:r>
      <w:r>
        <w:rPr>
          <w:rStyle w:val="29"/>
          <w:rFonts w:hint="eastAsia" w:ascii="宋体" w:hAnsi="宋体" w:cs="宋体"/>
          <w:b/>
          <w:bCs/>
          <w:color w:val="auto"/>
          <w:sz w:val="24"/>
          <w:highlight w:val="none"/>
        </w:rPr>
        <w:t>条 通知条款</w:t>
      </w:r>
      <w:bookmarkEnd w:id="41"/>
    </w:p>
    <w:p w14:paraId="7AA9C645">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（一）本合同所有的通知义务应当以书面方式传真至对方或者以信件方式按照本合同列明的甲方或乙方的地址发出。</w:t>
      </w:r>
    </w:p>
    <w:p w14:paraId="03F3D84C">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（二）如以人手交递，则在对方签收时生效。</w:t>
      </w:r>
    </w:p>
    <w:p w14:paraId="14D02042">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（三）若以传真方式发出，则在传件人收到文件传真完成报告时生效。</w:t>
      </w:r>
    </w:p>
    <w:p w14:paraId="19FF716C">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（四）若以信件邮寄发出，则以邮局在信封面盖收件印之日起三天后生效。</w:t>
      </w:r>
    </w:p>
    <w:p w14:paraId="6409A4D0">
      <w:pPr>
        <w:snapToGrid w:val="0"/>
        <w:spacing w:line="360" w:lineRule="auto"/>
        <w:ind w:firstLine="482" w:firstLineChars="200"/>
        <w:rPr>
          <w:rStyle w:val="29"/>
          <w:rFonts w:ascii="宋体" w:hAnsi="宋体" w:cs="宋体"/>
          <w:b/>
          <w:bCs/>
          <w:color w:val="auto"/>
          <w:sz w:val="24"/>
          <w:highlight w:val="none"/>
        </w:rPr>
      </w:pPr>
      <w:bookmarkStart w:id="42" w:name="_Toc782512782_WPSOffice_Level1"/>
      <w:r>
        <w:rPr>
          <w:rStyle w:val="29"/>
          <w:rFonts w:hint="eastAsia" w:ascii="宋体" w:hAnsi="宋体" w:cs="宋体"/>
          <w:b/>
          <w:bCs/>
          <w:color w:val="auto"/>
          <w:sz w:val="24"/>
          <w:highlight w:val="none"/>
        </w:rPr>
        <w:t>第二十条 本协议组成文件</w:t>
      </w:r>
      <w:bookmarkEnd w:id="42"/>
    </w:p>
    <w:p w14:paraId="7EFE3B36">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（一）甲方招标文件、乙方投标文件和投标时的澄清函）（如有）；</w:t>
      </w:r>
    </w:p>
    <w:p w14:paraId="67B0FD3E">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（二）中标通知书；</w:t>
      </w:r>
    </w:p>
    <w:p w14:paraId="62962032">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（三）甲乙双方签署人授权书（如不是法人代表）以及商定的其他必要文件。</w:t>
      </w:r>
    </w:p>
    <w:p w14:paraId="5F64BB36">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上述协议文件内容互为补充，如有未尽事宜以甲方招投标文件约定补充。</w:t>
      </w:r>
      <w:r>
        <w:rPr>
          <w:rStyle w:val="29"/>
          <w:rFonts w:hint="eastAsia" w:ascii="宋体" w:hAnsi="宋体" w:cs="宋体"/>
          <w:color w:val="auto"/>
          <w:kern w:val="0"/>
          <w:sz w:val="24"/>
          <w:highlight w:val="none"/>
        </w:rPr>
        <w:br w:type="page"/>
      </w:r>
    </w:p>
    <w:p w14:paraId="446B3100">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（本页为政府购买服务协议的签署页）</w:t>
      </w:r>
    </w:p>
    <w:p w14:paraId="426F4651">
      <w:pPr>
        <w:spacing w:line="360" w:lineRule="auto"/>
        <w:ind w:firstLine="482" w:firstLineChars="200"/>
        <w:rPr>
          <w:rStyle w:val="29"/>
          <w:rFonts w:ascii="宋体" w:hAnsi="宋体" w:cs="宋体"/>
          <w:b/>
          <w:color w:val="auto"/>
          <w:sz w:val="24"/>
          <w:highlight w:val="none"/>
        </w:rPr>
      </w:pPr>
    </w:p>
    <w:p w14:paraId="74AC57FD">
      <w:pPr>
        <w:spacing w:line="360" w:lineRule="auto"/>
        <w:ind w:firstLine="482" w:firstLineChars="200"/>
        <w:rPr>
          <w:rStyle w:val="29"/>
          <w:rFonts w:ascii="宋体" w:hAnsi="宋体" w:cs="宋体"/>
          <w:b/>
          <w:color w:val="auto"/>
          <w:sz w:val="24"/>
          <w:highlight w:val="none"/>
        </w:rPr>
      </w:pPr>
    </w:p>
    <w:p w14:paraId="32C6DB07">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甲方：（盖章）</w:t>
      </w:r>
    </w:p>
    <w:p w14:paraId="3D33C043">
      <w:pPr>
        <w:spacing w:line="360" w:lineRule="auto"/>
        <w:ind w:firstLine="482" w:firstLineChars="200"/>
        <w:rPr>
          <w:rStyle w:val="29"/>
          <w:rFonts w:ascii="宋体" w:hAnsi="宋体" w:cs="宋体"/>
          <w:b/>
          <w:color w:val="auto"/>
          <w:kern w:val="0"/>
          <w:sz w:val="24"/>
          <w:highlight w:val="none"/>
        </w:rPr>
      </w:pPr>
    </w:p>
    <w:p w14:paraId="0836CF43">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法定代表人（负责人）（或授权代理人）（签字）：</w:t>
      </w:r>
    </w:p>
    <w:p w14:paraId="235A93BF">
      <w:pPr>
        <w:spacing w:line="360" w:lineRule="auto"/>
        <w:ind w:firstLine="480" w:firstLineChars="200"/>
        <w:rPr>
          <w:rStyle w:val="29"/>
          <w:rFonts w:ascii="宋体" w:hAnsi="宋体" w:cs="宋体"/>
          <w:color w:val="auto"/>
          <w:kern w:val="0"/>
          <w:sz w:val="24"/>
          <w:highlight w:val="none"/>
        </w:rPr>
      </w:pPr>
    </w:p>
    <w:p w14:paraId="4FB979C8">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签约日期：</w:t>
      </w:r>
    </w:p>
    <w:p w14:paraId="72D06D1D">
      <w:pPr>
        <w:spacing w:line="360" w:lineRule="auto"/>
        <w:ind w:firstLine="482" w:firstLineChars="200"/>
        <w:rPr>
          <w:rStyle w:val="29"/>
          <w:rFonts w:ascii="宋体" w:hAnsi="宋体" w:cs="宋体"/>
          <w:b/>
          <w:color w:val="auto"/>
          <w:kern w:val="0"/>
          <w:sz w:val="24"/>
          <w:highlight w:val="none"/>
        </w:rPr>
      </w:pPr>
    </w:p>
    <w:p w14:paraId="41289792">
      <w:pPr>
        <w:spacing w:line="360" w:lineRule="auto"/>
        <w:ind w:firstLine="482" w:firstLineChars="200"/>
        <w:rPr>
          <w:rStyle w:val="29"/>
          <w:rFonts w:ascii="宋体" w:hAnsi="宋体" w:cs="宋体"/>
          <w:b/>
          <w:color w:val="auto"/>
          <w:kern w:val="0"/>
          <w:sz w:val="24"/>
          <w:highlight w:val="none"/>
        </w:rPr>
      </w:pPr>
    </w:p>
    <w:p w14:paraId="06482A86">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乙方：（盖章）</w:t>
      </w:r>
    </w:p>
    <w:p w14:paraId="0D9A78DE">
      <w:pPr>
        <w:spacing w:line="360" w:lineRule="auto"/>
        <w:ind w:firstLine="480" w:firstLineChars="200"/>
        <w:rPr>
          <w:rStyle w:val="29"/>
          <w:rFonts w:ascii="宋体" w:hAnsi="宋体" w:cs="宋体"/>
          <w:color w:val="auto"/>
          <w:kern w:val="0"/>
          <w:sz w:val="24"/>
          <w:highlight w:val="none"/>
        </w:rPr>
      </w:pPr>
    </w:p>
    <w:p w14:paraId="366C32C7">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法定代表人（或授权代理人）（签字）：</w:t>
      </w:r>
    </w:p>
    <w:p w14:paraId="2D832842">
      <w:pPr>
        <w:spacing w:line="360" w:lineRule="auto"/>
        <w:ind w:firstLine="480" w:firstLineChars="200"/>
        <w:rPr>
          <w:rStyle w:val="29"/>
          <w:rFonts w:ascii="宋体" w:hAnsi="宋体" w:cs="宋体"/>
          <w:color w:val="auto"/>
          <w:kern w:val="0"/>
          <w:sz w:val="24"/>
          <w:highlight w:val="none"/>
        </w:rPr>
      </w:pPr>
    </w:p>
    <w:p w14:paraId="3026A383">
      <w:pPr>
        <w:tabs>
          <w:tab w:val="left" w:pos="426"/>
          <w:tab w:val="left" w:pos="1701"/>
        </w:tabs>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签约日期：</w:t>
      </w:r>
    </w:p>
    <w:p w14:paraId="6AAB8147">
      <w:pPr>
        <w:tabs>
          <w:tab w:val="left" w:pos="426"/>
          <w:tab w:val="left" w:pos="1701"/>
        </w:tabs>
        <w:spacing w:line="360" w:lineRule="auto"/>
        <w:ind w:firstLine="482" w:firstLineChars="200"/>
        <w:rPr>
          <w:rStyle w:val="29"/>
          <w:rFonts w:ascii="宋体" w:hAnsi="宋体" w:cs="宋体"/>
          <w:b/>
          <w:bCs/>
          <w:color w:val="auto"/>
          <w:kern w:val="0"/>
          <w:sz w:val="24"/>
          <w:highlight w:val="none"/>
        </w:rPr>
      </w:pPr>
    </w:p>
    <w:p w14:paraId="52E134A3">
      <w:pPr>
        <w:tabs>
          <w:tab w:val="left" w:pos="426"/>
          <w:tab w:val="left" w:pos="1701"/>
        </w:tabs>
        <w:spacing w:line="360" w:lineRule="auto"/>
        <w:ind w:firstLine="482" w:firstLineChars="200"/>
        <w:rPr>
          <w:rStyle w:val="29"/>
          <w:rFonts w:ascii="宋体" w:hAnsi="宋体" w:cs="宋体"/>
          <w:b/>
          <w:bCs/>
          <w:color w:val="auto"/>
          <w:kern w:val="0"/>
          <w:sz w:val="24"/>
          <w:highlight w:val="none"/>
        </w:rPr>
      </w:pPr>
    </w:p>
    <w:p w14:paraId="6337117D">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采购代理机构：（盖章）</w:t>
      </w:r>
    </w:p>
    <w:p w14:paraId="781BB82E">
      <w:pPr>
        <w:tabs>
          <w:tab w:val="left" w:pos="426"/>
          <w:tab w:val="left" w:pos="1701"/>
        </w:tabs>
        <w:spacing w:line="360" w:lineRule="auto"/>
        <w:ind w:firstLine="480" w:firstLineChars="200"/>
        <w:rPr>
          <w:rStyle w:val="29"/>
          <w:rFonts w:ascii="宋体" w:hAnsi="宋体" w:cs="宋体"/>
          <w:color w:val="auto"/>
          <w:kern w:val="0"/>
          <w:sz w:val="24"/>
          <w:highlight w:val="none"/>
        </w:rPr>
      </w:pPr>
    </w:p>
    <w:p w14:paraId="2586637C">
      <w:pPr>
        <w:tabs>
          <w:tab w:val="left" w:pos="426"/>
          <w:tab w:val="left" w:pos="1701"/>
        </w:tabs>
        <w:spacing w:line="560" w:lineRule="exact"/>
        <w:ind w:firstLine="640" w:firstLineChars="200"/>
        <w:rPr>
          <w:rStyle w:val="29"/>
          <w:rFonts w:ascii="宋体" w:hAnsi="宋体" w:cs="宋体"/>
          <w:strike/>
          <w:color w:val="auto"/>
          <w:kern w:val="0"/>
          <w:sz w:val="32"/>
          <w:szCs w:val="32"/>
          <w:highlight w:val="none"/>
        </w:rPr>
      </w:pPr>
    </w:p>
    <w:p w14:paraId="589A90A3">
      <w:pPr>
        <w:pStyle w:val="2"/>
        <w:rPr>
          <w:rStyle w:val="29"/>
          <w:rFonts w:cs="宋体"/>
          <w:strike/>
          <w:color w:val="auto"/>
          <w:kern w:val="0"/>
          <w:sz w:val="32"/>
          <w:szCs w:val="32"/>
          <w:highlight w:val="none"/>
        </w:rPr>
      </w:pPr>
    </w:p>
    <w:p w14:paraId="4252E9E2">
      <w:pPr>
        <w:pStyle w:val="2"/>
        <w:rPr>
          <w:rStyle w:val="29"/>
          <w:rFonts w:cs="宋体"/>
          <w:strike/>
          <w:color w:val="auto"/>
          <w:kern w:val="0"/>
          <w:sz w:val="32"/>
          <w:szCs w:val="32"/>
          <w:highlight w:val="none"/>
        </w:rPr>
      </w:pPr>
    </w:p>
    <w:p w14:paraId="7A99ECB3">
      <w:pPr>
        <w:pStyle w:val="2"/>
        <w:rPr>
          <w:rStyle w:val="29"/>
          <w:rFonts w:cs="宋体"/>
          <w:strike/>
          <w:color w:val="auto"/>
          <w:kern w:val="0"/>
          <w:sz w:val="32"/>
          <w:szCs w:val="32"/>
          <w:highlight w:val="none"/>
        </w:rPr>
      </w:pPr>
    </w:p>
    <w:p w14:paraId="4E64D49C">
      <w:pPr>
        <w:pStyle w:val="2"/>
        <w:rPr>
          <w:rStyle w:val="29"/>
          <w:rFonts w:cs="宋体"/>
          <w:strike/>
          <w:color w:val="auto"/>
          <w:kern w:val="0"/>
          <w:sz w:val="32"/>
          <w:szCs w:val="32"/>
          <w:highlight w:val="none"/>
        </w:rPr>
      </w:pPr>
    </w:p>
    <w:p w14:paraId="48777C4B">
      <w:pPr>
        <w:pStyle w:val="2"/>
        <w:rPr>
          <w:rStyle w:val="29"/>
          <w:rFonts w:cs="宋体"/>
          <w:strike/>
          <w:color w:val="auto"/>
          <w:kern w:val="0"/>
          <w:sz w:val="32"/>
          <w:szCs w:val="32"/>
          <w:highlight w:val="none"/>
        </w:rPr>
      </w:pPr>
    </w:p>
    <w:p w14:paraId="0976DA24">
      <w:pPr>
        <w:pStyle w:val="2"/>
        <w:rPr>
          <w:rStyle w:val="29"/>
          <w:rFonts w:cs="宋体"/>
          <w:strike/>
          <w:color w:val="auto"/>
          <w:kern w:val="0"/>
          <w:sz w:val="32"/>
          <w:szCs w:val="32"/>
          <w:highlight w:val="none"/>
        </w:rPr>
      </w:pPr>
    </w:p>
    <w:p w14:paraId="0393728D">
      <w:pPr>
        <w:pStyle w:val="2"/>
        <w:rPr>
          <w:rStyle w:val="29"/>
          <w:rFonts w:cs="宋体"/>
          <w:strike/>
          <w:color w:val="auto"/>
          <w:kern w:val="0"/>
          <w:sz w:val="32"/>
          <w:szCs w:val="32"/>
          <w:highlight w:val="none"/>
        </w:rPr>
      </w:pPr>
    </w:p>
    <w:p w14:paraId="72ED0C35">
      <w:pPr>
        <w:pStyle w:val="2"/>
        <w:rPr>
          <w:rStyle w:val="29"/>
          <w:rFonts w:cs="宋体"/>
          <w:strike/>
          <w:color w:val="auto"/>
          <w:kern w:val="0"/>
          <w:sz w:val="32"/>
          <w:szCs w:val="32"/>
          <w:highlight w:val="none"/>
        </w:rPr>
      </w:pPr>
    </w:p>
    <w:p w14:paraId="2CCA25D1">
      <w:pPr>
        <w:pStyle w:val="2"/>
        <w:rPr>
          <w:rStyle w:val="29"/>
          <w:rFonts w:cs="宋体"/>
          <w:strike/>
          <w:color w:val="auto"/>
          <w:kern w:val="0"/>
          <w:sz w:val="32"/>
          <w:szCs w:val="32"/>
          <w:highlight w:val="none"/>
        </w:rPr>
      </w:pPr>
    </w:p>
    <w:p w14:paraId="471B5C9D">
      <w:pPr>
        <w:snapToGrid w:val="0"/>
        <w:spacing w:line="360" w:lineRule="auto"/>
        <w:rPr>
          <w:rStyle w:val="29"/>
          <w:rFonts w:ascii="宋体" w:hAnsi="宋体" w:cs="宋体"/>
          <w:b/>
          <w:bCs/>
          <w:color w:val="auto"/>
          <w:sz w:val="24"/>
          <w:highlight w:val="none"/>
        </w:rPr>
      </w:pPr>
    </w:p>
    <w:p w14:paraId="1273E30A">
      <w:pPr>
        <w:snapToGrid w:val="0"/>
        <w:spacing w:line="360" w:lineRule="auto"/>
        <w:ind w:firstLine="482" w:firstLineChars="200"/>
        <w:rPr>
          <w:rStyle w:val="29"/>
          <w:rFonts w:ascii="宋体" w:hAnsi="宋体" w:cs="宋体"/>
          <w:b/>
          <w:bCs/>
          <w:color w:val="auto"/>
          <w:sz w:val="24"/>
          <w:highlight w:val="none"/>
        </w:rPr>
        <w:sectPr>
          <w:footerReference r:id="rId9" w:type="first"/>
          <w:footerReference r:id="rId8" w:type="default"/>
          <w:pgSz w:w="11906" w:h="16838"/>
          <w:pgMar w:top="1440" w:right="1800" w:bottom="1440" w:left="1800" w:header="851" w:footer="992" w:gutter="0"/>
          <w:cols w:space="425" w:num="1"/>
          <w:titlePg/>
          <w:docGrid w:type="lines" w:linePitch="312" w:charSpace="0"/>
        </w:sectPr>
      </w:pPr>
    </w:p>
    <w:p w14:paraId="2444CA2C">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附件：报价明细表</w:t>
      </w:r>
    </w:p>
    <w:p w14:paraId="534EF5E4">
      <w:pPr>
        <w:kinsoku w:val="0"/>
        <w:autoSpaceDE w:val="0"/>
        <w:autoSpaceDN w:val="0"/>
        <w:adjustRightInd w:val="0"/>
        <w:snapToGrid w:val="0"/>
        <w:spacing w:line="580" w:lineRule="exact"/>
        <w:ind w:firstLine="640" w:firstLineChars="200"/>
        <w:jc w:val="left"/>
        <w:rPr>
          <w:rFonts w:ascii="仿宋" w:hAnsi="仿宋" w:eastAsia="仿宋" w:cs="仿宋"/>
          <w:snapToGrid w:val="0"/>
          <w:color w:val="auto"/>
          <w:kern w:val="0"/>
          <w:sz w:val="32"/>
          <w:szCs w:val="32"/>
          <w:highlight w:val="none"/>
        </w:rPr>
      </w:pPr>
      <w:r>
        <w:rPr>
          <w:rFonts w:hint="eastAsia" w:ascii="仿宋" w:hAnsi="仿宋" w:eastAsia="仿宋" w:cs="仿宋"/>
          <w:snapToGrid w:val="0"/>
          <w:color w:val="auto"/>
          <w:kern w:val="0"/>
          <w:sz w:val="32"/>
          <w:szCs w:val="32"/>
          <w:highlight w:val="none"/>
        </w:rPr>
        <w:t>投标人根据项目情况和自身情况列明各分项价格，要求各分项价格之和等于开标一览表中的投标总价（投标单价）。各分项价格要求完整无漏项，完全包括完成与本项目有关的一切费用，否则视同免费提供。</w:t>
      </w:r>
    </w:p>
    <w:p w14:paraId="6AFCF676">
      <w:pPr>
        <w:kinsoku w:val="0"/>
        <w:autoSpaceDE w:val="0"/>
        <w:autoSpaceDN w:val="0"/>
        <w:adjustRightInd w:val="0"/>
        <w:snapToGrid w:val="0"/>
        <w:spacing w:line="580" w:lineRule="exact"/>
        <w:rPr>
          <w:rFonts w:ascii="仿宋" w:hAnsi="仿宋" w:eastAsia="仿宋" w:cs="仿宋"/>
          <w:snapToGrid w:val="0"/>
          <w:color w:val="auto"/>
          <w:kern w:val="0"/>
          <w:sz w:val="32"/>
          <w:szCs w:val="32"/>
          <w:highlight w:val="none"/>
        </w:rPr>
      </w:pPr>
      <w:r>
        <w:rPr>
          <w:rFonts w:hint="eastAsia" w:ascii="仿宋" w:hAnsi="仿宋" w:eastAsia="仿宋" w:cs="仿宋"/>
          <w:snapToGrid w:val="0"/>
          <w:color w:val="auto"/>
          <w:kern w:val="0"/>
          <w:sz w:val="32"/>
          <w:szCs w:val="32"/>
          <w:highlight w:val="none"/>
        </w:rPr>
        <w:t xml:space="preserve">                                        报价明细表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2487"/>
        <w:gridCol w:w="2007"/>
        <w:gridCol w:w="2562"/>
        <w:gridCol w:w="2169"/>
        <w:gridCol w:w="2262"/>
      </w:tblGrid>
      <w:tr w14:paraId="0B20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58" w:type="dxa"/>
          </w:tcPr>
          <w:p w14:paraId="09462F87">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序号</w:t>
            </w:r>
          </w:p>
        </w:tc>
        <w:tc>
          <w:tcPr>
            <w:tcW w:w="2487" w:type="dxa"/>
          </w:tcPr>
          <w:p w14:paraId="66F4A86C">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项目名称</w:t>
            </w:r>
          </w:p>
        </w:tc>
        <w:tc>
          <w:tcPr>
            <w:tcW w:w="2007" w:type="dxa"/>
          </w:tcPr>
          <w:p w14:paraId="06526021">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数量（吨）</w:t>
            </w:r>
          </w:p>
        </w:tc>
        <w:tc>
          <w:tcPr>
            <w:tcW w:w="2562" w:type="dxa"/>
          </w:tcPr>
          <w:p w14:paraId="236A022A">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投标单价（元/吨）</w:t>
            </w:r>
          </w:p>
        </w:tc>
        <w:tc>
          <w:tcPr>
            <w:tcW w:w="2169" w:type="dxa"/>
          </w:tcPr>
          <w:p w14:paraId="0AACC4F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合价（元）</w:t>
            </w:r>
          </w:p>
        </w:tc>
        <w:tc>
          <w:tcPr>
            <w:tcW w:w="2262" w:type="dxa"/>
          </w:tcPr>
          <w:p w14:paraId="32ECAF38">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备注</w:t>
            </w:r>
          </w:p>
        </w:tc>
      </w:tr>
      <w:tr w14:paraId="4698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58" w:type="dxa"/>
            <w:vAlign w:val="center"/>
          </w:tcPr>
          <w:p w14:paraId="31BDEA9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1</w:t>
            </w:r>
          </w:p>
        </w:tc>
        <w:tc>
          <w:tcPr>
            <w:tcW w:w="2487" w:type="dxa"/>
            <w:vAlign w:val="center"/>
          </w:tcPr>
          <w:p w14:paraId="6F77A25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污泥处理处置费</w:t>
            </w:r>
          </w:p>
        </w:tc>
        <w:tc>
          <w:tcPr>
            <w:tcW w:w="2007" w:type="dxa"/>
            <w:vAlign w:val="center"/>
          </w:tcPr>
          <w:p w14:paraId="6EB816BA">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60D57CE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4E3B310">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vMerge w:val="restart"/>
          </w:tcPr>
          <w:p w14:paraId="3E0FFD18">
            <w:pPr>
              <w:widowControl/>
              <w:jc w:val="center"/>
              <w:rPr>
                <w:rFonts w:ascii="宋体" w:hAnsi="宋体" w:cs="宋体"/>
                <w:snapToGrid w:val="0"/>
                <w:color w:val="auto"/>
                <w:kern w:val="0"/>
                <w:sz w:val="24"/>
                <w:highlight w:val="none"/>
              </w:rPr>
            </w:pPr>
          </w:p>
          <w:p w14:paraId="5D210ADA">
            <w:pPr>
              <w:widowControl/>
              <w:jc w:val="center"/>
              <w:rPr>
                <w:color w:val="auto"/>
                <w:highlight w:val="none"/>
              </w:rPr>
            </w:pPr>
            <w:r>
              <w:rPr>
                <w:rFonts w:hint="eastAsia" w:ascii="宋体" w:hAnsi="宋体" w:cs="宋体"/>
                <w:snapToGrid w:val="0"/>
                <w:color w:val="auto"/>
                <w:kern w:val="0"/>
                <w:sz w:val="24"/>
                <w:highlight w:val="none"/>
              </w:rPr>
              <w:t>污泥数量按实际污泥处理量进行结算</w:t>
            </w:r>
          </w:p>
          <w:p w14:paraId="41EC847B">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4EE52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058" w:type="dxa"/>
            <w:vAlign w:val="center"/>
          </w:tcPr>
          <w:p w14:paraId="32D8CC71">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2</w:t>
            </w:r>
          </w:p>
        </w:tc>
        <w:tc>
          <w:tcPr>
            <w:tcW w:w="2487" w:type="dxa"/>
            <w:vAlign w:val="center"/>
          </w:tcPr>
          <w:p w14:paraId="03B1659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运输费</w:t>
            </w:r>
          </w:p>
        </w:tc>
        <w:tc>
          <w:tcPr>
            <w:tcW w:w="2007" w:type="dxa"/>
            <w:vAlign w:val="center"/>
          </w:tcPr>
          <w:p w14:paraId="499DE500">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25C0E9F3">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7E2EDCF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vMerge w:val="continue"/>
          </w:tcPr>
          <w:p w14:paraId="018F0A3C">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05286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2006F0CF">
            <w:pPr>
              <w:widowControl w:val="0"/>
              <w:kinsoku w:val="0"/>
              <w:autoSpaceDE w:val="0"/>
              <w:autoSpaceDN w:val="0"/>
              <w:adjustRightInd w:val="0"/>
              <w:snapToGrid w:val="0"/>
              <w:spacing w:before="222" w:line="201" w:lineRule="auto"/>
              <w:jc w:val="center"/>
              <w:rPr>
                <w:rFonts w:hint="default" w:ascii="仿宋" w:hAnsi="仿宋" w:eastAsia="仿宋" w:cs="仿宋"/>
                <w:color w:val="auto"/>
                <w:spacing w:val="-16"/>
                <w:sz w:val="30"/>
                <w:szCs w:val="30"/>
                <w:highlight w:val="none"/>
                <w:lang w:val="en-US" w:eastAsia="zh-CN"/>
              </w:rPr>
            </w:pPr>
            <w:r>
              <w:rPr>
                <w:rFonts w:hint="eastAsia" w:ascii="仿宋" w:hAnsi="仿宋" w:eastAsia="仿宋" w:cs="仿宋"/>
                <w:color w:val="auto"/>
                <w:spacing w:val="-16"/>
                <w:sz w:val="30"/>
                <w:szCs w:val="30"/>
                <w:highlight w:val="none"/>
                <w:lang w:val="en-US" w:eastAsia="zh-CN"/>
              </w:rPr>
              <w:t>...</w:t>
            </w:r>
          </w:p>
        </w:tc>
        <w:tc>
          <w:tcPr>
            <w:tcW w:w="2487" w:type="dxa"/>
            <w:vAlign w:val="center"/>
          </w:tcPr>
          <w:p w14:paraId="1ED816E3">
            <w:pPr>
              <w:widowControl w:val="0"/>
              <w:kinsoku w:val="0"/>
              <w:autoSpaceDE w:val="0"/>
              <w:autoSpaceDN w:val="0"/>
              <w:adjustRightInd w:val="0"/>
              <w:snapToGrid w:val="0"/>
              <w:spacing w:before="222" w:line="201" w:lineRule="auto"/>
              <w:jc w:val="center"/>
              <w:rPr>
                <w:rFonts w:hint="default" w:ascii="仿宋" w:hAnsi="仿宋" w:eastAsia="仿宋" w:cs="仿宋"/>
                <w:color w:val="auto"/>
                <w:spacing w:val="-16"/>
                <w:sz w:val="30"/>
                <w:szCs w:val="30"/>
                <w:highlight w:val="none"/>
                <w:lang w:val="en-US" w:eastAsia="zh-CN"/>
              </w:rPr>
            </w:pPr>
            <w:r>
              <w:rPr>
                <w:rFonts w:hint="eastAsia" w:ascii="仿宋" w:hAnsi="仿宋" w:eastAsia="仿宋" w:cs="仿宋"/>
                <w:color w:val="auto"/>
                <w:spacing w:val="-16"/>
                <w:sz w:val="30"/>
                <w:szCs w:val="30"/>
                <w:highlight w:val="none"/>
                <w:lang w:val="en-US" w:eastAsia="zh-CN"/>
              </w:rPr>
              <w:t>...</w:t>
            </w:r>
          </w:p>
        </w:tc>
        <w:tc>
          <w:tcPr>
            <w:tcW w:w="2007" w:type="dxa"/>
            <w:vAlign w:val="center"/>
          </w:tcPr>
          <w:p w14:paraId="06D27BCC">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58FF6764">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F35E7AD">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73E5BBF2">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63AF4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32ABE42A">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3</w:t>
            </w:r>
          </w:p>
        </w:tc>
        <w:tc>
          <w:tcPr>
            <w:tcW w:w="2487" w:type="dxa"/>
            <w:vAlign w:val="center"/>
          </w:tcPr>
          <w:p w14:paraId="3592B9E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合计</w:t>
            </w:r>
          </w:p>
        </w:tc>
        <w:tc>
          <w:tcPr>
            <w:tcW w:w="2007" w:type="dxa"/>
            <w:vAlign w:val="center"/>
          </w:tcPr>
          <w:p w14:paraId="53902136">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042ACEE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2B8910D2">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4D718D65">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24EF9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440DE2FB">
            <w:pPr>
              <w:widowControl w:val="0"/>
              <w:kinsoku w:val="0"/>
              <w:autoSpaceDE w:val="0"/>
              <w:autoSpaceDN w:val="0"/>
              <w:adjustRightInd w:val="0"/>
              <w:snapToGrid w:val="0"/>
              <w:spacing w:before="222" w:line="201" w:lineRule="auto"/>
              <w:jc w:val="center"/>
              <w:rPr>
                <w:rFonts w:hint="eastAsia" w:ascii="仿宋" w:hAnsi="仿宋" w:eastAsia="仿宋" w:cs="仿宋"/>
                <w:color w:val="auto"/>
                <w:spacing w:val="-16"/>
                <w:sz w:val="30"/>
                <w:szCs w:val="30"/>
                <w:highlight w:val="none"/>
              </w:rPr>
            </w:pPr>
          </w:p>
        </w:tc>
        <w:tc>
          <w:tcPr>
            <w:tcW w:w="2487" w:type="dxa"/>
            <w:vAlign w:val="center"/>
          </w:tcPr>
          <w:p w14:paraId="55D3ABF8">
            <w:pPr>
              <w:widowControl w:val="0"/>
              <w:kinsoku w:val="0"/>
              <w:autoSpaceDE w:val="0"/>
              <w:autoSpaceDN w:val="0"/>
              <w:adjustRightInd w:val="0"/>
              <w:snapToGrid w:val="0"/>
              <w:spacing w:before="222" w:line="201" w:lineRule="auto"/>
              <w:jc w:val="center"/>
              <w:rPr>
                <w:rFonts w:hint="eastAsia" w:ascii="仿宋" w:hAnsi="仿宋" w:eastAsia="仿宋" w:cs="仿宋"/>
                <w:color w:val="auto"/>
                <w:spacing w:val="-16"/>
                <w:sz w:val="30"/>
                <w:szCs w:val="30"/>
                <w:highlight w:val="none"/>
              </w:rPr>
            </w:pPr>
          </w:p>
        </w:tc>
        <w:tc>
          <w:tcPr>
            <w:tcW w:w="2007" w:type="dxa"/>
            <w:vAlign w:val="center"/>
          </w:tcPr>
          <w:p w14:paraId="243A7811">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2AE52D9C">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9CC7F5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7F2123DA">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bl>
    <w:p w14:paraId="1713B85B">
      <w:pPr>
        <w:rPr>
          <w:rStyle w:val="29"/>
          <w:rFonts w:cs="宋体"/>
          <w:color w:val="auto"/>
          <w:kern w:val="0"/>
          <w:sz w:val="24"/>
          <w:szCs w:val="24"/>
          <w:highlight w:val="none"/>
        </w:rPr>
      </w:pPr>
      <w:r>
        <w:rPr>
          <w:rStyle w:val="29"/>
          <w:rFonts w:cs="宋体"/>
          <w:color w:val="auto"/>
          <w:kern w:val="0"/>
          <w:sz w:val="24"/>
          <w:szCs w:val="24"/>
          <w:highlight w:val="none"/>
        </w:rPr>
        <w:br w:type="page"/>
      </w:r>
    </w:p>
    <w:p w14:paraId="67E93340">
      <w:pPr>
        <w:pStyle w:val="2"/>
        <w:ind w:firstLine="450"/>
        <w:rPr>
          <w:rStyle w:val="29"/>
          <w:rFonts w:cs="宋体"/>
          <w:color w:val="auto"/>
          <w:kern w:val="0"/>
          <w:sz w:val="24"/>
          <w:szCs w:val="24"/>
          <w:highlight w:val="none"/>
        </w:rPr>
        <w:sectPr>
          <w:pgSz w:w="16838" w:h="11906" w:orient="landscape"/>
          <w:pgMar w:top="1800" w:right="1440" w:bottom="1800" w:left="1440" w:header="851" w:footer="992" w:gutter="0"/>
          <w:cols w:space="425" w:num="1"/>
          <w:titlePg/>
          <w:docGrid w:type="lines" w:linePitch="312" w:charSpace="0"/>
        </w:sectPr>
      </w:pPr>
    </w:p>
    <w:p w14:paraId="482BE6A9">
      <w:pPr>
        <w:tabs>
          <w:tab w:val="left" w:pos="1701"/>
        </w:tabs>
        <w:spacing w:line="560" w:lineRule="exact"/>
        <w:ind w:firstLine="643" w:firstLineChars="200"/>
        <w:rPr>
          <w:rStyle w:val="29"/>
          <w:rFonts w:ascii="宋体" w:hAnsi="宋体" w:cs="宋体"/>
          <w:b/>
          <w:color w:val="auto"/>
          <w:sz w:val="32"/>
          <w:szCs w:val="32"/>
          <w:highlight w:val="none"/>
        </w:rPr>
      </w:pPr>
    </w:p>
    <w:p w14:paraId="29DB38DB">
      <w:pPr>
        <w:tabs>
          <w:tab w:val="left" w:pos="1701"/>
        </w:tabs>
        <w:spacing w:line="560" w:lineRule="exact"/>
        <w:ind w:firstLine="643" w:firstLineChars="200"/>
        <w:rPr>
          <w:rStyle w:val="29"/>
          <w:rFonts w:ascii="宋体" w:hAnsi="宋体" w:cs="宋体"/>
          <w:b/>
          <w:color w:val="auto"/>
          <w:sz w:val="32"/>
          <w:szCs w:val="32"/>
          <w:highlight w:val="none"/>
        </w:rPr>
      </w:pPr>
    </w:p>
    <w:p w14:paraId="2E682FDB">
      <w:pPr>
        <w:tabs>
          <w:tab w:val="left" w:pos="1701"/>
        </w:tabs>
        <w:spacing w:line="560" w:lineRule="exact"/>
        <w:ind w:firstLine="643" w:firstLineChars="200"/>
        <w:rPr>
          <w:rStyle w:val="29"/>
          <w:rFonts w:ascii="宋体" w:hAnsi="宋体" w:cs="宋体"/>
          <w:b/>
          <w:color w:val="auto"/>
          <w:sz w:val="32"/>
          <w:szCs w:val="32"/>
          <w:highlight w:val="none"/>
        </w:rPr>
      </w:pPr>
    </w:p>
    <w:p w14:paraId="53F04BA9">
      <w:pPr>
        <w:tabs>
          <w:tab w:val="left" w:pos="1701"/>
        </w:tabs>
        <w:spacing w:line="560" w:lineRule="exact"/>
        <w:ind w:firstLine="643" w:firstLineChars="200"/>
        <w:rPr>
          <w:rStyle w:val="29"/>
          <w:rFonts w:ascii="宋体" w:hAnsi="宋体" w:cs="宋体"/>
          <w:b/>
          <w:color w:val="auto"/>
          <w:sz w:val="32"/>
          <w:szCs w:val="32"/>
          <w:highlight w:val="none"/>
        </w:rPr>
      </w:pPr>
    </w:p>
    <w:p w14:paraId="42FCAD7D">
      <w:pPr>
        <w:tabs>
          <w:tab w:val="left" w:pos="1701"/>
        </w:tabs>
        <w:spacing w:line="560" w:lineRule="exact"/>
        <w:ind w:firstLine="643" w:firstLineChars="200"/>
        <w:rPr>
          <w:rStyle w:val="29"/>
          <w:rFonts w:ascii="宋体" w:hAnsi="宋体" w:cs="宋体"/>
          <w:b/>
          <w:color w:val="auto"/>
          <w:sz w:val="32"/>
          <w:szCs w:val="32"/>
          <w:highlight w:val="none"/>
        </w:rPr>
      </w:pPr>
    </w:p>
    <w:p w14:paraId="18E0C69B">
      <w:pPr>
        <w:tabs>
          <w:tab w:val="left" w:pos="1701"/>
        </w:tabs>
        <w:spacing w:line="560" w:lineRule="exact"/>
        <w:jc w:val="center"/>
        <w:outlineLvl w:val="0"/>
        <w:rPr>
          <w:rStyle w:val="29"/>
          <w:rFonts w:hint="eastAsia" w:ascii="宋体" w:hAnsi="宋体" w:cs="宋体"/>
          <w:b/>
          <w:color w:val="auto"/>
          <w:sz w:val="32"/>
          <w:szCs w:val="32"/>
          <w:highlight w:val="none"/>
        </w:rPr>
      </w:pPr>
      <w:r>
        <w:rPr>
          <w:rStyle w:val="29"/>
          <w:rFonts w:hint="eastAsia" w:ascii="宋体" w:hAnsi="宋体" w:cs="宋体"/>
          <w:b/>
          <w:color w:val="auto"/>
          <w:sz w:val="32"/>
          <w:szCs w:val="32"/>
          <w:highlight w:val="none"/>
        </w:rPr>
        <w:t>海口市202</w:t>
      </w:r>
      <w:r>
        <w:rPr>
          <w:rStyle w:val="29"/>
          <w:rFonts w:hint="eastAsia" w:ascii="宋体" w:hAnsi="宋体" w:cs="宋体"/>
          <w:b/>
          <w:color w:val="auto"/>
          <w:sz w:val="32"/>
          <w:szCs w:val="32"/>
          <w:highlight w:val="none"/>
          <w:lang w:val="en-US" w:eastAsia="zh"/>
        </w:rPr>
        <w:t>5</w:t>
      </w:r>
      <w:r>
        <w:rPr>
          <w:rStyle w:val="29"/>
          <w:rFonts w:hint="eastAsia" w:ascii="宋体" w:hAnsi="宋体" w:cs="宋体"/>
          <w:b/>
          <w:color w:val="auto"/>
          <w:sz w:val="32"/>
          <w:szCs w:val="32"/>
          <w:highlight w:val="none"/>
        </w:rPr>
        <w:t>-202</w:t>
      </w:r>
      <w:r>
        <w:rPr>
          <w:rStyle w:val="29"/>
          <w:rFonts w:hint="eastAsia" w:ascii="宋体" w:hAnsi="宋体" w:cs="宋体"/>
          <w:b/>
          <w:color w:val="auto"/>
          <w:sz w:val="32"/>
          <w:szCs w:val="32"/>
          <w:highlight w:val="none"/>
          <w:lang w:val="en-US" w:eastAsia="zh"/>
        </w:rPr>
        <w:t>8</w:t>
      </w:r>
      <w:r>
        <w:rPr>
          <w:rStyle w:val="29"/>
          <w:rFonts w:hint="eastAsia" w:ascii="宋体" w:hAnsi="宋体" w:cs="宋体"/>
          <w:b/>
          <w:color w:val="auto"/>
          <w:sz w:val="32"/>
          <w:szCs w:val="32"/>
          <w:highlight w:val="none"/>
        </w:rPr>
        <w:t>年污泥处理处置政府购买服务</w:t>
      </w:r>
    </w:p>
    <w:p w14:paraId="28282F65">
      <w:pPr>
        <w:tabs>
          <w:tab w:val="left" w:pos="1701"/>
        </w:tabs>
        <w:spacing w:line="560" w:lineRule="exact"/>
        <w:jc w:val="center"/>
        <w:outlineLvl w:val="0"/>
        <w:rPr>
          <w:rStyle w:val="29"/>
          <w:rFonts w:ascii="宋体" w:hAnsi="宋体" w:cs="宋体"/>
          <w:b/>
          <w:color w:val="auto"/>
          <w:sz w:val="32"/>
          <w:szCs w:val="32"/>
          <w:highlight w:val="none"/>
        </w:rPr>
      </w:pPr>
      <w:r>
        <w:rPr>
          <w:rStyle w:val="29"/>
          <w:rFonts w:hint="eastAsia" w:ascii="宋体" w:hAnsi="宋体" w:cs="宋体"/>
          <w:b/>
          <w:color w:val="auto"/>
          <w:sz w:val="32"/>
          <w:szCs w:val="32"/>
          <w:highlight w:val="none"/>
        </w:rPr>
        <w:t>采购包</w:t>
      </w:r>
      <w:r>
        <w:rPr>
          <w:rStyle w:val="29"/>
          <w:rFonts w:hint="eastAsia" w:ascii="宋体" w:hAnsi="宋体" w:cs="宋体"/>
          <w:b/>
          <w:color w:val="auto"/>
          <w:sz w:val="32"/>
          <w:szCs w:val="32"/>
          <w:highlight w:val="none"/>
          <w:lang w:val="en-US" w:eastAsia="zh-CN"/>
        </w:rPr>
        <w:t>2</w:t>
      </w:r>
      <w:r>
        <w:rPr>
          <w:rStyle w:val="29"/>
          <w:rFonts w:hint="eastAsia" w:ascii="宋体" w:hAnsi="宋体" w:cs="宋体"/>
          <w:b/>
          <w:color w:val="auto"/>
          <w:sz w:val="32"/>
          <w:szCs w:val="32"/>
          <w:highlight w:val="none"/>
        </w:rPr>
        <w:t>协议</w:t>
      </w:r>
    </w:p>
    <w:p w14:paraId="3F365CB2">
      <w:pPr>
        <w:tabs>
          <w:tab w:val="left" w:pos="1701"/>
        </w:tabs>
        <w:spacing w:line="560" w:lineRule="exact"/>
        <w:ind w:firstLine="643" w:firstLineChars="200"/>
        <w:rPr>
          <w:rStyle w:val="29"/>
          <w:rFonts w:ascii="宋体" w:hAnsi="宋体" w:cs="宋体"/>
          <w:b/>
          <w:color w:val="auto"/>
          <w:sz w:val="32"/>
          <w:szCs w:val="32"/>
          <w:highlight w:val="none"/>
        </w:rPr>
      </w:pPr>
    </w:p>
    <w:p w14:paraId="315BA3D0">
      <w:pPr>
        <w:tabs>
          <w:tab w:val="left" w:pos="1701"/>
        </w:tabs>
        <w:spacing w:line="560" w:lineRule="exact"/>
        <w:ind w:firstLine="643" w:firstLineChars="200"/>
        <w:rPr>
          <w:rStyle w:val="29"/>
          <w:rFonts w:ascii="宋体" w:hAnsi="宋体" w:cs="宋体"/>
          <w:b/>
          <w:bCs/>
          <w:color w:val="auto"/>
          <w:sz w:val="32"/>
          <w:szCs w:val="32"/>
          <w:highlight w:val="none"/>
        </w:rPr>
      </w:pPr>
    </w:p>
    <w:p w14:paraId="2DEA9933">
      <w:pPr>
        <w:tabs>
          <w:tab w:val="left" w:pos="1701"/>
        </w:tabs>
        <w:spacing w:line="560" w:lineRule="exact"/>
        <w:ind w:firstLine="643" w:firstLineChars="200"/>
        <w:rPr>
          <w:rStyle w:val="29"/>
          <w:rFonts w:ascii="宋体" w:hAnsi="宋体" w:cs="宋体"/>
          <w:b/>
          <w:bCs/>
          <w:color w:val="auto"/>
          <w:sz w:val="32"/>
          <w:szCs w:val="32"/>
          <w:highlight w:val="none"/>
        </w:rPr>
      </w:pPr>
    </w:p>
    <w:p w14:paraId="373534B7">
      <w:pPr>
        <w:tabs>
          <w:tab w:val="left" w:pos="1701"/>
        </w:tabs>
        <w:spacing w:line="560" w:lineRule="exact"/>
        <w:ind w:firstLine="643" w:firstLineChars="200"/>
        <w:rPr>
          <w:rStyle w:val="29"/>
          <w:rFonts w:ascii="宋体" w:hAnsi="宋体" w:cs="宋体"/>
          <w:b/>
          <w:bCs/>
          <w:color w:val="auto"/>
          <w:sz w:val="32"/>
          <w:szCs w:val="32"/>
          <w:highlight w:val="none"/>
        </w:rPr>
      </w:pPr>
    </w:p>
    <w:p w14:paraId="597AB461">
      <w:pPr>
        <w:tabs>
          <w:tab w:val="left" w:pos="1701"/>
        </w:tabs>
        <w:spacing w:line="560" w:lineRule="exact"/>
        <w:ind w:firstLine="643" w:firstLineChars="200"/>
        <w:rPr>
          <w:rStyle w:val="29"/>
          <w:rFonts w:ascii="宋体" w:hAnsi="宋体" w:cs="宋体"/>
          <w:b/>
          <w:bCs/>
          <w:color w:val="auto"/>
          <w:sz w:val="32"/>
          <w:szCs w:val="32"/>
          <w:highlight w:val="none"/>
        </w:rPr>
      </w:pPr>
    </w:p>
    <w:p w14:paraId="21801497">
      <w:pPr>
        <w:tabs>
          <w:tab w:val="left" w:pos="1701"/>
        </w:tabs>
        <w:spacing w:line="560" w:lineRule="exact"/>
        <w:ind w:firstLine="643" w:firstLineChars="200"/>
        <w:rPr>
          <w:rStyle w:val="29"/>
          <w:rFonts w:ascii="宋体" w:hAnsi="宋体" w:cs="宋体"/>
          <w:b/>
          <w:bCs/>
          <w:color w:val="auto"/>
          <w:sz w:val="32"/>
          <w:szCs w:val="32"/>
          <w:highlight w:val="none"/>
        </w:rPr>
      </w:pPr>
    </w:p>
    <w:p w14:paraId="4844731A">
      <w:pPr>
        <w:tabs>
          <w:tab w:val="left" w:pos="1701"/>
        </w:tabs>
        <w:spacing w:line="560" w:lineRule="exact"/>
        <w:ind w:firstLine="643" w:firstLineChars="200"/>
        <w:rPr>
          <w:rStyle w:val="29"/>
          <w:rFonts w:ascii="宋体" w:hAnsi="宋体" w:cs="宋体"/>
          <w:b/>
          <w:bCs/>
          <w:color w:val="auto"/>
          <w:sz w:val="32"/>
          <w:szCs w:val="32"/>
          <w:highlight w:val="none"/>
        </w:rPr>
      </w:pPr>
    </w:p>
    <w:p w14:paraId="01A20D71">
      <w:pPr>
        <w:tabs>
          <w:tab w:val="left" w:pos="1701"/>
        </w:tabs>
        <w:spacing w:line="560" w:lineRule="exact"/>
        <w:ind w:firstLine="643" w:firstLineChars="200"/>
        <w:rPr>
          <w:rStyle w:val="29"/>
          <w:rFonts w:ascii="宋体" w:hAnsi="宋体" w:cs="宋体"/>
          <w:b/>
          <w:bCs/>
          <w:color w:val="auto"/>
          <w:sz w:val="32"/>
          <w:szCs w:val="32"/>
          <w:highlight w:val="none"/>
        </w:rPr>
      </w:pPr>
    </w:p>
    <w:p w14:paraId="7D2BA435">
      <w:pPr>
        <w:tabs>
          <w:tab w:val="left" w:pos="1701"/>
        </w:tabs>
        <w:spacing w:line="560" w:lineRule="exact"/>
        <w:ind w:firstLine="643" w:firstLineChars="200"/>
        <w:rPr>
          <w:rStyle w:val="29"/>
          <w:rFonts w:ascii="宋体" w:hAnsi="宋体" w:cs="宋体"/>
          <w:b/>
          <w:bCs/>
          <w:color w:val="auto"/>
          <w:sz w:val="32"/>
          <w:szCs w:val="32"/>
          <w:highlight w:val="none"/>
        </w:rPr>
      </w:pPr>
    </w:p>
    <w:p w14:paraId="3D0FCCFB">
      <w:pPr>
        <w:tabs>
          <w:tab w:val="left" w:pos="1701"/>
        </w:tabs>
        <w:spacing w:line="560" w:lineRule="exact"/>
        <w:ind w:firstLine="643" w:firstLineChars="200"/>
        <w:rPr>
          <w:rStyle w:val="29"/>
          <w:rFonts w:ascii="宋体" w:hAnsi="宋体" w:cs="宋体"/>
          <w:b/>
          <w:bCs/>
          <w:color w:val="auto"/>
          <w:sz w:val="32"/>
          <w:szCs w:val="32"/>
          <w:highlight w:val="none"/>
        </w:rPr>
      </w:pPr>
    </w:p>
    <w:p w14:paraId="08F564CF">
      <w:pPr>
        <w:tabs>
          <w:tab w:val="left" w:pos="1701"/>
        </w:tabs>
        <w:spacing w:line="560" w:lineRule="exact"/>
        <w:ind w:firstLine="643" w:firstLineChars="200"/>
        <w:rPr>
          <w:rStyle w:val="29"/>
          <w:rFonts w:ascii="宋体" w:hAnsi="宋体" w:cs="宋体"/>
          <w:b/>
          <w:bCs/>
          <w:color w:val="auto"/>
          <w:sz w:val="32"/>
          <w:szCs w:val="32"/>
          <w:highlight w:val="none"/>
        </w:rPr>
      </w:pPr>
    </w:p>
    <w:p w14:paraId="24356B70">
      <w:pPr>
        <w:pStyle w:val="22"/>
        <w:tabs>
          <w:tab w:val="left" w:pos="1701"/>
        </w:tabs>
        <w:spacing w:after="0" w:line="560" w:lineRule="exact"/>
        <w:ind w:left="0" w:leftChars="0" w:firstLine="643" w:firstLineChars="200"/>
        <w:rPr>
          <w:rStyle w:val="29"/>
          <w:rFonts w:ascii="宋体" w:hAnsi="宋体" w:cs="宋体"/>
          <w:b/>
          <w:color w:val="auto"/>
          <w:sz w:val="32"/>
          <w:szCs w:val="32"/>
          <w:highlight w:val="none"/>
        </w:rPr>
      </w:pPr>
    </w:p>
    <w:p w14:paraId="3E24A879">
      <w:pPr>
        <w:pStyle w:val="23"/>
        <w:rPr>
          <w:rStyle w:val="29"/>
          <w:rFonts w:ascii="宋体" w:hAnsi="宋体" w:eastAsia="宋体" w:cs="宋体"/>
          <w:b/>
          <w:color w:val="auto"/>
          <w:sz w:val="32"/>
          <w:szCs w:val="32"/>
          <w:highlight w:val="none"/>
        </w:rPr>
      </w:pPr>
    </w:p>
    <w:p w14:paraId="3F5EF73C">
      <w:pPr>
        <w:pStyle w:val="23"/>
        <w:rPr>
          <w:rStyle w:val="29"/>
          <w:rFonts w:ascii="宋体" w:hAnsi="宋体" w:eastAsia="宋体" w:cs="宋体"/>
          <w:b/>
          <w:color w:val="auto"/>
          <w:sz w:val="32"/>
          <w:szCs w:val="32"/>
          <w:highlight w:val="none"/>
        </w:rPr>
      </w:pPr>
    </w:p>
    <w:p w14:paraId="44CDCA34">
      <w:pPr>
        <w:pStyle w:val="47"/>
        <w:tabs>
          <w:tab w:val="left" w:pos="639"/>
          <w:tab w:val="left" w:pos="1701"/>
          <w:tab w:val="center" w:pos="4214"/>
        </w:tabs>
        <w:spacing w:before="0" w:after="0" w:line="560" w:lineRule="exact"/>
        <w:ind w:firstLine="643" w:firstLineChars="200"/>
        <w:jc w:val="both"/>
        <w:outlineLvl w:val="0"/>
        <w:rPr>
          <w:rStyle w:val="29"/>
          <w:rFonts w:ascii="宋体" w:hAnsi="宋体" w:cs="宋体"/>
          <w:color w:val="auto"/>
          <w:sz w:val="32"/>
          <w:szCs w:val="32"/>
          <w:highlight w:val="none"/>
        </w:rPr>
      </w:pPr>
    </w:p>
    <w:p w14:paraId="71F3768C">
      <w:pPr>
        <w:pStyle w:val="47"/>
        <w:tabs>
          <w:tab w:val="left" w:pos="639"/>
          <w:tab w:val="left" w:pos="1701"/>
          <w:tab w:val="center" w:pos="4214"/>
        </w:tabs>
        <w:spacing w:before="0" w:after="0" w:line="560" w:lineRule="exact"/>
        <w:ind w:firstLine="643" w:firstLineChars="200"/>
        <w:jc w:val="both"/>
        <w:outlineLvl w:val="0"/>
        <w:rPr>
          <w:rStyle w:val="29"/>
          <w:rFonts w:ascii="宋体" w:hAnsi="宋体" w:cs="宋体"/>
          <w:color w:val="auto"/>
          <w:sz w:val="32"/>
          <w:szCs w:val="32"/>
          <w:highlight w:val="none"/>
        </w:rPr>
      </w:pPr>
      <w:r>
        <w:rPr>
          <w:rStyle w:val="29"/>
          <w:rFonts w:hint="eastAsia" w:ascii="宋体" w:hAnsi="宋体" w:cs="宋体"/>
          <w:color w:val="auto"/>
          <w:sz w:val="32"/>
          <w:szCs w:val="32"/>
          <w:highlight w:val="none"/>
        </w:rPr>
        <w:tab/>
      </w:r>
      <w:r>
        <w:rPr>
          <w:rStyle w:val="29"/>
          <w:rFonts w:hint="eastAsia" w:ascii="宋体" w:hAnsi="宋体" w:cs="宋体"/>
          <w:color w:val="auto"/>
          <w:sz w:val="32"/>
          <w:szCs w:val="32"/>
          <w:highlight w:val="none"/>
        </w:rPr>
        <w:tab/>
      </w:r>
    </w:p>
    <w:p w14:paraId="307C1ABC">
      <w:pPr>
        <w:pStyle w:val="47"/>
        <w:tabs>
          <w:tab w:val="left" w:pos="639"/>
          <w:tab w:val="left" w:pos="1701"/>
          <w:tab w:val="center" w:pos="4214"/>
        </w:tabs>
        <w:spacing w:before="0" w:after="0" w:line="560" w:lineRule="exact"/>
        <w:jc w:val="both"/>
        <w:outlineLvl w:val="0"/>
        <w:rPr>
          <w:rStyle w:val="29"/>
          <w:rFonts w:ascii="宋体" w:hAnsi="宋体" w:cs="宋体"/>
          <w:color w:val="auto"/>
          <w:sz w:val="32"/>
          <w:szCs w:val="32"/>
          <w:highlight w:val="none"/>
        </w:rPr>
      </w:pPr>
    </w:p>
    <w:p w14:paraId="3FC22ADC">
      <w:pPr>
        <w:rPr>
          <w:b/>
          <w:bCs/>
          <w:color w:val="auto"/>
          <w:sz w:val="28"/>
          <w:szCs w:val="28"/>
          <w:highlight w:val="none"/>
        </w:rPr>
        <w:sectPr>
          <w:footerReference r:id="rId14" w:type="first"/>
          <w:headerReference r:id="rId10" w:type="default"/>
          <w:footerReference r:id="rId12" w:type="default"/>
          <w:headerReference r:id="rId11" w:type="even"/>
          <w:footerReference r:id="rId13" w:type="even"/>
          <w:pgSz w:w="11906" w:h="16838"/>
          <w:pgMar w:top="1440" w:right="1800" w:bottom="1440" w:left="1800" w:header="851" w:footer="992" w:gutter="0"/>
          <w:pgNumType w:start="1"/>
          <w:cols w:space="425" w:num="1"/>
          <w:titlePg/>
          <w:docGrid w:type="lines" w:linePitch="312" w:charSpace="0"/>
        </w:sectPr>
      </w:pPr>
    </w:p>
    <w:sdt>
      <w:sdtPr>
        <w:rPr>
          <w:rFonts w:ascii="宋体" w:hAnsi="宋体" w:eastAsia="宋体" w:cs="Times New Roman"/>
          <w:color w:val="auto"/>
          <w:kern w:val="2"/>
          <w:sz w:val="21"/>
          <w:szCs w:val="24"/>
          <w:highlight w:val="none"/>
          <w:lang w:val="en-US" w:eastAsia="zh-CN" w:bidi="ar-SA"/>
        </w:rPr>
        <w:id w:val="147456160"/>
        <w:docPartObj>
          <w:docPartGallery w:val="Table of Contents"/>
          <w:docPartUnique/>
        </w:docPartObj>
      </w:sdtPr>
      <w:sdtEndPr>
        <w:rPr>
          <w:rFonts w:ascii="Times New Roman" w:hAnsi="Times New Roman" w:eastAsia="宋体" w:cs="Times New Roman"/>
          <w:color w:val="auto"/>
          <w:kern w:val="2"/>
          <w:sz w:val="24"/>
          <w:szCs w:val="24"/>
          <w:highlight w:val="none"/>
          <w:lang w:val="en-US" w:eastAsia="zh-CN" w:bidi="ar-SA"/>
        </w:rPr>
      </w:sdtEndPr>
      <w:sdtContent>
        <w:p w14:paraId="50B01CE3">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rPr>
              <w:color w:val="auto"/>
              <w:sz w:val="24"/>
              <w:szCs w:val="24"/>
              <w:highlight w:val="none"/>
            </w:rPr>
          </w:pPr>
          <w:r>
            <w:rPr>
              <w:rFonts w:ascii="宋体" w:hAnsi="宋体" w:eastAsia="宋体"/>
              <w:color w:val="auto"/>
              <w:sz w:val="24"/>
              <w:szCs w:val="24"/>
              <w:highlight w:val="none"/>
            </w:rPr>
            <w:t>目录</w:t>
          </w:r>
        </w:p>
        <w:p w14:paraId="4DE1606C">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_Toc1266149201_WPSOffice_Level1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9450"/>
              <w:placeholder>
                <w:docPart w:val="{93e4e7a6-98e4-4eda-916a-092464e1a8cb}"/>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第一条 定义和解释</w:t>
              </w:r>
            </w:sdtContent>
          </w:sdt>
          <w:r>
            <w:rPr>
              <w:color w:val="auto"/>
              <w:sz w:val="24"/>
              <w:szCs w:val="24"/>
              <w:highlight w:val="none"/>
            </w:rPr>
            <w:tab/>
          </w:r>
          <w:r>
            <w:rPr>
              <w:color w:val="auto"/>
              <w:sz w:val="24"/>
              <w:szCs w:val="24"/>
              <w:highlight w:val="none"/>
            </w:rPr>
            <w:t>5</w:t>
          </w:r>
          <w:r>
            <w:rPr>
              <w:color w:val="auto"/>
              <w:sz w:val="24"/>
              <w:szCs w:val="24"/>
              <w:highlight w:val="none"/>
            </w:rPr>
            <w:fldChar w:fldCharType="end"/>
          </w:r>
        </w:p>
        <w:p w14:paraId="3A3BE15B">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_Toc1356061919_WPSOffice_Level1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6334"/>
              <w:placeholder>
                <w:docPart w:val="{b4128160-1ebf-4c16-8ee0-e3ab9b8aed41}"/>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第二条 协议适用顺序</w:t>
              </w:r>
            </w:sdtContent>
          </w:sdt>
          <w:r>
            <w:rPr>
              <w:color w:val="auto"/>
              <w:sz w:val="24"/>
              <w:szCs w:val="24"/>
              <w:highlight w:val="none"/>
            </w:rPr>
            <w:tab/>
          </w:r>
          <w:r>
            <w:rPr>
              <w:color w:val="auto"/>
              <w:sz w:val="24"/>
              <w:szCs w:val="24"/>
              <w:highlight w:val="none"/>
            </w:rPr>
            <w:t>7</w:t>
          </w:r>
          <w:r>
            <w:rPr>
              <w:color w:val="auto"/>
              <w:sz w:val="24"/>
              <w:szCs w:val="24"/>
              <w:highlight w:val="none"/>
            </w:rPr>
            <w:fldChar w:fldCharType="end"/>
          </w:r>
        </w:p>
        <w:p w14:paraId="24D99E78">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_Toc1746065524_WPSOffice_Level1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3883"/>
              <w:placeholder>
                <w:docPart w:val="{25e50054-2394-482c-a82d-d8278f829bef}"/>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第三条 购买服务内容、范围及期限</w:t>
              </w:r>
            </w:sdtContent>
          </w:sdt>
          <w:r>
            <w:rPr>
              <w:color w:val="auto"/>
              <w:sz w:val="24"/>
              <w:szCs w:val="24"/>
              <w:highlight w:val="none"/>
            </w:rPr>
            <w:tab/>
          </w:r>
          <w:r>
            <w:rPr>
              <w:color w:val="auto"/>
              <w:sz w:val="24"/>
              <w:szCs w:val="24"/>
              <w:highlight w:val="none"/>
            </w:rPr>
            <w:t>7</w:t>
          </w:r>
          <w:r>
            <w:rPr>
              <w:color w:val="auto"/>
              <w:sz w:val="24"/>
              <w:szCs w:val="24"/>
              <w:highlight w:val="none"/>
            </w:rPr>
            <w:fldChar w:fldCharType="end"/>
          </w:r>
        </w:p>
        <w:p w14:paraId="299137B7">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_Toc91159552_WPSOffice_Level1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8826"/>
              <w:placeholder>
                <w:docPart w:val="{7ef5c06c-4206-4c25-b731-f86e68e35269}"/>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第四条 污泥处理处置标准和技术要求</w:t>
              </w:r>
            </w:sdtContent>
          </w:sdt>
          <w:r>
            <w:rPr>
              <w:color w:val="auto"/>
              <w:sz w:val="24"/>
              <w:szCs w:val="24"/>
              <w:highlight w:val="none"/>
            </w:rPr>
            <w:tab/>
          </w:r>
          <w:r>
            <w:rPr>
              <w:color w:val="auto"/>
              <w:sz w:val="24"/>
              <w:szCs w:val="24"/>
              <w:highlight w:val="none"/>
            </w:rPr>
            <w:t>8</w:t>
          </w:r>
          <w:r>
            <w:rPr>
              <w:color w:val="auto"/>
              <w:sz w:val="24"/>
              <w:szCs w:val="24"/>
              <w:highlight w:val="none"/>
            </w:rPr>
            <w:fldChar w:fldCharType="end"/>
          </w:r>
        </w:p>
        <w:p w14:paraId="3D52D896">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_Toc409993279_WPSOffice_Level1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8269"/>
              <w:placeholder>
                <w:docPart w:val="{2b42df1e-8ed5-4cca-9e82-060a45ffe762}"/>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第五条</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服务费用及支付方式</w:t>
              </w:r>
            </w:sdtContent>
          </w:sdt>
          <w:r>
            <w:rPr>
              <w:color w:val="auto"/>
              <w:sz w:val="24"/>
              <w:szCs w:val="24"/>
              <w:highlight w:val="none"/>
            </w:rPr>
            <w:tab/>
          </w:r>
          <w:r>
            <w:rPr>
              <w:color w:val="auto"/>
              <w:sz w:val="24"/>
              <w:szCs w:val="24"/>
              <w:highlight w:val="none"/>
            </w:rPr>
            <w:t>8</w:t>
          </w:r>
          <w:r>
            <w:rPr>
              <w:color w:val="auto"/>
              <w:sz w:val="24"/>
              <w:szCs w:val="24"/>
              <w:highlight w:val="none"/>
            </w:rPr>
            <w:fldChar w:fldCharType="end"/>
          </w:r>
        </w:p>
        <w:p w14:paraId="4858FED3">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_Toc527417052_WPSOffice_Level1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5155"/>
              <w:placeholder>
                <w:docPart w:val="{c05369a3-1a1a-405a-a344-72d5453df417}"/>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第六条 服务质量的保障措施</w:t>
              </w:r>
            </w:sdtContent>
          </w:sdt>
          <w:r>
            <w:rPr>
              <w:color w:val="auto"/>
              <w:sz w:val="24"/>
              <w:szCs w:val="24"/>
              <w:highlight w:val="none"/>
            </w:rPr>
            <w:tab/>
          </w:r>
          <w:r>
            <w:rPr>
              <w:color w:val="auto"/>
              <w:sz w:val="24"/>
              <w:szCs w:val="24"/>
              <w:highlight w:val="none"/>
            </w:rPr>
            <w:t>10</w:t>
          </w:r>
          <w:r>
            <w:rPr>
              <w:color w:val="auto"/>
              <w:sz w:val="24"/>
              <w:szCs w:val="24"/>
              <w:highlight w:val="none"/>
            </w:rPr>
            <w:fldChar w:fldCharType="end"/>
          </w:r>
        </w:p>
        <w:p w14:paraId="0F8DB4B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_Toc1907463356_WPSOffice_Level1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3283"/>
              <w:placeholder>
                <w:docPart w:val="{fbf76a69-55ac-45ff-8f3b-0a9d6cee052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第七条 甲方的陈述和保证</w:t>
              </w:r>
            </w:sdtContent>
          </w:sdt>
          <w:r>
            <w:rPr>
              <w:color w:val="auto"/>
              <w:sz w:val="24"/>
              <w:szCs w:val="24"/>
              <w:highlight w:val="none"/>
            </w:rPr>
            <w:tab/>
          </w:r>
          <w:r>
            <w:rPr>
              <w:color w:val="auto"/>
              <w:sz w:val="24"/>
              <w:szCs w:val="24"/>
              <w:highlight w:val="none"/>
            </w:rPr>
            <w:t>10</w:t>
          </w:r>
          <w:r>
            <w:rPr>
              <w:color w:val="auto"/>
              <w:sz w:val="24"/>
              <w:szCs w:val="24"/>
              <w:highlight w:val="none"/>
            </w:rPr>
            <w:fldChar w:fldCharType="end"/>
          </w:r>
        </w:p>
        <w:p w14:paraId="43EB4175">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_Toc1606778224_WPSOffice_Level1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7954"/>
              <w:placeholder>
                <w:docPart w:val="{1bf1d196-3a8b-4570-967e-71f39e7dc630}"/>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第八条 乙方的陈述和保证</w:t>
              </w:r>
            </w:sdtContent>
          </w:sdt>
          <w:r>
            <w:rPr>
              <w:color w:val="auto"/>
              <w:sz w:val="24"/>
              <w:szCs w:val="24"/>
              <w:highlight w:val="none"/>
            </w:rPr>
            <w:tab/>
          </w:r>
          <w:r>
            <w:rPr>
              <w:color w:val="auto"/>
              <w:sz w:val="24"/>
              <w:szCs w:val="24"/>
              <w:highlight w:val="none"/>
            </w:rPr>
            <w:t>11</w:t>
          </w:r>
          <w:r>
            <w:rPr>
              <w:color w:val="auto"/>
              <w:sz w:val="24"/>
              <w:szCs w:val="24"/>
              <w:highlight w:val="none"/>
            </w:rPr>
            <w:fldChar w:fldCharType="end"/>
          </w:r>
        </w:p>
        <w:p w14:paraId="776AA738">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_Toc1105073895_WPSOffice_Level1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2021"/>
              <w:placeholder>
                <w:docPart w:val="{89733b53-e4c5-4850-96d5-96e175090c0d}"/>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第九条 甲方的权利和义务</w:t>
              </w:r>
            </w:sdtContent>
          </w:sdt>
          <w:r>
            <w:rPr>
              <w:color w:val="auto"/>
              <w:sz w:val="24"/>
              <w:szCs w:val="24"/>
              <w:highlight w:val="none"/>
            </w:rPr>
            <w:tab/>
          </w:r>
          <w:r>
            <w:rPr>
              <w:color w:val="auto"/>
              <w:sz w:val="24"/>
              <w:szCs w:val="24"/>
              <w:highlight w:val="none"/>
            </w:rPr>
            <w:t>11</w:t>
          </w:r>
          <w:r>
            <w:rPr>
              <w:color w:val="auto"/>
              <w:sz w:val="24"/>
              <w:szCs w:val="24"/>
              <w:highlight w:val="none"/>
            </w:rPr>
            <w:fldChar w:fldCharType="end"/>
          </w:r>
        </w:p>
        <w:p w14:paraId="729F0AA7">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_Toc1812542002_WPSOffice_Level1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4072"/>
              <w:placeholder>
                <w:docPart w:val="{fa2cef69-115e-4674-a80a-b7fa621515a4}"/>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第十条 乙方的权利和义务</w:t>
              </w:r>
            </w:sdtContent>
          </w:sdt>
          <w:r>
            <w:rPr>
              <w:color w:val="auto"/>
              <w:sz w:val="24"/>
              <w:szCs w:val="24"/>
              <w:highlight w:val="none"/>
            </w:rPr>
            <w:tab/>
          </w:r>
          <w:r>
            <w:rPr>
              <w:color w:val="auto"/>
              <w:sz w:val="24"/>
              <w:szCs w:val="24"/>
              <w:highlight w:val="none"/>
            </w:rPr>
            <w:t>12</w:t>
          </w:r>
          <w:r>
            <w:rPr>
              <w:color w:val="auto"/>
              <w:sz w:val="24"/>
              <w:szCs w:val="24"/>
              <w:highlight w:val="none"/>
            </w:rPr>
            <w:fldChar w:fldCharType="end"/>
          </w:r>
        </w:p>
        <w:p w14:paraId="6F6D9670">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_Toc2126477607_WPSOffice_Level1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9001"/>
              <w:placeholder>
                <w:docPart w:val="{396fc3dc-d6f8-4491-afeb-1e1204269932}"/>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第十一条 指定人员</w:t>
              </w:r>
            </w:sdtContent>
          </w:sdt>
          <w:r>
            <w:rPr>
              <w:color w:val="auto"/>
              <w:sz w:val="24"/>
              <w:szCs w:val="24"/>
              <w:highlight w:val="none"/>
            </w:rPr>
            <w:tab/>
          </w:r>
          <w:r>
            <w:rPr>
              <w:color w:val="auto"/>
              <w:sz w:val="24"/>
              <w:szCs w:val="24"/>
              <w:highlight w:val="none"/>
            </w:rPr>
            <w:t>14</w:t>
          </w:r>
          <w:r>
            <w:rPr>
              <w:color w:val="auto"/>
              <w:sz w:val="24"/>
              <w:szCs w:val="24"/>
              <w:highlight w:val="none"/>
            </w:rPr>
            <w:fldChar w:fldCharType="end"/>
          </w:r>
        </w:p>
        <w:p w14:paraId="33A8AE2F">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_Toc693815662_WPSOffice_Level1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5828"/>
              <w:placeholder>
                <w:docPart w:val="{2b4d8990-3102-4955-a315-4b1e7793a438}"/>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第十二条 权利保证和权利归属</w:t>
              </w:r>
            </w:sdtContent>
          </w:sdt>
          <w:r>
            <w:rPr>
              <w:color w:val="auto"/>
              <w:sz w:val="24"/>
              <w:szCs w:val="24"/>
              <w:highlight w:val="none"/>
            </w:rPr>
            <w:tab/>
          </w:r>
          <w:r>
            <w:rPr>
              <w:color w:val="auto"/>
              <w:sz w:val="24"/>
              <w:szCs w:val="24"/>
              <w:highlight w:val="none"/>
            </w:rPr>
            <w:t>14</w:t>
          </w:r>
          <w:r>
            <w:rPr>
              <w:color w:val="auto"/>
              <w:sz w:val="24"/>
              <w:szCs w:val="24"/>
              <w:highlight w:val="none"/>
            </w:rPr>
            <w:fldChar w:fldCharType="end"/>
          </w:r>
        </w:p>
        <w:p w14:paraId="619569E1">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_Toc1918389147_WPSOffice_Level1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9978"/>
              <w:placeholder>
                <w:docPart w:val="{5749509b-a619-45f2-b5b8-ad6e1a2ee4e2}"/>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第十三条 保密</w:t>
              </w:r>
            </w:sdtContent>
          </w:sdt>
          <w:r>
            <w:rPr>
              <w:color w:val="auto"/>
              <w:sz w:val="24"/>
              <w:szCs w:val="24"/>
              <w:highlight w:val="none"/>
            </w:rPr>
            <w:tab/>
          </w:r>
          <w:r>
            <w:rPr>
              <w:color w:val="auto"/>
              <w:sz w:val="24"/>
              <w:szCs w:val="24"/>
              <w:highlight w:val="none"/>
            </w:rPr>
            <w:t>14</w:t>
          </w:r>
          <w:r>
            <w:rPr>
              <w:color w:val="auto"/>
              <w:sz w:val="24"/>
              <w:szCs w:val="24"/>
              <w:highlight w:val="none"/>
            </w:rPr>
            <w:fldChar w:fldCharType="end"/>
          </w:r>
        </w:p>
        <w:p w14:paraId="4CD6F5C4">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_Toc227045029_WPSOffice_Level1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7141"/>
              <w:placeholder>
                <w:docPart w:val="{4b1b6cc4-1b9a-42af-8dfb-b06a58623e7a}"/>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第十四条 不可抗力</w:t>
              </w:r>
            </w:sdtContent>
          </w:sdt>
          <w:r>
            <w:rPr>
              <w:color w:val="auto"/>
              <w:sz w:val="24"/>
              <w:szCs w:val="24"/>
              <w:highlight w:val="none"/>
            </w:rPr>
            <w:tab/>
          </w:r>
          <w:r>
            <w:rPr>
              <w:color w:val="auto"/>
              <w:sz w:val="24"/>
              <w:szCs w:val="24"/>
              <w:highlight w:val="none"/>
            </w:rPr>
            <w:t>15</w:t>
          </w:r>
          <w:r>
            <w:rPr>
              <w:color w:val="auto"/>
              <w:sz w:val="24"/>
              <w:szCs w:val="24"/>
              <w:highlight w:val="none"/>
            </w:rPr>
            <w:fldChar w:fldCharType="end"/>
          </w:r>
        </w:p>
        <w:p w14:paraId="0EB38F09">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_Toc1675282067_WPSOffice_Level1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0544"/>
              <w:placeholder>
                <w:docPart w:val="{11602cef-83b1-4181-b5ae-4411d9e65209}"/>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第十五条 违约责任</w:t>
              </w:r>
            </w:sdtContent>
          </w:sdt>
          <w:r>
            <w:rPr>
              <w:color w:val="auto"/>
              <w:sz w:val="24"/>
              <w:szCs w:val="24"/>
              <w:highlight w:val="none"/>
            </w:rPr>
            <w:tab/>
          </w:r>
          <w:r>
            <w:rPr>
              <w:color w:val="auto"/>
              <w:sz w:val="24"/>
              <w:szCs w:val="24"/>
              <w:highlight w:val="none"/>
            </w:rPr>
            <w:t>16</w:t>
          </w:r>
          <w:r>
            <w:rPr>
              <w:color w:val="auto"/>
              <w:sz w:val="24"/>
              <w:szCs w:val="24"/>
              <w:highlight w:val="none"/>
            </w:rPr>
            <w:fldChar w:fldCharType="end"/>
          </w:r>
        </w:p>
        <w:p w14:paraId="1DE254C2">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_Toc924789176_WPSOffice_Level1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0239"/>
              <w:placeholder>
                <w:docPart w:val="{b1f3bd8b-fac6-46cb-904f-1918f249f8ac}"/>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第十六条 适用法律和争议解决</w:t>
              </w:r>
            </w:sdtContent>
          </w:sdt>
          <w:r>
            <w:rPr>
              <w:color w:val="auto"/>
              <w:sz w:val="24"/>
              <w:szCs w:val="24"/>
              <w:highlight w:val="none"/>
            </w:rPr>
            <w:tab/>
          </w:r>
          <w:r>
            <w:rPr>
              <w:color w:val="auto"/>
              <w:sz w:val="24"/>
              <w:szCs w:val="24"/>
              <w:highlight w:val="none"/>
            </w:rPr>
            <w:t>17</w:t>
          </w:r>
          <w:r>
            <w:rPr>
              <w:color w:val="auto"/>
              <w:sz w:val="24"/>
              <w:szCs w:val="24"/>
              <w:highlight w:val="none"/>
            </w:rPr>
            <w:fldChar w:fldCharType="end"/>
          </w:r>
        </w:p>
        <w:p w14:paraId="3E36C8BA">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_Toc504205229_WPSOffice_Level1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68384"/>
              <w:placeholder>
                <w:docPart w:val="{92c7e88b-5c8a-474d-8f4e-be70c627b7bf}"/>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第十七条 协议的变更、解除和终止</w:t>
              </w:r>
            </w:sdtContent>
          </w:sdt>
          <w:r>
            <w:rPr>
              <w:color w:val="auto"/>
              <w:sz w:val="24"/>
              <w:szCs w:val="24"/>
              <w:highlight w:val="none"/>
            </w:rPr>
            <w:tab/>
          </w:r>
          <w:r>
            <w:rPr>
              <w:color w:val="auto"/>
              <w:sz w:val="24"/>
              <w:szCs w:val="24"/>
              <w:highlight w:val="none"/>
            </w:rPr>
            <w:t>18</w:t>
          </w:r>
          <w:r>
            <w:rPr>
              <w:color w:val="auto"/>
              <w:sz w:val="24"/>
              <w:szCs w:val="24"/>
              <w:highlight w:val="none"/>
            </w:rPr>
            <w:fldChar w:fldCharType="end"/>
          </w:r>
        </w:p>
        <w:p w14:paraId="452B98AE">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_Toc774159136_WPSOffice_Level1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9328"/>
              <w:placeholder>
                <w:docPart w:val="{c158cea5-24b4-4acb-bd84-94f74be41b60}"/>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第十八条 履约保证金</w:t>
              </w:r>
            </w:sdtContent>
          </w:sdt>
          <w:r>
            <w:rPr>
              <w:color w:val="auto"/>
              <w:sz w:val="24"/>
              <w:szCs w:val="24"/>
              <w:highlight w:val="none"/>
            </w:rPr>
            <w:tab/>
          </w:r>
          <w:r>
            <w:rPr>
              <w:color w:val="auto"/>
              <w:sz w:val="24"/>
              <w:szCs w:val="24"/>
              <w:highlight w:val="none"/>
            </w:rPr>
            <w:t>18</w:t>
          </w:r>
          <w:r>
            <w:rPr>
              <w:color w:val="auto"/>
              <w:sz w:val="24"/>
              <w:szCs w:val="24"/>
              <w:highlight w:val="none"/>
            </w:rPr>
            <w:fldChar w:fldCharType="end"/>
          </w:r>
        </w:p>
        <w:p w14:paraId="21166F15">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_Toc2038683850_WPSOffice_Level1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59549"/>
              <w:placeholder>
                <w:docPart w:val="{e62859e1-383f-4734-b58b-c15909be795d}"/>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第十九条 协议效力</w:t>
              </w:r>
            </w:sdtContent>
          </w:sdt>
          <w:r>
            <w:rPr>
              <w:color w:val="auto"/>
              <w:sz w:val="24"/>
              <w:szCs w:val="24"/>
              <w:highlight w:val="none"/>
            </w:rPr>
            <w:tab/>
          </w:r>
          <w:r>
            <w:rPr>
              <w:color w:val="auto"/>
              <w:sz w:val="24"/>
              <w:szCs w:val="24"/>
              <w:highlight w:val="none"/>
            </w:rPr>
            <w:t>20</w:t>
          </w:r>
          <w:r>
            <w:rPr>
              <w:color w:val="auto"/>
              <w:sz w:val="24"/>
              <w:szCs w:val="24"/>
              <w:highlight w:val="none"/>
            </w:rPr>
            <w:fldChar w:fldCharType="end"/>
          </w:r>
        </w:p>
        <w:p w14:paraId="4FEEABB6">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_Toc2078774090_WPSOffice_Level1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81499"/>
              <w:placeholder>
                <w:docPart w:val="{9b5eee05-4425-459a-92e5-6ca9cd6257bd}"/>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第二十条 通知条款</w:t>
              </w:r>
            </w:sdtContent>
          </w:sdt>
          <w:r>
            <w:rPr>
              <w:color w:val="auto"/>
              <w:sz w:val="24"/>
              <w:szCs w:val="24"/>
              <w:highlight w:val="none"/>
            </w:rPr>
            <w:tab/>
          </w:r>
          <w:r>
            <w:rPr>
              <w:color w:val="auto"/>
              <w:sz w:val="24"/>
              <w:szCs w:val="24"/>
              <w:highlight w:val="none"/>
            </w:rPr>
            <w:t>20</w:t>
          </w:r>
          <w:r>
            <w:rPr>
              <w:color w:val="auto"/>
              <w:sz w:val="24"/>
              <w:szCs w:val="24"/>
              <w:highlight w:val="none"/>
            </w:rPr>
            <w:fldChar w:fldCharType="end"/>
          </w:r>
        </w:p>
        <w:p w14:paraId="27EB162B">
          <w:pPr>
            <w:pStyle w:val="75"/>
            <w:keepNext w:val="0"/>
            <w:keepLines w:val="0"/>
            <w:pageBreakBefore w:val="0"/>
            <w:widowControl/>
            <w:tabs>
              <w:tab w:val="right" w:leader="dot" w:pos="8306"/>
            </w:tabs>
            <w:kinsoku/>
            <w:wordWrap/>
            <w:overflowPunct/>
            <w:topLinePunct w:val="0"/>
            <w:autoSpaceDE/>
            <w:autoSpaceDN/>
            <w:bidi w:val="0"/>
            <w:adjustRightInd/>
            <w:snapToGrid/>
            <w:spacing w:line="460" w:lineRule="exact"/>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_Toc782512782_WPSOffice_Level1 </w:instrText>
          </w:r>
          <w:r>
            <w:rPr>
              <w:color w:val="auto"/>
              <w:sz w:val="24"/>
              <w:szCs w:val="24"/>
              <w:highlight w:val="none"/>
            </w:rPr>
            <w:fldChar w:fldCharType="separate"/>
          </w:r>
          <w:sdt>
            <w:sdtPr>
              <w:rPr>
                <w:rFonts w:ascii="宋体" w:hAnsi="宋体" w:eastAsia="宋体" w:cs="Times New Roman"/>
                <w:color w:val="auto"/>
                <w:kern w:val="2"/>
                <w:sz w:val="24"/>
                <w:szCs w:val="24"/>
                <w:highlight w:val="none"/>
                <w:lang w:val="en-US" w:eastAsia="zh-CN" w:bidi="ar-SA"/>
              </w:rPr>
              <w:id w:val="147473326"/>
              <w:placeholder>
                <w:docPart w:val="{4bb22cd8-6d02-4ef1-a922-87b32173b641}"/>
              </w:placeholder>
            </w:sdtPr>
            <w:sdtEndPr>
              <w:rPr>
                <w:rFonts w:ascii="宋体" w:hAnsi="宋体" w:eastAsia="宋体" w:cs="Times New Roman"/>
                <w:color w:val="auto"/>
                <w:kern w:val="2"/>
                <w:sz w:val="24"/>
                <w:szCs w:val="24"/>
                <w:highlight w:val="none"/>
                <w:lang w:val="en-US" w:eastAsia="zh-CN" w:bidi="ar-SA"/>
              </w:rPr>
            </w:sdtEndPr>
            <w:sdtContent>
              <w:r>
                <w:rPr>
                  <w:rFonts w:hint="eastAsia" w:ascii="宋体" w:hAnsi="宋体" w:eastAsia="宋体" w:cs="宋体"/>
                  <w:color w:val="auto"/>
                  <w:sz w:val="24"/>
                  <w:szCs w:val="24"/>
                  <w:highlight w:val="none"/>
                </w:rPr>
                <w:t>第二十一条 本协议组成文件</w:t>
              </w:r>
            </w:sdtContent>
          </w:sdt>
          <w:r>
            <w:rPr>
              <w:color w:val="auto"/>
              <w:sz w:val="24"/>
              <w:szCs w:val="24"/>
              <w:highlight w:val="none"/>
            </w:rPr>
            <w:tab/>
          </w:r>
          <w:r>
            <w:rPr>
              <w:color w:val="auto"/>
              <w:sz w:val="24"/>
              <w:szCs w:val="24"/>
              <w:highlight w:val="none"/>
            </w:rPr>
            <w:t>20</w:t>
          </w:r>
          <w:r>
            <w:rPr>
              <w:color w:val="auto"/>
              <w:sz w:val="24"/>
              <w:szCs w:val="24"/>
              <w:highlight w:val="none"/>
            </w:rPr>
            <w:fldChar w:fldCharType="end"/>
          </w:r>
        </w:p>
      </w:sdtContent>
    </w:sdt>
    <w:p w14:paraId="4A56A91B">
      <w:pPr>
        <w:pStyle w:val="2"/>
        <w:keepNext w:val="0"/>
        <w:keepLines w:val="0"/>
        <w:pageBreakBefore w:val="0"/>
        <w:widowControl/>
        <w:kinsoku/>
        <w:wordWrap/>
        <w:overflowPunct/>
        <w:topLinePunct w:val="0"/>
        <w:autoSpaceDE/>
        <w:autoSpaceDN/>
        <w:bidi w:val="0"/>
        <w:adjustRightInd/>
        <w:snapToGrid/>
        <w:spacing w:line="460" w:lineRule="exact"/>
        <w:rPr>
          <w:color w:val="auto"/>
          <w:sz w:val="24"/>
          <w:szCs w:val="24"/>
          <w:highlight w:val="none"/>
        </w:rPr>
      </w:pPr>
    </w:p>
    <w:p w14:paraId="60408EAC">
      <w:pPr>
        <w:pStyle w:val="2"/>
        <w:rPr>
          <w:color w:val="auto"/>
          <w:highlight w:val="none"/>
        </w:rPr>
      </w:pPr>
    </w:p>
    <w:p w14:paraId="30F507A3">
      <w:pPr>
        <w:pStyle w:val="2"/>
        <w:rPr>
          <w:color w:val="auto"/>
          <w:highlight w:val="none"/>
        </w:rPr>
      </w:pPr>
    </w:p>
    <w:p w14:paraId="74A422E7">
      <w:pPr>
        <w:pStyle w:val="2"/>
        <w:rPr>
          <w:color w:val="auto"/>
          <w:highlight w:val="none"/>
        </w:rPr>
      </w:pPr>
    </w:p>
    <w:p w14:paraId="38867477">
      <w:pPr>
        <w:pStyle w:val="2"/>
        <w:rPr>
          <w:color w:val="auto"/>
          <w:highlight w:val="none"/>
        </w:rPr>
      </w:pPr>
    </w:p>
    <w:p w14:paraId="1A20848F">
      <w:pPr>
        <w:pStyle w:val="2"/>
        <w:rPr>
          <w:color w:val="auto"/>
          <w:highlight w:val="none"/>
        </w:rPr>
      </w:pPr>
    </w:p>
    <w:p w14:paraId="69D989B8">
      <w:pPr>
        <w:pStyle w:val="2"/>
        <w:rPr>
          <w:color w:val="auto"/>
          <w:highlight w:val="none"/>
        </w:rPr>
      </w:pPr>
    </w:p>
    <w:p w14:paraId="3389CBCB">
      <w:pPr>
        <w:pStyle w:val="2"/>
        <w:rPr>
          <w:color w:val="auto"/>
          <w:highlight w:val="none"/>
        </w:rPr>
      </w:pPr>
    </w:p>
    <w:p w14:paraId="17D8BB54">
      <w:pPr>
        <w:snapToGrid w:val="0"/>
        <w:spacing w:line="360" w:lineRule="auto"/>
        <w:ind w:firstLine="482" w:firstLineChars="200"/>
        <w:rPr>
          <w:rStyle w:val="29"/>
          <w:rFonts w:ascii="宋体" w:hAnsi="宋体" w:cs="宋体"/>
          <w:b/>
          <w:bCs/>
          <w:color w:val="auto"/>
          <w:sz w:val="24"/>
          <w:highlight w:val="none"/>
        </w:rPr>
      </w:pPr>
    </w:p>
    <w:p w14:paraId="339F1D26">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甲方：</w:t>
      </w:r>
      <w:r>
        <w:rPr>
          <w:rStyle w:val="29"/>
          <w:rFonts w:hint="eastAsia" w:ascii="宋体" w:hAnsi="宋体" w:cs="宋体"/>
          <w:b/>
          <w:bCs/>
          <w:color w:val="auto"/>
          <w:sz w:val="24"/>
          <w:highlight w:val="none"/>
          <w:u w:val="single"/>
        </w:rPr>
        <w:t>海口市水务局</w:t>
      </w:r>
    </w:p>
    <w:p w14:paraId="0EF67C1D">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法定代表人/负责人：</w:t>
      </w:r>
    </w:p>
    <w:p w14:paraId="194666BD">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住所：</w:t>
      </w:r>
      <w:r>
        <w:rPr>
          <w:rStyle w:val="29"/>
          <w:rFonts w:hint="eastAsia" w:ascii="宋体" w:hAnsi="宋体" w:cs="宋体"/>
          <w:color w:val="auto"/>
          <w:sz w:val="24"/>
          <w:highlight w:val="none"/>
          <w:u w:val="single" w:color="000000"/>
        </w:rPr>
        <w:t>海口市长滨三路17号楼南楼</w:t>
      </w:r>
    </w:p>
    <w:p w14:paraId="0FEEA5B8">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邮编：</w:t>
      </w:r>
    </w:p>
    <w:p w14:paraId="79564C82">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联系人：</w:t>
      </w:r>
    </w:p>
    <w:p w14:paraId="2454E6E4">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电话：</w:t>
      </w:r>
    </w:p>
    <w:p w14:paraId="1F67AB52">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传真：</w:t>
      </w:r>
    </w:p>
    <w:p w14:paraId="6D08493A">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邮箱：</w:t>
      </w:r>
    </w:p>
    <w:p w14:paraId="0F1C3F94">
      <w:pPr>
        <w:snapToGrid w:val="0"/>
        <w:spacing w:line="360" w:lineRule="auto"/>
        <w:ind w:firstLine="480" w:firstLineChars="200"/>
        <w:rPr>
          <w:rStyle w:val="29"/>
          <w:rFonts w:ascii="宋体" w:hAnsi="宋体" w:cs="宋体"/>
          <w:color w:val="auto"/>
          <w:sz w:val="24"/>
          <w:highlight w:val="none"/>
        </w:rPr>
      </w:pPr>
    </w:p>
    <w:p w14:paraId="0731B3C0">
      <w:pPr>
        <w:snapToGrid w:val="0"/>
        <w:spacing w:line="360" w:lineRule="auto"/>
        <w:ind w:firstLine="480" w:firstLineChars="200"/>
        <w:rPr>
          <w:rStyle w:val="29"/>
          <w:rFonts w:ascii="宋体" w:hAnsi="宋体" w:cs="宋体"/>
          <w:color w:val="auto"/>
          <w:sz w:val="24"/>
          <w:highlight w:val="none"/>
        </w:rPr>
      </w:pPr>
    </w:p>
    <w:p w14:paraId="0A013EDB">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乙方：</w:t>
      </w:r>
    </w:p>
    <w:p w14:paraId="2EE9C961">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法定代表人/负责人：</w:t>
      </w:r>
    </w:p>
    <w:p w14:paraId="3E313750">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邮编：</w:t>
      </w:r>
    </w:p>
    <w:p w14:paraId="0E0801DD">
      <w:pPr>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联系人：</w:t>
      </w:r>
    </w:p>
    <w:p w14:paraId="1A1EF4EF">
      <w:pPr>
        <w:snapToGrid w:val="0"/>
        <w:spacing w:line="360" w:lineRule="auto"/>
        <w:ind w:firstLine="480" w:firstLineChars="200"/>
        <w:rPr>
          <w:color w:val="auto"/>
          <w:highlight w:val="none"/>
        </w:rPr>
      </w:pPr>
      <w:r>
        <w:rPr>
          <w:rStyle w:val="29"/>
          <w:rFonts w:hint="eastAsia" w:ascii="宋体" w:hAnsi="宋体" w:cs="宋体"/>
          <w:color w:val="auto"/>
          <w:sz w:val="24"/>
          <w:highlight w:val="none"/>
        </w:rPr>
        <w:t>电话：</w:t>
      </w:r>
      <w:r>
        <w:rPr>
          <w:rFonts w:hint="eastAsia" w:ascii="宋体" w:hAnsi="宋体" w:cs="宋体"/>
          <w:color w:val="auto"/>
          <w:sz w:val="24"/>
          <w:highlight w:val="none"/>
        </w:rPr>
        <w:t xml:space="preserve"> </w:t>
      </w:r>
    </w:p>
    <w:p w14:paraId="5C7FCA8C">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传真：</w:t>
      </w:r>
    </w:p>
    <w:p w14:paraId="1C3DF641">
      <w:pPr>
        <w:snapToGrid w:val="0"/>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邮箱：</w:t>
      </w:r>
    </w:p>
    <w:p w14:paraId="1B7B6601">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2629CB02">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6646BCF7">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2C5BEE34">
      <w:pPr>
        <w:tabs>
          <w:tab w:val="left" w:pos="720"/>
          <w:tab w:val="left" w:pos="1701"/>
          <w:tab w:val="left" w:pos="3255"/>
        </w:tabs>
        <w:spacing w:line="360" w:lineRule="auto"/>
        <w:ind w:firstLine="480" w:firstLineChars="200"/>
        <w:rPr>
          <w:rStyle w:val="29"/>
          <w:rFonts w:ascii="宋体" w:hAnsi="宋体" w:cs="宋体"/>
          <w:color w:val="auto"/>
          <w:sz w:val="24"/>
          <w:highlight w:val="none"/>
        </w:rPr>
      </w:pPr>
    </w:p>
    <w:p w14:paraId="41F3FA61">
      <w:pPr>
        <w:tabs>
          <w:tab w:val="left" w:pos="720"/>
          <w:tab w:val="left" w:pos="1701"/>
          <w:tab w:val="left" w:pos="3255"/>
        </w:tabs>
        <w:spacing w:line="360" w:lineRule="auto"/>
        <w:ind w:firstLine="482" w:firstLineChars="200"/>
        <w:rPr>
          <w:rStyle w:val="29"/>
          <w:rFonts w:ascii="宋体" w:hAnsi="宋体" w:cs="宋体"/>
          <w:b/>
          <w:color w:val="auto"/>
          <w:sz w:val="24"/>
          <w:highlight w:val="none"/>
        </w:rPr>
      </w:pPr>
    </w:p>
    <w:p w14:paraId="0C741D8A">
      <w:pPr>
        <w:tabs>
          <w:tab w:val="left" w:pos="720"/>
          <w:tab w:val="left" w:pos="1701"/>
          <w:tab w:val="left" w:pos="3255"/>
        </w:tabs>
        <w:spacing w:line="360" w:lineRule="auto"/>
        <w:ind w:firstLine="482" w:firstLineChars="200"/>
        <w:rPr>
          <w:rStyle w:val="29"/>
          <w:rFonts w:ascii="宋体" w:hAnsi="宋体" w:cs="宋体"/>
          <w:b/>
          <w:color w:val="auto"/>
          <w:sz w:val="24"/>
          <w:highlight w:val="none"/>
        </w:rPr>
      </w:pPr>
    </w:p>
    <w:p w14:paraId="5CD6AFC0">
      <w:pPr>
        <w:pStyle w:val="13"/>
        <w:rPr>
          <w:rStyle w:val="29"/>
          <w:rFonts w:ascii="宋体" w:hAnsi="宋体" w:cs="宋体"/>
          <w:b/>
          <w:color w:val="auto"/>
          <w:sz w:val="24"/>
          <w:szCs w:val="24"/>
          <w:highlight w:val="none"/>
        </w:rPr>
      </w:pPr>
    </w:p>
    <w:p w14:paraId="372197DD">
      <w:pPr>
        <w:pStyle w:val="5"/>
        <w:rPr>
          <w:rStyle w:val="29"/>
          <w:rFonts w:ascii="宋体" w:hAnsi="宋体" w:cs="宋体"/>
          <w:b/>
          <w:color w:val="auto"/>
          <w:szCs w:val="24"/>
          <w:highlight w:val="none"/>
        </w:rPr>
      </w:pPr>
    </w:p>
    <w:p w14:paraId="7DD59482">
      <w:pPr>
        <w:rPr>
          <w:rStyle w:val="29"/>
          <w:rFonts w:ascii="宋体" w:hAnsi="宋体" w:cs="宋体"/>
          <w:b/>
          <w:color w:val="auto"/>
          <w:sz w:val="24"/>
          <w:highlight w:val="none"/>
        </w:rPr>
      </w:pPr>
    </w:p>
    <w:p w14:paraId="5CC1571B">
      <w:pPr>
        <w:pStyle w:val="13"/>
        <w:rPr>
          <w:rStyle w:val="29"/>
          <w:rFonts w:ascii="宋体" w:hAnsi="宋体" w:cs="宋体"/>
          <w:b/>
          <w:color w:val="auto"/>
          <w:sz w:val="24"/>
          <w:szCs w:val="24"/>
          <w:highlight w:val="none"/>
        </w:rPr>
      </w:pPr>
    </w:p>
    <w:p w14:paraId="79FA8768">
      <w:pPr>
        <w:pStyle w:val="5"/>
        <w:rPr>
          <w:rStyle w:val="29"/>
          <w:rFonts w:ascii="宋体" w:hAnsi="宋体" w:cs="宋体"/>
          <w:b/>
          <w:color w:val="auto"/>
          <w:szCs w:val="24"/>
          <w:highlight w:val="none"/>
        </w:rPr>
      </w:pPr>
    </w:p>
    <w:p w14:paraId="0DE5A3EB">
      <w:pPr>
        <w:rPr>
          <w:rStyle w:val="29"/>
          <w:rFonts w:ascii="宋体" w:hAnsi="宋体" w:cs="宋体"/>
          <w:b/>
          <w:color w:val="auto"/>
          <w:sz w:val="24"/>
          <w:highlight w:val="none"/>
        </w:rPr>
      </w:pPr>
    </w:p>
    <w:p w14:paraId="07C96D36">
      <w:pPr>
        <w:pStyle w:val="13"/>
        <w:rPr>
          <w:rStyle w:val="29"/>
          <w:rFonts w:ascii="宋体" w:hAnsi="宋体" w:cs="宋体"/>
          <w:b/>
          <w:color w:val="auto"/>
          <w:sz w:val="24"/>
          <w:szCs w:val="24"/>
          <w:highlight w:val="none"/>
        </w:rPr>
      </w:pPr>
    </w:p>
    <w:p w14:paraId="74F394E7">
      <w:pPr>
        <w:tabs>
          <w:tab w:val="left" w:pos="720"/>
          <w:tab w:val="left" w:pos="1701"/>
          <w:tab w:val="left" w:pos="3255"/>
        </w:tabs>
        <w:spacing w:line="360" w:lineRule="auto"/>
        <w:rPr>
          <w:rStyle w:val="29"/>
          <w:rFonts w:ascii="宋体" w:hAnsi="宋体" w:cs="宋体"/>
          <w:b/>
          <w:color w:val="auto"/>
          <w:sz w:val="24"/>
          <w:highlight w:val="none"/>
        </w:rPr>
      </w:pPr>
    </w:p>
    <w:p w14:paraId="74732952">
      <w:pPr>
        <w:pStyle w:val="2"/>
        <w:rPr>
          <w:color w:val="auto"/>
          <w:highlight w:val="none"/>
        </w:rPr>
      </w:pPr>
    </w:p>
    <w:p w14:paraId="154EB5D8">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鉴于：</w:t>
      </w:r>
    </w:p>
    <w:p w14:paraId="0D4BE0CA">
      <w:pPr>
        <w:tabs>
          <w:tab w:val="left" w:pos="720"/>
          <w:tab w:val="left" w:pos="1701"/>
          <w:tab w:val="left" w:pos="3255"/>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1.甲方海口市水务局作为本协议项下</w:t>
      </w:r>
      <w:r>
        <w:rPr>
          <w:rStyle w:val="29"/>
          <w:rFonts w:hint="eastAsia" w:ascii="宋体" w:hAnsi="宋体" w:cs="宋体"/>
          <w:color w:val="auto"/>
          <w:sz w:val="24"/>
          <w:highlight w:val="none"/>
          <w:u w:val="single"/>
        </w:rPr>
        <w:t>海口市市政污水处理厂污泥处理处置</w:t>
      </w:r>
      <w:r>
        <w:rPr>
          <w:rStyle w:val="29"/>
          <w:rFonts w:hint="eastAsia" w:ascii="宋体" w:hAnsi="宋体" w:cs="宋体"/>
          <w:color w:val="auto"/>
          <w:sz w:val="24"/>
          <w:highlight w:val="none"/>
        </w:rPr>
        <w:t>服务的购买主体，有权签订本协议，并按本协议履行义务。</w:t>
      </w:r>
    </w:p>
    <w:p w14:paraId="5FD1CE23">
      <w:pPr>
        <w:tabs>
          <w:tab w:val="left" w:pos="1701"/>
        </w:tabs>
        <w:spacing w:afterLines="50" w:line="560" w:lineRule="exact"/>
        <w:ind w:firstLine="480" w:firstLineChars="200"/>
        <w:outlineLvl w:val="0"/>
        <w:rPr>
          <w:rStyle w:val="29"/>
          <w:rFonts w:ascii="宋体" w:hAnsi="宋体" w:cs="宋体"/>
          <w:color w:val="auto"/>
          <w:sz w:val="24"/>
          <w:highlight w:val="none"/>
        </w:rPr>
      </w:pPr>
      <w:r>
        <w:rPr>
          <w:rStyle w:val="29"/>
          <w:rFonts w:hint="eastAsia" w:ascii="宋体" w:hAnsi="宋体" w:cs="宋体"/>
          <w:color w:val="auto"/>
          <w:sz w:val="24"/>
          <w:highlight w:val="none"/>
        </w:rPr>
        <w:t>2.乙方为提供服务项目的</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，统一社会信用代码为</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，具有签订本协议的主体资格。</w:t>
      </w:r>
    </w:p>
    <w:p w14:paraId="0BD84A81">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3.项目概况：</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w:t>
      </w:r>
    </w:p>
    <w:p w14:paraId="10808592">
      <w:pPr>
        <w:tabs>
          <w:tab w:val="left" w:pos="720"/>
          <w:tab w:val="left" w:pos="1701"/>
          <w:tab w:val="left" w:pos="3255"/>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4.为推动我市生态文明试验区建设，强化对污水处理厂（站）污泥全处置工作，</w:t>
      </w:r>
      <w:r>
        <w:rPr>
          <w:rStyle w:val="29"/>
          <w:rFonts w:hint="eastAsia" w:ascii="宋体" w:hAnsi="宋体" w:cs="宋体"/>
          <w:color w:val="auto"/>
          <w:sz w:val="24"/>
          <w:highlight w:val="none"/>
          <w:lang w:eastAsia="zh-CN"/>
        </w:rPr>
        <w:t>我市</w:t>
      </w:r>
      <w:r>
        <w:rPr>
          <w:rStyle w:val="29"/>
          <w:rFonts w:hint="eastAsia" w:ascii="宋体" w:hAnsi="宋体" w:cs="宋体"/>
          <w:color w:val="auto"/>
          <w:sz w:val="24"/>
          <w:highlight w:val="none"/>
        </w:rPr>
        <w:t>通过政府购买服务的方式解决海口市202</w:t>
      </w:r>
      <w:r>
        <w:rPr>
          <w:rStyle w:val="29"/>
          <w:rFonts w:hint="eastAsia" w:ascii="宋体" w:hAnsi="宋体" w:cs="宋体"/>
          <w:color w:val="auto"/>
          <w:sz w:val="24"/>
          <w:highlight w:val="none"/>
          <w:lang w:val="en-US" w:eastAsia="zh-CN"/>
        </w:rPr>
        <w:t>5</w:t>
      </w:r>
      <w:r>
        <w:rPr>
          <w:rStyle w:val="29"/>
          <w:rFonts w:hint="eastAsia" w:ascii="宋体" w:hAnsi="宋体" w:cs="宋体"/>
          <w:color w:val="auto"/>
          <w:sz w:val="24"/>
          <w:highlight w:val="none"/>
        </w:rPr>
        <w:t>-202</w:t>
      </w:r>
      <w:r>
        <w:rPr>
          <w:rStyle w:val="29"/>
          <w:rFonts w:hint="eastAsia" w:ascii="宋体" w:hAnsi="宋体" w:cs="宋体"/>
          <w:color w:val="auto"/>
          <w:sz w:val="24"/>
          <w:highlight w:val="none"/>
          <w:lang w:val="en-US" w:eastAsia="zh-CN"/>
        </w:rPr>
        <w:t>8</w:t>
      </w:r>
      <w:r>
        <w:rPr>
          <w:rStyle w:val="29"/>
          <w:rFonts w:hint="eastAsia" w:ascii="宋体" w:hAnsi="宋体" w:cs="宋体"/>
          <w:color w:val="auto"/>
          <w:sz w:val="24"/>
          <w:highlight w:val="none"/>
        </w:rPr>
        <w:t>年污水处理厂（站）污泥处理处置问题，处置全过程实施闭环管理，实现污泥处置减量化、无害化、稳定化。甲方海口市水务局通过委托第三方招标代理（</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）于</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年</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月在海口市公共资源交易中心完成开标、评标工作</w:t>
      </w:r>
      <w:r>
        <w:rPr>
          <w:rFonts w:hint="eastAsia" w:ascii="宋体" w:hAnsi="宋体" w:cs="宋体"/>
          <w:color w:val="auto"/>
          <w:sz w:val="24"/>
          <w:highlight w:val="none"/>
        </w:rPr>
        <w:t>，</w:t>
      </w:r>
      <w:r>
        <w:rPr>
          <w:rStyle w:val="29"/>
          <w:rFonts w:hint="eastAsia" w:ascii="宋体" w:hAnsi="宋体" w:cs="宋体"/>
          <w:color w:val="auto"/>
          <w:sz w:val="24"/>
          <w:highlight w:val="none"/>
        </w:rPr>
        <w:t>确定</w:t>
      </w:r>
      <w:r>
        <w:rPr>
          <w:rStyle w:val="29"/>
          <w:rFonts w:hint="eastAsia" w:ascii="宋体" w:hAnsi="宋体" w:cs="宋体"/>
          <w:color w:val="auto"/>
          <w:sz w:val="24"/>
          <w:highlight w:val="none"/>
          <w:lang w:val="en-US" w:eastAsia="zh"/>
        </w:rPr>
        <w:t>xx</w:t>
      </w:r>
      <w:r>
        <w:rPr>
          <w:rStyle w:val="29"/>
          <w:rFonts w:hint="eastAsia" w:ascii="宋体" w:hAnsi="宋体" w:cs="宋体"/>
          <w:color w:val="auto"/>
          <w:sz w:val="24"/>
          <w:highlight w:val="none"/>
        </w:rPr>
        <w:t>公司作为《海口市202</w:t>
      </w:r>
      <w:r>
        <w:rPr>
          <w:rStyle w:val="29"/>
          <w:rFonts w:hint="eastAsia" w:ascii="宋体" w:hAnsi="宋体" w:cs="宋体"/>
          <w:color w:val="auto"/>
          <w:sz w:val="24"/>
          <w:highlight w:val="none"/>
          <w:lang w:val="en-US" w:eastAsia="zh-CN"/>
        </w:rPr>
        <w:t>5</w:t>
      </w:r>
      <w:r>
        <w:rPr>
          <w:rStyle w:val="29"/>
          <w:rFonts w:hint="eastAsia" w:ascii="宋体" w:hAnsi="宋体" w:cs="宋体"/>
          <w:color w:val="auto"/>
          <w:sz w:val="24"/>
          <w:highlight w:val="none"/>
        </w:rPr>
        <w:t>-202</w:t>
      </w:r>
      <w:r>
        <w:rPr>
          <w:rStyle w:val="29"/>
          <w:rFonts w:hint="eastAsia" w:ascii="宋体" w:hAnsi="宋体" w:cs="宋体"/>
          <w:color w:val="auto"/>
          <w:sz w:val="24"/>
          <w:highlight w:val="none"/>
          <w:lang w:val="en-US" w:eastAsia="zh-CN"/>
        </w:rPr>
        <w:t>8</w:t>
      </w:r>
      <w:r>
        <w:rPr>
          <w:rStyle w:val="29"/>
          <w:rFonts w:hint="eastAsia" w:ascii="宋体" w:hAnsi="宋体" w:cs="宋体"/>
          <w:color w:val="auto"/>
          <w:sz w:val="24"/>
          <w:highlight w:val="none"/>
        </w:rPr>
        <w:t>年污泥处理处置政府购买服务》采购包</w:t>
      </w:r>
      <w:r>
        <w:rPr>
          <w:rStyle w:val="29"/>
          <w:rFonts w:hint="eastAsia" w:ascii="宋体" w:hAnsi="宋体" w:cs="宋体"/>
          <w:color w:val="auto"/>
          <w:sz w:val="24"/>
          <w:highlight w:val="none"/>
          <w:lang w:val="en-US" w:eastAsia="zh-CN"/>
        </w:rPr>
        <w:t>2</w:t>
      </w:r>
      <w:r>
        <w:rPr>
          <w:rStyle w:val="29"/>
          <w:rFonts w:hint="eastAsia" w:ascii="宋体" w:hAnsi="宋体" w:cs="宋体"/>
          <w:color w:val="auto"/>
          <w:sz w:val="24"/>
          <w:highlight w:val="none"/>
        </w:rPr>
        <w:t>项目的中标单位,符合有关法律法规规定的采购程序和资质要求。乙方愿意向甲方提供本协议约定的各项服务。</w:t>
      </w:r>
    </w:p>
    <w:p w14:paraId="10DBB379">
      <w:pPr>
        <w:tabs>
          <w:tab w:val="left" w:pos="720"/>
          <w:tab w:val="left" w:pos="1701"/>
          <w:tab w:val="left" w:pos="3255"/>
        </w:tabs>
        <w:spacing w:line="360" w:lineRule="auto"/>
        <w:ind w:firstLine="480" w:firstLineChars="200"/>
        <w:rPr>
          <w:rStyle w:val="29"/>
          <w:rFonts w:ascii="宋体" w:hAnsi="宋体" w:cs="宋体"/>
          <w:b/>
          <w:color w:val="auto"/>
          <w:highlight w:val="none"/>
        </w:rPr>
      </w:pPr>
      <w:r>
        <w:rPr>
          <w:rStyle w:val="29"/>
          <w:rFonts w:hint="eastAsia" w:ascii="宋体" w:hAnsi="宋体" w:cs="宋体"/>
          <w:color w:val="auto"/>
          <w:sz w:val="24"/>
          <w:highlight w:val="none"/>
        </w:rPr>
        <w:t>现根据《中华人民共和国民法典》《中华人民共和国预算法》《中华人民共和国政府采购法》、《国务院办公厅关于政府向社会力量购买服务的指导意见》（国办发〔2013〕96号）、《政府购买服务管理办法（暂行）》（财综〔2014〕96号）和《海南省人民政府办公厅关于印发海南省政府购买服务实施暂行办法的通知》（琼府办〔2014〕76号）、《海口市政府购买服务管理暂行办法》等有关要求和规定，遵循平等、自愿、公平和诚实信用的原则，经甲乙双方协商一致，签订本协议，以资共同信守。</w:t>
      </w:r>
    </w:p>
    <w:p w14:paraId="3F4F9422">
      <w:pPr>
        <w:pStyle w:val="68"/>
        <w:tabs>
          <w:tab w:val="left" w:pos="851"/>
          <w:tab w:val="left" w:pos="1276"/>
          <w:tab w:val="left" w:pos="1701"/>
        </w:tabs>
        <w:snapToGrid w:val="0"/>
        <w:spacing w:line="360" w:lineRule="auto"/>
        <w:ind w:firstLine="482" w:firstLineChars="200"/>
        <w:jc w:val="both"/>
        <w:rPr>
          <w:rStyle w:val="29"/>
          <w:rFonts w:ascii="宋体" w:hAnsi="宋体" w:cs="宋体"/>
          <w:b/>
          <w:color w:val="auto"/>
          <w:highlight w:val="none"/>
        </w:rPr>
      </w:pPr>
      <w:r>
        <w:rPr>
          <w:rStyle w:val="29"/>
          <w:rFonts w:hint="eastAsia" w:ascii="宋体" w:hAnsi="宋体" w:cs="宋体"/>
          <w:b/>
          <w:color w:val="auto"/>
          <w:highlight w:val="none"/>
        </w:rPr>
        <w:t>第一条 定义和解释</w:t>
      </w:r>
    </w:p>
    <w:p w14:paraId="7968E116">
      <w:pPr>
        <w:pStyle w:val="68"/>
        <w:tabs>
          <w:tab w:val="left" w:pos="851"/>
          <w:tab w:val="left" w:pos="1276"/>
          <w:tab w:val="left" w:pos="1701"/>
        </w:tabs>
        <w:snapToGrid w:val="0"/>
        <w:spacing w:line="360" w:lineRule="auto"/>
        <w:ind w:firstLine="482" w:firstLineChars="200"/>
        <w:jc w:val="both"/>
        <w:rPr>
          <w:rStyle w:val="29"/>
          <w:rFonts w:ascii="宋体" w:hAnsi="宋体" w:cs="宋体"/>
          <w:b/>
          <w:color w:val="auto"/>
          <w:highlight w:val="none"/>
        </w:rPr>
      </w:pPr>
      <w:r>
        <w:rPr>
          <w:rStyle w:val="29"/>
          <w:rFonts w:hint="eastAsia" w:ascii="宋体" w:hAnsi="宋体" w:cs="宋体"/>
          <w:b/>
          <w:color w:val="auto"/>
          <w:highlight w:val="none"/>
        </w:rPr>
        <w:t>定义</w:t>
      </w:r>
    </w:p>
    <w:p w14:paraId="6C70AB78">
      <w:pPr>
        <w:pStyle w:val="68"/>
        <w:tabs>
          <w:tab w:val="left" w:pos="851"/>
          <w:tab w:val="left" w:pos="1276"/>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本协议中，除文件明示另有所指外，下列术语具有如下含义：</w:t>
      </w:r>
    </w:p>
    <w:p w14:paraId="76CE26B4">
      <w:pPr>
        <w:pStyle w:val="26"/>
        <w:tabs>
          <w:tab w:val="left" w:pos="851"/>
          <w:tab w:val="left" w:pos="1701"/>
        </w:tabs>
        <w:snapToGrid w:val="0"/>
        <w:spacing w:before="0" w:after="0" w:line="360" w:lineRule="auto"/>
        <w:ind w:firstLine="482" w:firstLineChars="200"/>
        <w:rPr>
          <w:rStyle w:val="29"/>
          <w:rFonts w:ascii="宋体" w:hAnsi="宋体" w:eastAsia="宋体" w:cs="宋体"/>
          <w:b w:val="0"/>
          <w:color w:val="auto"/>
          <w:sz w:val="24"/>
          <w:szCs w:val="24"/>
          <w:highlight w:val="none"/>
        </w:rPr>
      </w:pPr>
      <w:r>
        <w:rPr>
          <w:rStyle w:val="29"/>
          <w:rFonts w:hint="eastAsia" w:ascii="宋体" w:hAnsi="宋体" w:eastAsia="宋体" w:cs="宋体"/>
          <w:bCs w:val="0"/>
          <w:color w:val="auto"/>
          <w:sz w:val="24"/>
          <w:szCs w:val="24"/>
          <w:highlight w:val="none"/>
        </w:rPr>
        <w:t>1</w:t>
      </w:r>
      <w:r>
        <w:rPr>
          <w:rStyle w:val="29"/>
          <w:rFonts w:hint="eastAsia" w:ascii="宋体" w:hAnsi="宋体" w:eastAsia="宋体" w:cs="宋体"/>
          <w:color w:val="auto"/>
          <w:sz w:val="24"/>
          <w:szCs w:val="24"/>
          <w:highlight w:val="none"/>
        </w:rPr>
        <w:t>.本协议</w:t>
      </w:r>
      <w:r>
        <w:rPr>
          <w:rStyle w:val="29"/>
          <w:rFonts w:hint="eastAsia" w:ascii="宋体" w:hAnsi="宋体" w:eastAsia="宋体" w:cs="宋体"/>
          <w:b w:val="0"/>
          <w:bCs w:val="0"/>
          <w:color w:val="auto"/>
          <w:sz w:val="24"/>
          <w:szCs w:val="24"/>
          <w:highlight w:val="none"/>
        </w:rPr>
        <w:t>：</w:t>
      </w:r>
      <w:r>
        <w:rPr>
          <w:rStyle w:val="29"/>
          <w:rFonts w:hint="eastAsia" w:ascii="宋体" w:hAnsi="宋体" w:eastAsia="宋体" w:cs="宋体"/>
          <w:b w:val="0"/>
          <w:color w:val="auto"/>
          <w:sz w:val="24"/>
          <w:szCs w:val="24"/>
          <w:highlight w:val="none"/>
        </w:rPr>
        <w:t>指甲方与乙方之间签订的《海口市202</w:t>
      </w:r>
      <w:r>
        <w:rPr>
          <w:rStyle w:val="29"/>
          <w:rFonts w:hint="eastAsia" w:ascii="宋体" w:hAnsi="宋体" w:eastAsia="宋体" w:cs="宋体"/>
          <w:b w:val="0"/>
          <w:color w:val="auto"/>
          <w:sz w:val="24"/>
          <w:szCs w:val="24"/>
          <w:highlight w:val="none"/>
          <w:lang w:val="en-US" w:eastAsia="zh-CN"/>
        </w:rPr>
        <w:t>5</w:t>
      </w:r>
      <w:r>
        <w:rPr>
          <w:rStyle w:val="29"/>
          <w:rFonts w:hint="eastAsia" w:ascii="宋体" w:hAnsi="宋体" w:eastAsia="宋体" w:cs="宋体"/>
          <w:b w:val="0"/>
          <w:color w:val="auto"/>
          <w:sz w:val="24"/>
          <w:szCs w:val="24"/>
          <w:highlight w:val="none"/>
        </w:rPr>
        <w:t>-202</w:t>
      </w:r>
      <w:r>
        <w:rPr>
          <w:rStyle w:val="29"/>
          <w:rFonts w:hint="eastAsia" w:ascii="宋体" w:hAnsi="宋体" w:eastAsia="宋体" w:cs="宋体"/>
          <w:b w:val="0"/>
          <w:color w:val="auto"/>
          <w:sz w:val="24"/>
          <w:szCs w:val="24"/>
          <w:highlight w:val="none"/>
          <w:lang w:val="en-US" w:eastAsia="zh-CN"/>
        </w:rPr>
        <w:t>8</w:t>
      </w:r>
      <w:r>
        <w:rPr>
          <w:rStyle w:val="29"/>
          <w:rFonts w:hint="eastAsia" w:ascii="宋体" w:hAnsi="宋体" w:eastAsia="宋体" w:cs="宋体"/>
          <w:b w:val="0"/>
          <w:color w:val="auto"/>
          <w:sz w:val="24"/>
          <w:szCs w:val="24"/>
          <w:highlight w:val="none"/>
        </w:rPr>
        <w:t>年</w:t>
      </w:r>
      <w:r>
        <w:rPr>
          <w:rStyle w:val="29"/>
          <w:rFonts w:hint="eastAsia" w:ascii="宋体" w:hAnsi="宋体" w:eastAsia="宋体" w:cs="宋体"/>
          <w:b w:val="0"/>
          <w:bCs w:val="0"/>
          <w:color w:val="auto"/>
          <w:sz w:val="24"/>
          <w:szCs w:val="24"/>
          <w:highlight w:val="none"/>
        </w:rPr>
        <w:t>污泥处理处置政府</w:t>
      </w:r>
      <w:r>
        <w:rPr>
          <w:rStyle w:val="29"/>
          <w:rFonts w:hint="eastAsia" w:ascii="宋体" w:hAnsi="宋体" w:eastAsia="宋体" w:cs="宋体"/>
          <w:b w:val="0"/>
          <w:color w:val="auto"/>
          <w:sz w:val="24"/>
          <w:szCs w:val="24"/>
          <w:highlight w:val="none"/>
        </w:rPr>
        <w:t>购买服务采购包</w:t>
      </w:r>
      <w:r>
        <w:rPr>
          <w:rStyle w:val="29"/>
          <w:rFonts w:hint="eastAsia" w:ascii="宋体" w:hAnsi="宋体" w:eastAsia="宋体" w:cs="宋体"/>
          <w:b w:val="0"/>
          <w:color w:val="auto"/>
          <w:sz w:val="24"/>
          <w:szCs w:val="24"/>
          <w:highlight w:val="none"/>
          <w:lang w:val="en-US" w:eastAsia="zh-CN"/>
        </w:rPr>
        <w:t>2协</w:t>
      </w:r>
      <w:r>
        <w:rPr>
          <w:rStyle w:val="29"/>
          <w:rFonts w:hint="eastAsia" w:ascii="宋体" w:hAnsi="宋体" w:eastAsia="宋体" w:cs="宋体"/>
          <w:b w:val="0"/>
          <w:bCs w:val="0"/>
          <w:color w:val="auto"/>
          <w:sz w:val="24"/>
          <w:szCs w:val="24"/>
          <w:highlight w:val="none"/>
          <w:lang w:val="en-US" w:eastAsia="zh-CN"/>
        </w:rPr>
        <w:t>议</w:t>
      </w:r>
      <w:r>
        <w:rPr>
          <w:rStyle w:val="29"/>
          <w:rFonts w:hint="eastAsia" w:ascii="宋体" w:hAnsi="宋体" w:eastAsia="宋体" w:cs="宋体"/>
          <w:b w:val="0"/>
          <w:bCs w:val="0"/>
          <w:color w:val="auto"/>
          <w:sz w:val="24"/>
          <w:szCs w:val="24"/>
          <w:highlight w:val="none"/>
        </w:rPr>
        <w:t>》</w:t>
      </w:r>
      <w:r>
        <w:rPr>
          <w:rStyle w:val="29"/>
          <w:rFonts w:hint="eastAsia" w:ascii="宋体" w:hAnsi="宋体" w:eastAsia="宋体" w:cs="宋体"/>
          <w:b w:val="0"/>
          <w:color w:val="auto"/>
          <w:sz w:val="24"/>
          <w:szCs w:val="24"/>
          <w:highlight w:val="none"/>
        </w:rPr>
        <w:t>，包括协议的附件以及日后可能签订的任何本污泥处理处置协议之补充修改协议和附件，上述每一文件均被视为并入本协议。</w:t>
      </w:r>
    </w:p>
    <w:p w14:paraId="6C454ACA">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2.中国</w:t>
      </w:r>
      <w:r>
        <w:rPr>
          <w:rStyle w:val="29"/>
          <w:rFonts w:hint="eastAsia" w:ascii="宋体" w:hAnsi="宋体" w:cs="宋体"/>
          <w:color w:val="auto"/>
          <w:sz w:val="24"/>
          <w:highlight w:val="none"/>
        </w:rPr>
        <w:t>：指中华人民共和国，仅为本协议之目的，不包括香港特别行政区、澳门特别行政区和台湾地区。</w:t>
      </w:r>
    </w:p>
    <w:p w14:paraId="57B3CD03">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3.法律</w:t>
      </w:r>
      <w:r>
        <w:rPr>
          <w:rStyle w:val="29"/>
          <w:rFonts w:hint="eastAsia" w:ascii="宋体" w:hAnsi="宋体" w:cs="宋体"/>
          <w:color w:val="auto"/>
          <w:sz w:val="24"/>
          <w:highlight w:val="none"/>
        </w:rPr>
        <w:t>：指所有适用的中国法律、行政法规、规章、自治条例、单行条例、地方性法规、司法解释及其它有法律约束力的规范性文件。</w:t>
      </w:r>
    </w:p>
    <w:p w14:paraId="7A052ED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法律变更：指</w:t>
      </w:r>
    </w:p>
    <w:p w14:paraId="1E8026BC">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（1）在本协议签署日之后，立法部门或政府部门对任何法律、立法解释、行政法规、部门规章、地方性法规、单行条例、政府规章的颁布、实施、修改或废除；</w:t>
      </w:r>
    </w:p>
    <w:p w14:paraId="6CA62813">
      <w:pPr>
        <w:tabs>
          <w:tab w:val="left" w:pos="85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（2）在本协议签署日之后，立法部门或政府部门对有关任何规范性法律文件、行业标准的发布、实施、修改或废除；</w:t>
      </w:r>
    </w:p>
    <w:p w14:paraId="632202CA">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无论是上述哪一种情况，</w:t>
      </w:r>
    </w:p>
    <w:p w14:paraId="7C8558A6">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（1）导致适用于乙方的税收、税收优惠或关税发生任何变化；</w:t>
      </w:r>
    </w:p>
    <w:p w14:paraId="5395A117">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（2）实施、修改或取消了对本项目的投资、建设、运营、维护或移交的要求。</w:t>
      </w:r>
    </w:p>
    <w:p w14:paraId="11EBD4A7">
      <w:pPr>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4.</w:t>
      </w:r>
      <w:r>
        <w:rPr>
          <w:rStyle w:val="29"/>
          <w:rFonts w:hint="eastAsia" w:ascii="宋体" w:hAnsi="宋体" w:cs="宋体"/>
          <w:b/>
          <w:bCs/>
          <w:color w:val="auto"/>
          <w:sz w:val="24"/>
          <w:highlight w:val="none"/>
        </w:rPr>
        <w:t>本项目：</w:t>
      </w:r>
      <w:r>
        <w:rPr>
          <w:rStyle w:val="29"/>
          <w:rFonts w:hint="eastAsia" w:ascii="宋体" w:hAnsi="宋体" w:eastAsia="宋体" w:cs="宋体"/>
          <w:b w:val="0"/>
          <w:bCs w:val="0"/>
          <w:color w:val="auto"/>
          <w:sz w:val="24"/>
          <w:szCs w:val="24"/>
          <w:highlight w:val="none"/>
          <w:lang w:val="en-US" w:eastAsia="zh"/>
        </w:rPr>
        <w:t>xx</w:t>
      </w:r>
    </w:p>
    <w:p w14:paraId="15C92250">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5.项目厂区</w:t>
      </w:r>
      <w:r>
        <w:rPr>
          <w:rStyle w:val="29"/>
          <w:rFonts w:hint="eastAsia" w:ascii="宋体" w:hAnsi="宋体" w:cs="宋体"/>
          <w:color w:val="auto"/>
          <w:sz w:val="24"/>
          <w:highlight w:val="none"/>
        </w:rPr>
        <w:t>：</w:t>
      </w:r>
      <w:r>
        <w:rPr>
          <w:rStyle w:val="29"/>
          <w:rFonts w:hint="eastAsia" w:ascii="宋体" w:hAnsi="宋体" w:eastAsia="宋体" w:cs="宋体"/>
          <w:b w:val="0"/>
          <w:bCs w:val="0"/>
          <w:color w:val="auto"/>
          <w:sz w:val="24"/>
          <w:szCs w:val="24"/>
          <w:highlight w:val="none"/>
          <w:lang w:val="en-US" w:eastAsia="zh"/>
        </w:rPr>
        <w:t>xx</w:t>
      </w:r>
      <w:r>
        <w:rPr>
          <w:rStyle w:val="29"/>
          <w:rFonts w:hint="eastAsia" w:ascii="宋体" w:hAnsi="宋体" w:cs="宋体"/>
          <w:color w:val="auto"/>
          <w:sz w:val="24"/>
          <w:highlight w:val="none"/>
        </w:rPr>
        <w:t>。</w:t>
      </w:r>
    </w:p>
    <w:p w14:paraId="3FEA1226">
      <w:pPr>
        <w:tabs>
          <w:tab w:val="left" w:pos="85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6.污泥</w:t>
      </w:r>
      <w:r>
        <w:rPr>
          <w:rStyle w:val="29"/>
          <w:rFonts w:hint="eastAsia" w:ascii="宋体" w:hAnsi="宋体" w:cs="宋体"/>
          <w:color w:val="auto"/>
          <w:sz w:val="24"/>
          <w:highlight w:val="none"/>
        </w:rPr>
        <w:t>：乙方接收并处置采购包</w:t>
      </w:r>
      <w:r>
        <w:rPr>
          <w:rStyle w:val="29"/>
          <w:rFonts w:hint="eastAsia" w:ascii="宋体" w:hAnsi="宋体" w:cs="宋体"/>
          <w:color w:val="auto"/>
          <w:sz w:val="24"/>
          <w:highlight w:val="none"/>
          <w:lang w:val="en-US" w:eastAsia="zh-CN"/>
        </w:rPr>
        <w:t>1</w:t>
      </w:r>
      <w:r>
        <w:rPr>
          <w:rStyle w:val="29"/>
          <w:rFonts w:hint="eastAsia" w:ascii="宋体" w:hAnsi="宋体" w:cs="宋体"/>
          <w:color w:val="auto"/>
          <w:sz w:val="24"/>
          <w:highlight w:val="none"/>
        </w:rPr>
        <w:t xml:space="preserve">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预计每天产泥量约200吨，含水率等于或小于80%。 </w:t>
      </w:r>
      <w:r>
        <w:rPr>
          <w:rStyle w:val="29"/>
          <w:rFonts w:hint="eastAsia" w:ascii="宋体" w:hAnsi="宋体" w:eastAsia="宋体" w:cs="宋体"/>
          <w:b w:val="0"/>
          <w:bCs w:val="0"/>
          <w:color w:val="auto"/>
          <w:sz w:val="24"/>
          <w:szCs w:val="24"/>
          <w:highlight w:val="none"/>
          <w:lang w:val="en-US" w:eastAsia="zh"/>
        </w:rPr>
        <w:t>以上污泥量</w:t>
      </w:r>
      <w:r>
        <w:rPr>
          <w:rStyle w:val="29"/>
          <w:rFonts w:hint="eastAsia" w:ascii="宋体" w:hAnsi="宋体" w:cs="宋体"/>
          <w:b w:val="0"/>
          <w:bCs w:val="0"/>
          <w:color w:val="auto"/>
          <w:sz w:val="24"/>
          <w:szCs w:val="24"/>
          <w:highlight w:val="none"/>
          <w:lang w:val="en-US" w:eastAsia="zh-CN"/>
        </w:rPr>
        <w:t>为</w:t>
      </w:r>
      <w:r>
        <w:rPr>
          <w:rStyle w:val="29"/>
          <w:rFonts w:hint="eastAsia" w:ascii="宋体" w:hAnsi="宋体" w:eastAsia="宋体" w:cs="宋体"/>
          <w:b w:val="0"/>
          <w:bCs w:val="0"/>
          <w:color w:val="auto"/>
          <w:sz w:val="24"/>
          <w:szCs w:val="24"/>
          <w:highlight w:val="none"/>
          <w:lang w:val="en-US" w:eastAsia="zh"/>
        </w:rPr>
        <w:t>甲方预估，具体以实际各污水处理厂产生的污泥量为准。</w:t>
      </w:r>
    </w:p>
    <w:p w14:paraId="2CE5AF58">
      <w:pPr>
        <w:tabs>
          <w:tab w:val="left" w:pos="851"/>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7.第三方：</w:t>
      </w:r>
      <w:r>
        <w:rPr>
          <w:rStyle w:val="29"/>
          <w:rFonts w:hint="eastAsia" w:ascii="宋体" w:hAnsi="宋体" w:cs="宋体"/>
          <w:color w:val="auto"/>
          <w:sz w:val="24"/>
          <w:highlight w:val="none"/>
        </w:rPr>
        <w:t>指甲乙双方以外的任何自然人、法人、机构、组织、单位、实体等。</w:t>
      </w:r>
    </w:p>
    <w:p w14:paraId="09B6A8D1">
      <w:pPr>
        <w:tabs>
          <w:tab w:val="left" w:pos="851"/>
          <w:tab w:val="left" w:pos="1701"/>
        </w:tabs>
        <w:snapToGrid w:val="0"/>
        <w:spacing w:line="360" w:lineRule="auto"/>
        <w:ind w:firstLine="482" w:firstLineChars="200"/>
        <w:rPr>
          <w:rStyle w:val="29"/>
          <w:rFonts w:ascii="宋体" w:hAnsi="宋体" w:cs="宋体"/>
          <w:b/>
          <w:color w:val="auto"/>
          <w:sz w:val="24"/>
          <w:highlight w:val="none"/>
        </w:rPr>
      </w:pPr>
      <w:r>
        <w:rPr>
          <w:rStyle w:val="29"/>
          <w:rFonts w:hint="eastAsia" w:ascii="宋体" w:hAnsi="宋体" w:cs="宋体"/>
          <w:b/>
          <w:color w:val="auto"/>
          <w:sz w:val="24"/>
          <w:highlight w:val="none"/>
        </w:rPr>
        <w:t>8.服务：</w:t>
      </w:r>
      <w:r>
        <w:rPr>
          <w:rStyle w:val="29"/>
          <w:rFonts w:hint="eastAsia" w:ascii="宋体" w:hAnsi="宋体" w:cs="宋体"/>
          <w:color w:val="auto"/>
          <w:sz w:val="24"/>
          <w:highlight w:val="none"/>
        </w:rPr>
        <w:t>指甲方依据本协议第三条第（一）款规定从乙方购买的各项服务。</w:t>
      </w:r>
    </w:p>
    <w:p w14:paraId="6E716668">
      <w:pPr>
        <w:tabs>
          <w:tab w:val="left" w:pos="851"/>
          <w:tab w:val="left" w:pos="1276"/>
          <w:tab w:val="left" w:pos="1701"/>
        </w:tabs>
        <w:snapToGrid w:val="0"/>
        <w:spacing w:line="360" w:lineRule="auto"/>
        <w:ind w:firstLine="482" w:firstLineChars="200"/>
        <w:rPr>
          <w:rStyle w:val="29"/>
          <w:rFonts w:ascii="宋体" w:hAnsi="宋体" w:cs="宋体"/>
          <w:color w:val="auto"/>
          <w:sz w:val="24"/>
          <w:highlight w:val="none"/>
        </w:rPr>
      </w:pPr>
      <w:r>
        <w:rPr>
          <w:rStyle w:val="29"/>
          <w:rFonts w:hint="eastAsia" w:ascii="宋体" w:hAnsi="宋体" w:cs="宋体"/>
          <w:b/>
          <w:color w:val="auto"/>
          <w:sz w:val="24"/>
          <w:highlight w:val="none"/>
        </w:rPr>
        <w:t>9.书面形式：</w:t>
      </w:r>
      <w:r>
        <w:rPr>
          <w:rStyle w:val="29"/>
          <w:rFonts w:hint="eastAsia" w:ascii="宋体" w:hAnsi="宋体" w:cs="宋体"/>
          <w:color w:val="auto"/>
          <w:sz w:val="24"/>
          <w:highlight w:val="none"/>
        </w:rPr>
        <w:t>指有形表现所载内容的形式，包括协议文件、信件、电报、传真、电子邮件等。</w:t>
      </w:r>
    </w:p>
    <w:p w14:paraId="475CB467">
      <w:pPr>
        <w:pStyle w:val="68"/>
        <w:tabs>
          <w:tab w:val="left" w:pos="1418"/>
        </w:tabs>
        <w:spacing w:line="360" w:lineRule="auto"/>
        <w:ind w:firstLine="482" w:firstLineChars="200"/>
        <w:jc w:val="both"/>
        <w:rPr>
          <w:rStyle w:val="29"/>
          <w:rFonts w:ascii="宋体" w:hAnsi="宋体" w:cs="宋体"/>
          <w:color w:val="auto"/>
          <w:highlight w:val="none"/>
        </w:rPr>
      </w:pPr>
      <w:r>
        <w:rPr>
          <w:rStyle w:val="29"/>
          <w:rFonts w:hint="eastAsia" w:ascii="宋体" w:hAnsi="宋体" w:cs="宋体"/>
          <w:b/>
          <w:bCs/>
          <w:color w:val="auto"/>
          <w:highlight w:val="none"/>
        </w:rPr>
        <w:t>10</w:t>
      </w:r>
      <w:r>
        <w:rPr>
          <w:rStyle w:val="29"/>
          <w:rFonts w:hint="eastAsia" w:ascii="宋体" w:hAnsi="宋体" w:cs="宋体"/>
          <w:b/>
          <w:color w:val="auto"/>
          <w:highlight w:val="none"/>
        </w:rPr>
        <w:t>.</w:t>
      </w:r>
      <w:r>
        <w:rPr>
          <w:rStyle w:val="29"/>
          <w:rFonts w:hint="eastAsia" w:ascii="宋体" w:hAnsi="宋体" w:cs="宋体"/>
          <w:b/>
          <w:bCs/>
          <w:color w:val="auto"/>
          <w:highlight w:val="none"/>
        </w:rPr>
        <w:t>“元”：</w:t>
      </w:r>
      <w:r>
        <w:rPr>
          <w:rStyle w:val="29"/>
          <w:rFonts w:hint="eastAsia" w:ascii="宋体" w:hAnsi="宋体" w:cs="宋体"/>
          <w:color w:val="auto"/>
          <w:highlight w:val="none"/>
        </w:rPr>
        <w:t>指人民币元，为中华人民共和国法定货币。</w:t>
      </w:r>
    </w:p>
    <w:p w14:paraId="6566F38D">
      <w:pPr>
        <w:pStyle w:val="26"/>
        <w:tabs>
          <w:tab w:val="left" w:pos="851"/>
          <w:tab w:val="left" w:pos="1701"/>
        </w:tabs>
        <w:snapToGrid w:val="0"/>
        <w:spacing w:before="0" w:after="0" w:line="360" w:lineRule="auto"/>
        <w:ind w:firstLine="482" w:firstLineChars="200"/>
        <w:rPr>
          <w:rStyle w:val="29"/>
          <w:rFonts w:ascii="宋体" w:hAnsi="宋体" w:eastAsia="宋体" w:cs="宋体"/>
          <w:color w:val="auto"/>
          <w:sz w:val="24"/>
          <w:szCs w:val="24"/>
          <w:highlight w:val="none"/>
        </w:rPr>
      </w:pPr>
      <w:r>
        <w:rPr>
          <w:rStyle w:val="29"/>
          <w:rFonts w:hint="eastAsia" w:ascii="宋体" w:hAnsi="宋体" w:eastAsia="宋体" w:cs="宋体"/>
          <w:color w:val="auto"/>
          <w:sz w:val="24"/>
          <w:szCs w:val="24"/>
          <w:highlight w:val="none"/>
        </w:rPr>
        <w:t>（二）解释</w:t>
      </w:r>
    </w:p>
    <w:p w14:paraId="673DE2EB">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除非本协议另有说明，下述词语在本协议中应适用本条规定的释义：</w:t>
      </w:r>
    </w:p>
    <w:p w14:paraId="6415FE32">
      <w:pPr>
        <w:pStyle w:val="68"/>
        <w:tabs>
          <w:tab w:val="left" w:pos="851"/>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w:t>
      </w:r>
      <w:r>
        <w:rPr>
          <w:rStyle w:val="29"/>
          <w:rFonts w:hint="eastAsia" w:ascii="宋体" w:hAnsi="宋体" w:cs="宋体"/>
          <w:b/>
          <w:color w:val="auto"/>
          <w:highlight w:val="none"/>
        </w:rPr>
        <w:t>.</w:t>
      </w:r>
      <w:r>
        <w:rPr>
          <w:rStyle w:val="29"/>
          <w:rFonts w:hint="eastAsia" w:ascii="宋体" w:hAnsi="宋体" w:cs="宋体"/>
          <w:color w:val="auto"/>
          <w:highlight w:val="none"/>
        </w:rPr>
        <w:t>“一方”或“各方”指本协议的一方或各方。本协议的各方均包括其各自的获准受让人；</w:t>
      </w:r>
    </w:p>
    <w:p w14:paraId="195FC101">
      <w:pPr>
        <w:pStyle w:val="68"/>
        <w:tabs>
          <w:tab w:val="left" w:pos="851"/>
          <w:tab w:val="left" w:pos="1701"/>
        </w:tabs>
        <w:snapToGrid w:val="0"/>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w:t>
      </w:r>
      <w:r>
        <w:rPr>
          <w:rStyle w:val="29"/>
          <w:rFonts w:hint="eastAsia" w:ascii="宋体" w:hAnsi="宋体" w:cs="宋体"/>
          <w:b/>
          <w:color w:val="auto"/>
          <w:highlight w:val="none"/>
        </w:rPr>
        <w:t>.</w:t>
      </w:r>
      <w:r>
        <w:rPr>
          <w:rStyle w:val="29"/>
          <w:rFonts w:hint="eastAsia" w:ascii="宋体" w:hAnsi="宋体" w:cs="宋体"/>
          <w:color w:val="auto"/>
          <w:highlight w:val="none"/>
        </w:rPr>
        <w:t>“资产”包括现有和将来的任何类别的财产、收入及权益；</w:t>
      </w:r>
    </w:p>
    <w:p w14:paraId="3D6A1126">
      <w:pPr>
        <w:pStyle w:val="68"/>
        <w:tabs>
          <w:tab w:val="left" w:pos="851"/>
          <w:tab w:val="left" w:pos="1276"/>
          <w:tab w:val="left" w:pos="1701"/>
        </w:tabs>
        <w:snapToGrid w:val="0"/>
        <w:spacing w:line="360" w:lineRule="auto"/>
        <w:ind w:firstLine="480" w:firstLineChars="200"/>
        <w:jc w:val="both"/>
        <w:rPr>
          <w:rStyle w:val="29"/>
          <w:rFonts w:ascii="宋体" w:hAnsi="宋体" w:cs="宋体"/>
          <w:b/>
          <w:color w:val="auto"/>
          <w:highlight w:val="none"/>
        </w:rPr>
      </w:pPr>
      <w:r>
        <w:rPr>
          <w:rStyle w:val="29"/>
          <w:rFonts w:hint="eastAsia" w:ascii="宋体" w:hAnsi="宋体" w:cs="宋体"/>
          <w:color w:val="auto"/>
          <w:highlight w:val="none"/>
        </w:rPr>
        <w:t>3</w:t>
      </w:r>
      <w:r>
        <w:rPr>
          <w:rStyle w:val="29"/>
          <w:rFonts w:hint="eastAsia" w:ascii="宋体" w:hAnsi="宋体" w:cs="宋体"/>
          <w:b/>
          <w:color w:val="auto"/>
          <w:highlight w:val="none"/>
        </w:rPr>
        <w:t>.</w:t>
      </w:r>
      <w:r>
        <w:rPr>
          <w:rStyle w:val="29"/>
          <w:rFonts w:hint="eastAsia" w:ascii="宋体" w:hAnsi="宋体" w:cs="宋体"/>
          <w:color w:val="auto"/>
          <w:highlight w:val="none"/>
        </w:rPr>
        <w:t>“修订”包括补充、更新、替换或重新制订（“被修订”应作相应解释）。</w:t>
      </w:r>
    </w:p>
    <w:p w14:paraId="0BC3CB4F">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第二条 协议适用顺序</w:t>
      </w:r>
    </w:p>
    <w:p w14:paraId="1C6341DD">
      <w:pPr>
        <w:tabs>
          <w:tab w:val="left" w:pos="426"/>
          <w:tab w:val="left" w:pos="1276"/>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任何关于本协议内容的争议应按照下述顺序适用本协议文件予以澄清：（1）本协议；（2）协议附件。上述文件中上一序位文件与下一序位文件内容相矛盾时，应优先适用上一序位文件标准澄清本协议的规定。</w:t>
      </w:r>
    </w:p>
    <w:p w14:paraId="511D55F8">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第三条 购买服务内容、范围及期限</w:t>
      </w:r>
    </w:p>
    <w:p w14:paraId="6B6925E8">
      <w:pPr>
        <w:pStyle w:val="26"/>
        <w:tabs>
          <w:tab w:val="left" w:pos="851"/>
          <w:tab w:val="left" w:pos="1701"/>
        </w:tabs>
        <w:snapToGrid w:val="0"/>
        <w:spacing w:before="0" w:after="0" w:line="360" w:lineRule="auto"/>
        <w:ind w:firstLine="480" w:firstLineChars="200"/>
        <w:rPr>
          <w:rStyle w:val="29"/>
          <w:rFonts w:ascii="宋体" w:hAnsi="宋体" w:eastAsia="宋体" w:cs="宋体"/>
          <w:b w:val="0"/>
          <w:bCs w:val="0"/>
          <w:color w:val="auto"/>
          <w:sz w:val="24"/>
          <w:szCs w:val="24"/>
          <w:highlight w:val="none"/>
        </w:rPr>
      </w:pPr>
      <w:r>
        <w:rPr>
          <w:rStyle w:val="29"/>
          <w:rFonts w:hint="eastAsia" w:ascii="宋体" w:hAnsi="宋体" w:eastAsia="宋体" w:cs="宋体"/>
          <w:b w:val="0"/>
          <w:bCs w:val="0"/>
          <w:color w:val="auto"/>
          <w:sz w:val="24"/>
          <w:szCs w:val="24"/>
          <w:highlight w:val="none"/>
        </w:rPr>
        <w:t>甲方购买乙方负责提供的</w:t>
      </w:r>
      <w:r>
        <w:rPr>
          <w:rStyle w:val="29"/>
          <w:rFonts w:hint="eastAsia" w:ascii="宋体" w:hAnsi="宋体" w:eastAsia="宋体" w:cs="宋体"/>
          <w:color w:val="auto"/>
          <w:sz w:val="24"/>
          <w:szCs w:val="24"/>
          <w:highlight w:val="none"/>
        </w:rPr>
        <w:t>海口市202</w:t>
      </w:r>
      <w:r>
        <w:rPr>
          <w:rStyle w:val="29"/>
          <w:rFonts w:hint="eastAsia" w:ascii="宋体" w:hAnsi="宋体" w:eastAsia="宋体" w:cs="宋体"/>
          <w:color w:val="auto"/>
          <w:sz w:val="24"/>
          <w:szCs w:val="24"/>
          <w:highlight w:val="none"/>
          <w:lang w:val="en-US" w:eastAsia="zh-CN"/>
        </w:rPr>
        <w:t>5</w:t>
      </w:r>
      <w:r>
        <w:rPr>
          <w:rStyle w:val="29"/>
          <w:rFonts w:hint="eastAsia" w:ascii="宋体" w:hAnsi="宋体" w:eastAsia="宋体" w:cs="宋体"/>
          <w:color w:val="auto"/>
          <w:sz w:val="24"/>
          <w:szCs w:val="24"/>
          <w:highlight w:val="none"/>
        </w:rPr>
        <w:t>-202</w:t>
      </w:r>
      <w:r>
        <w:rPr>
          <w:rStyle w:val="29"/>
          <w:rFonts w:hint="eastAsia" w:ascii="宋体" w:hAnsi="宋体" w:eastAsia="宋体" w:cs="宋体"/>
          <w:color w:val="auto"/>
          <w:sz w:val="24"/>
          <w:szCs w:val="24"/>
          <w:highlight w:val="none"/>
          <w:lang w:val="en-US" w:eastAsia="zh-CN"/>
        </w:rPr>
        <w:t>8</w:t>
      </w:r>
      <w:r>
        <w:rPr>
          <w:rStyle w:val="29"/>
          <w:rFonts w:hint="eastAsia" w:ascii="宋体" w:hAnsi="宋体" w:eastAsia="宋体" w:cs="宋体"/>
          <w:color w:val="auto"/>
          <w:sz w:val="24"/>
          <w:szCs w:val="24"/>
          <w:highlight w:val="none"/>
        </w:rPr>
        <w:t>年</w:t>
      </w:r>
      <w:r>
        <w:rPr>
          <w:rStyle w:val="29"/>
          <w:rFonts w:hint="eastAsia" w:ascii="宋体" w:hAnsi="宋体" w:eastAsia="宋体" w:cs="宋体"/>
          <w:b w:val="0"/>
          <w:bCs w:val="0"/>
          <w:color w:val="auto"/>
          <w:sz w:val="24"/>
          <w:szCs w:val="24"/>
          <w:highlight w:val="none"/>
        </w:rPr>
        <w:t>污泥处理处置政府购买服务采购包</w:t>
      </w:r>
      <w:r>
        <w:rPr>
          <w:rStyle w:val="29"/>
          <w:rFonts w:hint="eastAsia" w:ascii="宋体" w:hAnsi="宋体" w:eastAsia="宋体" w:cs="宋体"/>
          <w:b w:val="0"/>
          <w:bCs w:val="0"/>
          <w:color w:val="auto"/>
          <w:sz w:val="24"/>
          <w:szCs w:val="24"/>
          <w:highlight w:val="none"/>
          <w:lang w:val="en-US" w:eastAsia="zh-CN"/>
        </w:rPr>
        <w:t>2</w:t>
      </w:r>
      <w:r>
        <w:rPr>
          <w:rStyle w:val="29"/>
          <w:rFonts w:hint="eastAsia" w:ascii="宋体" w:hAnsi="宋体" w:eastAsia="宋体" w:cs="宋体"/>
          <w:b w:val="0"/>
          <w:bCs w:val="0"/>
          <w:color w:val="auto"/>
          <w:sz w:val="24"/>
          <w:szCs w:val="24"/>
          <w:highlight w:val="none"/>
        </w:rPr>
        <w:t>。</w:t>
      </w:r>
    </w:p>
    <w:p w14:paraId="044FD4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（一）服务内容和范围</w:t>
      </w:r>
    </w:p>
    <w:p w14:paraId="7126C18E">
      <w:pPr>
        <w:tabs>
          <w:tab w:val="left" w:pos="851"/>
        </w:tabs>
        <w:snapToGrid w:val="0"/>
        <w:spacing w:line="360" w:lineRule="auto"/>
        <w:ind w:firstLine="482" w:firstLineChars="200"/>
        <w:rPr>
          <w:rStyle w:val="29"/>
          <w:rFonts w:ascii="宋体" w:hAnsi="宋体" w:cs="宋体"/>
          <w:color w:val="auto"/>
          <w:sz w:val="24"/>
          <w:highlight w:val="none"/>
        </w:rPr>
      </w:pPr>
      <w:r>
        <w:rPr>
          <w:rFonts w:hint="eastAsia" w:ascii="宋体" w:hAnsi="宋体" w:cs="宋体"/>
          <w:b/>
          <w:bCs/>
          <w:color w:val="auto"/>
          <w:sz w:val="24"/>
          <w:highlight w:val="none"/>
        </w:rPr>
        <w:t>海口市行政辖区内</w:t>
      </w:r>
      <w:r>
        <w:rPr>
          <w:rStyle w:val="29"/>
          <w:rFonts w:hint="eastAsia" w:ascii="宋体" w:hAnsi="宋体" w:eastAsia="宋体" w:cs="宋体"/>
          <w:color w:val="auto"/>
          <w:kern w:val="2"/>
          <w:sz w:val="24"/>
          <w:szCs w:val="24"/>
          <w:highlight w:val="none"/>
          <w:lang w:val="en-US" w:eastAsia="zh-CN" w:bidi="ar-SA"/>
        </w:rPr>
        <w:t>污水处理厂 (站) 产生的污泥，</w:t>
      </w:r>
      <w:r>
        <w:rPr>
          <w:rStyle w:val="29"/>
          <w:rFonts w:hint="eastAsia" w:ascii="宋体" w:hAnsi="宋体" w:cs="宋体"/>
          <w:color w:val="auto"/>
          <w:sz w:val="24"/>
          <w:highlight w:val="none"/>
        </w:rPr>
        <w:t>接收并处置采购包</w:t>
      </w:r>
      <w:r>
        <w:rPr>
          <w:rStyle w:val="29"/>
          <w:rFonts w:hint="eastAsia" w:ascii="宋体" w:hAnsi="宋体" w:cs="宋体"/>
          <w:color w:val="auto"/>
          <w:sz w:val="24"/>
          <w:highlight w:val="none"/>
          <w:lang w:val="en-US" w:eastAsia="zh-CN"/>
        </w:rPr>
        <w:t>1</w:t>
      </w:r>
      <w:r>
        <w:rPr>
          <w:rStyle w:val="29"/>
          <w:rFonts w:hint="eastAsia" w:ascii="宋体" w:hAnsi="宋体" w:cs="宋体"/>
          <w:color w:val="auto"/>
          <w:sz w:val="24"/>
          <w:highlight w:val="none"/>
        </w:rPr>
        <w:t xml:space="preserve">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预计每天产泥量约200吨，含水率等于或小于80%。 </w:t>
      </w:r>
      <w:r>
        <w:rPr>
          <w:rStyle w:val="29"/>
          <w:rFonts w:hint="eastAsia" w:ascii="宋体" w:hAnsi="宋体" w:eastAsia="宋体" w:cs="宋体"/>
          <w:b w:val="0"/>
          <w:bCs w:val="0"/>
          <w:color w:val="auto"/>
          <w:sz w:val="24"/>
          <w:szCs w:val="24"/>
          <w:highlight w:val="none"/>
          <w:lang w:val="en-US" w:eastAsia="zh"/>
        </w:rPr>
        <w:t>以上污泥量</w:t>
      </w:r>
      <w:r>
        <w:rPr>
          <w:rStyle w:val="29"/>
          <w:rFonts w:hint="eastAsia" w:ascii="宋体" w:hAnsi="宋体" w:cs="宋体"/>
          <w:b w:val="0"/>
          <w:bCs w:val="0"/>
          <w:color w:val="auto"/>
          <w:sz w:val="24"/>
          <w:szCs w:val="24"/>
          <w:highlight w:val="none"/>
          <w:lang w:val="en-US" w:eastAsia="zh-CN"/>
        </w:rPr>
        <w:t>为</w:t>
      </w:r>
      <w:r>
        <w:rPr>
          <w:rStyle w:val="29"/>
          <w:rFonts w:hint="eastAsia" w:ascii="宋体" w:hAnsi="宋体" w:eastAsia="宋体" w:cs="宋体"/>
          <w:b w:val="0"/>
          <w:bCs w:val="0"/>
          <w:color w:val="auto"/>
          <w:sz w:val="24"/>
          <w:szCs w:val="24"/>
          <w:highlight w:val="none"/>
          <w:lang w:val="en-US" w:eastAsia="zh"/>
        </w:rPr>
        <w:t>甲方预估，具体以实际各污水处理厂产生的污泥量为准。</w:t>
      </w:r>
      <w:r>
        <w:rPr>
          <w:rStyle w:val="29"/>
          <w:rFonts w:hint="eastAsia" w:ascii="宋体" w:hAnsi="宋体" w:cs="宋体"/>
          <w:color w:val="auto"/>
          <w:sz w:val="24"/>
          <w:highlight w:val="none"/>
        </w:rPr>
        <w:t>当有特殊情况甲方需要增减处置污泥时，乙方应无条件配合并做好处置工作。</w:t>
      </w:r>
    </w:p>
    <w:p w14:paraId="2E9C57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（二）服务期限</w:t>
      </w:r>
    </w:p>
    <w:p w14:paraId="63386B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本协议项目下的服务期限为：</w:t>
      </w:r>
      <w:r>
        <w:rPr>
          <w:rStyle w:val="29"/>
          <w:rFonts w:hint="eastAsia" w:ascii="宋体" w:hAnsi="宋体" w:cs="宋体"/>
          <w:color w:val="auto"/>
          <w:kern w:val="0"/>
          <w:sz w:val="24"/>
          <w:highlight w:val="none"/>
          <w:lang w:val="en-US" w:eastAsia="zh-CN"/>
        </w:rPr>
        <w:t>36</w:t>
      </w:r>
      <w:r>
        <w:rPr>
          <w:rStyle w:val="29"/>
          <w:rFonts w:hint="eastAsia" w:ascii="宋体" w:hAnsi="宋体" w:cs="宋体"/>
          <w:color w:val="auto"/>
          <w:kern w:val="0"/>
          <w:sz w:val="24"/>
          <w:highlight w:val="none"/>
        </w:rPr>
        <w:t>个月，自202</w:t>
      </w:r>
      <w:r>
        <w:rPr>
          <w:rStyle w:val="29"/>
          <w:rFonts w:hint="eastAsia" w:ascii="宋体" w:hAnsi="宋体" w:cs="宋体"/>
          <w:color w:val="auto"/>
          <w:kern w:val="0"/>
          <w:sz w:val="24"/>
          <w:highlight w:val="none"/>
          <w:lang w:val="en-US" w:eastAsia="zh-CN"/>
        </w:rPr>
        <w:t>5</w:t>
      </w:r>
      <w:r>
        <w:rPr>
          <w:rStyle w:val="29"/>
          <w:rFonts w:hint="eastAsia" w:ascii="宋体" w:hAnsi="宋体" w:cs="宋体"/>
          <w:color w:val="auto"/>
          <w:kern w:val="0"/>
          <w:sz w:val="24"/>
          <w:highlight w:val="none"/>
        </w:rPr>
        <w:t>年</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月</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日起至202</w:t>
      </w:r>
      <w:r>
        <w:rPr>
          <w:rStyle w:val="29"/>
          <w:rFonts w:hint="eastAsia" w:ascii="宋体" w:hAnsi="宋体" w:cs="宋体"/>
          <w:color w:val="auto"/>
          <w:kern w:val="0"/>
          <w:sz w:val="24"/>
          <w:highlight w:val="none"/>
          <w:lang w:val="en-US" w:eastAsia="zh-CN"/>
        </w:rPr>
        <w:t>8</w:t>
      </w:r>
      <w:r>
        <w:rPr>
          <w:rStyle w:val="29"/>
          <w:rFonts w:hint="eastAsia" w:ascii="宋体" w:hAnsi="宋体" w:cs="宋体"/>
          <w:color w:val="auto"/>
          <w:kern w:val="0"/>
          <w:sz w:val="24"/>
          <w:highlight w:val="none"/>
        </w:rPr>
        <w:t>年</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月</w:t>
      </w:r>
      <w:r>
        <w:rPr>
          <w:rStyle w:val="29"/>
          <w:rFonts w:hint="eastAsia" w:ascii="宋体" w:hAnsi="宋体" w:cs="宋体"/>
          <w:color w:val="auto"/>
          <w:kern w:val="0"/>
          <w:sz w:val="24"/>
          <w:highlight w:val="none"/>
          <w:lang w:val="en-US" w:eastAsia="zh-CN"/>
        </w:rPr>
        <w:t xml:space="preserve"> </w:t>
      </w:r>
      <w:r>
        <w:rPr>
          <w:rStyle w:val="29"/>
          <w:rFonts w:hint="eastAsia" w:ascii="宋体" w:hAnsi="宋体" w:cs="宋体"/>
          <w:color w:val="auto"/>
          <w:kern w:val="0"/>
          <w:sz w:val="24"/>
          <w:highlight w:val="none"/>
        </w:rPr>
        <w:t>日止（若</w:t>
      </w:r>
      <w:r>
        <w:rPr>
          <w:rFonts w:hint="eastAsia" w:ascii="宋体" w:hAnsi="宋体" w:cs="宋体"/>
          <w:color w:val="auto"/>
          <w:sz w:val="24"/>
          <w:highlight w:val="none"/>
        </w:rPr>
        <w:t>开始时间与甲方向乙方发函开始进行污泥处置之日不一致的,则以甲方向乙方发函开始进行污泥处置之日起算</w:t>
      </w:r>
      <w:r>
        <w:rPr>
          <w:rStyle w:val="29"/>
          <w:rFonts w:hint="eastAsia" w:ascii="宋体" w:hAnsi="宋体" w:cs="宋体"/>
          <w:color w:val="auto"/>
          <w:kern w:val="0"/>
          <w:sz w:val="24"/>
          <w:highlight w:val="none"/>
        </w:rPr>
        <w:t>）。本协议服务期限届满前三个月双方可协商签订补充合同，如甲方需追加与本协议约定相同的服务，在不改变本协议其他条款的前提下，甲乙双方可以协商签订补充合同，但补充合同的采购金额不得超过原合同采购金额的百分之十。</w:t>
      </w:r>
    </w:p>
    <w:p w14:paraId="29D3C6D7">
      <w:pPr>
        <w:snapToGrid w:val="0"/>
        <w:spacing w:beforeLines="50"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第四条 污泥处理处置标准和技术要求</w:t>
      </w:r>
    </w:p>
    <w:p w14:paraId="21248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hint="eastAsia" w:ascii="宋体" w:hAnsi="宋体" w:cs="宋体"/>
          <w:color w:val="auto"/>
          <w:kern w:val="0"/>
          <w:sz w:val="24"/>
          <w:highlight w:val="none"/>
        </w:rPr>
      </w:pPr>
      <w:r>
        <w:rPr>
          <w:rStyle w:val="29"/>
          <w:rFonts w:hint="eastAsia" w:ascii="宋体" w:hAnsi="宋体" w:cs="宋体"/>
          <w:color w:val="auto"/>
          <w:kern w:val="0"/>
          <w:sz w:val="24"/>
          <w:highlight w:val="none"/>
        </w:rPr>
        <w:t>（一）持续解决海口市市政污水处理厂污泥进行安全处置工作减量化、无害化、稳定化处理处置，处置方式符合《中华人民共和国固体废物污染环境防治法》以及国家及地方有关污泥处置处理的法规及要求，项目实施过程中如有新颁布的标准或方法的，乙方将无条件按照新标准、新规范执行，相关标准也作为验收标准使用。确保安全稳定有序处置。</w:t>
      </w:r>
    </w:p>
    <w:p w14:paraId="0C7D6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Style w:val="29"/>
          <w:rFonts w:hint="eastAsia" w:ascii="宋体" w:hAnsi="宋体" w:cs="宋体"/>
          <w:color w:val="auto"/>
          <w:kern w:val="0"/>
          <w:sz w:val="24"/>
          <w:highlight w:val="none"/>
        </w:rPr>
      </w:pPr>
      <w:r>
        <w:rPr>
          <w:rStyle w:val="29"/>
          <w:rFonts w:hint="eastAsia" w:ascii="宋体" w:hAnsi="宋体" w:cs="宋体"/>
          <w:color w:val="auto"/>
          <w:kern w:val="0"/>
          <w:sz w:val="24"/>
          <w:highlight w:val="none"/>
        </w:rPr>
        <w:t>（二）污泥处置能力每日不低于</w:t>
      </w:r>
      <w:r>
        <w:rPr>
          <w:rStyle w:val="29"/>
          <w:rFonts w:hint="eastAsia" w:ascii="宋体" w:hAnsi="宋体" w:cs="宋体"/>
          <w:color w:val="auto"/>
          <w:kern w:val="0"/>
          <w:sz w:val="24"/>
          <w:highlight w:val="none"/>
          <w:lang w:val="en-US" w:eastAsia="zh-CN"/>
        </w:rPr>
        <w:t>200</w:t>
      </w:r>
      <w:r>
        <w:rPr>
          <w:rStyle w:val="29"/>
          <w:rFonts w:hint="eastAsia" w:ascii="宋体" w:hAnsi="宋体" w:cs="宋体"/>
          <w:color w:val="auto"/>
          <w:kern w:val="0"/>
          <w:sz w:val="24"/>
          <w:highlight w:val="none"/>
        </w:rPr>
        <w:t>吨。（并承诺根据海口市污泥产生量情况，污泥处置能力可能不足时，应该根据采购人要求无条件新增处理处置能力，以确保海口市污水处理设施污泥得到安全化、无害化处置）</w:t>
      </w:r>
    </w:p>
    <w:p w14:paraId="24F448E5">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（三）乙方安排专人进行现场指挥管理，保证污泥处置场地道路平整，能够满足昼夜污泥运输安全条件（夜间照明、围挡设置或者警示标志等）。</w:t>
      </w:r>
    </w:p>
    <w:p w14:paraId="479B43D9">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（四）乙方安排专职人员进行计量登记，建立污泥处置台账，对污泥由进厂到出厂全过程进行管理及记录，按照“一车一单”、“逐车称重”的要求如实记录。</w:t>
      </w:r>
    </w:p>
    <w:p w14:paraId="7944921F">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（五）污泥处置最终去向确定：乙方须每月向甲方提供污泥处理处置台账和最终成品去向清单，建立完善的记录、存档和报告制度。</w:t>
      </w:r>
    </w:p>
    <w:p w14:paraId="444EA483">
      <w:pPr>
        <w:pStyle w:val="21"/>
        <w:spacing w:after="0"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（六）污泥转运过程安全有序，符合《城镇污水处理厂污泥处理处置技术指南》等相关要求，确保处置工作安全、环保、有效。</w:t>
      </w:r>
    </w:p>
    <w:p w14:paraId="309BDDF7">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第五条</w:t>
      </w:r>
      <w:r>
        <w:rPr>
          <w:rStyle w:val="29"/>
          <w:rFonts w:hint="eastAsia" w:ascii="宋体" w:hAnsi="宋体" w:cs="宋体"/>
          <w:b/>
          <w:bCs/>
          <w:color w:val="auto"/>
          <w:sz w:val="24"/>
          <w:highlight w:val="none"/>
          <w:lang w:val="en-US" w:eastAsia="zh-CN"/>
        </w:rPr>
        <w:t xml:space="preserve"> </w:t>
      </w:r>
      <w:r>
        <w:rPr>
          <w:rStyle w:val="29"/>
          <w:rFonts w:hint="eastAsia" w:ascii="宋体" w:hAnsi="宋体" w:cs="宋体"/>
          <w:b/>
          <w:bCs/>
          <w:color w:val="auto"/>
          <w:sz w:val="24"/>
          <w:highlight w:val="none"/>
        </w:rPr>
        <w:t>服务费用及支付方式</w:t>
      </w:r>
    </w:p>
    <w:p w14:paraId="2FDD6146">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（一）污泥处理处置服务费单价</w:t>
      </w:r>
    </w:p>
    <w:p w14:paraId="5A1B1CC8">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污泥处理处置单价为人民币</w:t>
      </w:r>
      <w:r>
        <w:rPr>
          <w:rStyle w:val="29"/>
          <w:rFonts w:hint="eastAsia" w:ascii="宋体" w:hAnsi="宋体" w:eastAsia="宋体" w:cs="宋体"/>
          <w:b w:val="0"/>
          <w:bCs w:val="0"/>
          <w:color w:val="auto"/>
          <w:sz w:val="24"/>
          <w:szCs w:val="24"/>
          <w:highlight w:val="none"/>
          <w:lang w:val="en-US" w:eastAsia="zh"/>
        </w:rPr>
        <w:t>xx</w:t>
      </w:r>
      <w:r>
        <w:rPr>
          <w:rStyle w:val="29"/>
          <w:rFonts w:hint="eastAsia" w:ascii="宋体" w:hAnsi="宋体" w:cs="宋体"/>
          <w:color w:val="auto"/>
          <w:sz w:val="24"/>
          <w:highlight w:val="none"/>
        </w:rPr>
        <w:t>元/吨，该污泥处置费包括且不限于处理本项目污泥收集、运输、处理和处置，污泥相关的各类设备费、污泥收集储存处置费、环保处理费、管理费、过磅费、保险费、员工服装费、员工工资、税费、证件办理费、利润等以及一切不可预见费用。</w:t>
      </w:r>
    </w:p>
    <w:p w14:paraId="4C6D3F69">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（二）污泥的计量</w:t>
      </w:r>
    </w:p>
    <w:p w14:paraId="7218E3EA">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乙双方以项目厂区的地磅称重设施所测量的进厂污泥车重量，计算乙方实际处理污泥量：计算方式为地磅称重时，污泥运输车辆总重量减去车辆净重，得出的结果便是污泥重量；并如实填写《污泥转移联单（五联单）》。</w:t>
      </w:r>
    </w:p>
    <w:p w14:paraId="453DE8E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地磅按质检部门有关标准每年进行年检校准，年检结果须送达甲方，并安装“一备一用”录像监控设施进行监控，乙方应当确保该等监控设施完好并正常运作，在出现其中一套监控设施无法正常运作时，应立即改用备用设施进行监控（台账要求存档3年以上）。</w:t>
      </w:r>
    </w:p>
    <w:p w14:paraId="7FB1EDF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2.服务期内，甲方可派驻人员专门对污泥计量进行监督，乙方应给予支持和配合。</w:t>
      </w:r>
    </w:p>
    <w:p w14:paraId="7224DBAD">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各方应依照上述约定，由甲方核定上月乙方处理污泥的结算数量。</w:t>
      </w:r>
    </w:p>
    <w:p w14:paraId="6894BC8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（三）污泥处理处置服务费计算和支付</w:t>
      </w:r>
    </w:p>
    <w:p w14:paraId="7D18AA4F">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1.污泥处理处置服务费的计算</w:t>
      </w:r>
    </w:p>
    <w:p w14:paraId="37ED6327">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本项目的污泥处理处置服务费按月支付：</w:t>
      </w:r>
    </w:p>
    <w:p w14:paraId="4A757943">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当日处理处置污泥的服务费=污泥处理处置单价×污泥当日合格处置量。</w:t>
      </w:r>
    </w:p>
    <w:p w14:paraId="349202AB">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2.污泥处理处置费的支付</w:t>
      </w:r>
    </w:p>
    <w:p w14:paraId="5642675A">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乙方于每月10日前将上月的《污泥转移联单（五联单）》和过磅单等原始资料、月度污泥处置工作报告，污泥处理处置服务费支付申请报告及相关材料提交甲方或甲方指定的第三方机构审核，以此作为支付污泥处置费用的重要依据。</w:t>
      </w:r>
    </w:p>
    <w:p w14:paraId="67D4A1C1">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（2）甲方在收到乙方递交的支付申请报告之日（“支付申请单日”）后，在</w:t>
      </w:r>
      <w:r>
        <w:rPr>
          <w:rStyle w:val="29"/>
          <w:rFonts w:hint="eastAsia" w:ascii="宋体" w:hAnsi="宋体" w:cs="宋体"/>
          <w:color w:val="auto"/>
          <w:sz w:val="24"/>
          <w:highlight w:val="none"/>
          <w:lang w:val="en-US" w:eastAsia="zh"/>
        </w:rPr>
        <w:t>10</w:t>
      </w:r>
      <w:r>
        <w:rPr>
          <w:rStyle w:val="29"/>
          <w:rFonts w:hint="eastAsia" w:ascii="宋体" w:hAnsi="宋体" w:cs="宋体"/>
          <w:color w:val="auto"/>
          <w:sz w:val="24"/>
          <w:highlight w:val="none"/>
        </w:rPr>
        <w:t>个工作日内进行支付报告的审核，审核无异议由甲方向财政部门申请资金，财政资金下达且乙方出具相应金额发票后，甲方在15个工作日内完成污泥处理处置服务费的支付。</w:t>
      </w:r>
    </w:p>
    <w:p w14:paraId="47BA6CE7">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甲方对支付申请单如有任何异议，应在收到支付申请报告后五（5）个工作日内通知乙方。如果无故未发出通知，有关的支付申请单应视为无异议。对于无异议部分的污泥处理处置量,甲方应按第五条第（三）款约定向乙方支付污泥处理处置服务费；异议部分的污泥处理处置服务费在争议解决后，确应由甲方支付的，甲方在下月支付污泥处理处置服务费时一并支付。</w:t>
      </w:r>
    </w:p>
    <w:p w14:paraId="1C72DA5E">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如果甲方对支付申请报告的任何部分有异议，乙方应当给予解答，各方应为解决异议进行协商。</w:t>
      </w:r>
    </w:p>
    <w:p w14:paraId="2B642432">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（4）甲方应按本协议约定，按时将污泥处理处置费支付至乙方提供的以下银行账户（如账户变化再做调整）：</w:t>
      </w:r>
    </w:p>
    <w:p w14:paraId="2D24A732">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u w:val="single"/>
        </w:rPr>
        <w:t>账户名称：</w:t>
      </w:r>
    </w:p>
    <w:p w14:paraId="0D894ECF">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u w:val="single"/>
        </w:rPr>
        <w:t>开户行：</w:t>
      </w:r>
    </w:p>
    <w:p w14:paraId="52E0AEB2">
      <w:pPr>
        <w:spacing w:line="360" w:lineRule="auto"/>
        <w:ind w:firstLine="480" w:firstLineChars="200"/>
        <w:rPr>
          <w:rStyle w:val="29"/>
          <w:rFonts w:ascii="宋体" w:hAnsi="宋体" w:cs="宋体"/>
          <w:color w:val="auto"/>
          <w:sz w:val="24"/>
          <w:highlight w:val="none"/>
        </w:rPr>
      </w:pPr>
      <w:r>
        <w:rPr>
          <w:rFonts w:hint="eastAsia" w:ascii="宋体" w:hAnsi="宋体" w:cs="宋体"/>
          <w:color w:val="auto"/>
          <w:sz w:val="24"/>
          <w:highlight w:val="none"/>
          <w:u w:val="single"/>
        </w:rPr>
        <w:t>账号：</w:t>
      </w:r>
    </w:p>
    <w:p w14:paraId="07170912">
      <w:pPr>
        <w:spacing w:line="360" w:lineRule="auto"/>
        <w:ind w:firstLine="480" w:firstLineChars="200"/>
        <w:rPr>
          <w:rStyle w:val="29"/>
          <w:rFonts w:ascii="宋体" w:hAnsi="宋体" w:cs="宋体"/>
          <w:color w:val="auto"/>
          <w:sz w:val="24"/>
          <w:highlight w:val="none"/>
          <w:u w:val="single"/>
        </w:rPr>
      </w:pPr>
      <w:r>
        <w:rPr>
          <w:rStyle w:val="29"/>
          <w:rFonts w:hint="eastAsia" w:ascii="宋体" w:hAnsi="宋体" w:cs="宋体"/>
          <w:color w:val="auto"/>
          <w:sz w:val="24"/>
          <w:highlight w:val="none"/>
        </w:rPr>
        <w:t>（5）因甲方的上级主管部门或政府主管部门未能及时拨付资金造成甲方未能按本合同约定时间和进度支付污泥处理处置费的，不视为甲方违约，甲方无需承担任何违约责任，亦无需向乙方支付违约金、滞纳金或者利息等任何形式的违约补偿。</w:t>
      </w:r>
    </w:p>
    <w:p w14:paraId="1739B06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第六条 服务质量的保障措施</w:t>
      </w:r>
    </w:p>
    <w:p w14:paraId="4F3F59B8">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应在项目协议履行过程中采取一切必要措施保障其所提供的服务符合服务质量标准，如乙方处理处置未达到本合同有关污泥处理处置的标准，甲方有权拒付未达到本合同有关污泥处理处置的标准的处理处置费用。如果由于不可抗力、项目技改或工艺升级改造等原因无法处理处置污泥，不能保障服务事项的质量，乙方应及时书面通知甲方，并尽快启动应急措施。</w:t>
      </w:r>
    </w:p>
    <w:p w14:paraId="1D6C41EC">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（二）甲方有权在乙方提供服务的过程中，在不影响乙方正常运营的前提下，对乙方的计量、运输、及污泥的处理处置等内容予以定期或不定期检查。</w:t>
      </w:r>
    </w:p>
    <w:p w14:paraId="5188BA13">
      <w:pPr>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（三）甲方对项目服务检查的结果应以书面形式通知乙方。乙方如果对甲方的检查结果有异议，应在</w:t>
      </w:r>
      <w:r>
        <w:rPr>
          <w:rStyle w:val="29"/>
          <w:rFonts w:hint="eastAsia" w:ascii="宋体" w:hAnsi="宋体" w:cs="宋体"/>
          <w:color w:val="auto"/>
          <w:sz w:val="24"/>
          <w:highlight w:val="none"/>
          <w:u w:val="single" w:color="000000"/>
        </w:rPr>
        <w:t>七（7）</w:t>
      </w:r>
      <w:r>
        <w:rPr>
          <w:rStyle w:val="29"/>
          <w:rFonts w:hint="eastAsia" w:ascii="宋体" w:hAnsi="宋体" w:cs="宋体"/>
          <w:color w:val="auto"/>
          <w:sz w:val="24"/>
          <w:highlight w:val="none"/>
        </w:rPr>
        <w:t>个工作日内向甲方提出书面说明。甲方有权依据服务检查结果通知乙方停止履行本协议规定的有关服务。如果甲方没有通知乙方停止履行协议义务，乙方应继续向甲方提供所规定的有关服务，甲方也应按照本协议规定履行相应义务。双方有关服务检查结果的争议由双方协商解决，协商不成的可以按照本协议规定的争议解决方式解决。</w:t>
      </w:r>
    </w:p>
    <w:p w14:paraId="5F0B7E76">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第七条 甲方的陈述和保证</w:t>
      </w:r>
    </w:p>
    <w:p w14:paraId="12C7764F">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（一）甲方已经获得海口市人民政府的有效授权，负责购买本协议所规定的各项服务，并代表海口市人民政府与乙方签署本协议。</w:t>
      </w:r>
    </w:p>
    <w:p w14:paraId="72EA94D4">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已清楚地知晓本协议约定的权利、义务和责任。甲方保证：本协议一经签署，即形成对签约方有效的、合法的、有约束力的义务和责任，并按其条款依照适用法律对签约方有强制执行力。因此，甲方承诺：甲方将严格履行本协议条款约定的义务和责任，并享有本协议条款约定的权利和利益；如有违约，甲方将按本协议条款的约定承担违约责任，并依约向乙方赔偿经济损失；乙方有权根据本协议的约定依法向甲方提出索赔。</w:t>
      </w:r>
    </w:p>
    <w:p w14:paraId="33A70794">
      <w:pPr>
        <w:tabs>
          <w:tab w:val="left" w:pos="709"/>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（三）甲方保证本协议涉及的财政支出责任已经按照相关法律规定获得必备的批准及授权。在服务期内，乙方已按本协议约定履行提供服务，甲方将严格按照本协议约定时间支付对应款项。</w:t>
      </w:r>
    </w:p>
    <w:p w14:paraId="0D51BDE6">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第八条 乙方的陈述和保证</w:t>
      </w:r>
    </w:p>
    <w:p w14:paraId="5760665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（一）乙方为依法设立、有独立承担民事责任的能力的法人。</w:t>
      </w:r>
    </w:p>
    <w:p w14:paraId="7E8AF40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乙方已清楚地知晓本协议约定的权利、义务和责任。乙方保证：本协议一经签署，即形成对签约方有效的、合法的、有约束力的义务和责任，并按其条款依照适用法律对签约方有强制执行力。因此，乙方承诺：乙方将严格履行本协议条款约定的义务和责任，并享有本协议条款约定的权利和利益；如有违约，乙方将按本协议条款的约定承担违约责任，并依约向甲方赔偿经济损失；甲方有权根据本协议的约定依法向乙方提出索赔。</w:t>
      </w:r>
    </w:p>
    <w:p w14:paraId="3089F786">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（三）乙方保证其向甲方提供的信息是真实、准确和完整的。</w:t>
      </w:r>
    </w:p>
    <w:p w14:paraId="45CB9A2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将科学合理地制定项目年度经营计划，按照适用法律和本协议及附件规定组织项目的安全生产；完善污泥处理及处置方案、运输方案、投入本项目设施设备、项目组人员配备情况、应急处理方案、进度计划方案、管理方案和管理制度等。</w:t>
      </w:r>
    </w:p>
    <w:p w14:paraId="7C28750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乙方将根据本协议的规定，自行承担费用、责任和风险，负责项目设施的运营、维护和更新改造，保证按照适用法律、本协议和谨慎运营惯例运营项目设施，使其处于良好的运营状况并能在项目设计运营参数范围内安全稳定地处理污泥。</w:t>
      </w:r>
    </w:p>
    <w:p w14:paraId="321A470D">
      <w:pPr>
        <w:tabs>
          <w:tab w:val="left" w:pos="851"/>
          <w:tab w:val="left" w:pos="1701"/>
        </w:tabs>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（六）乙方向甲方或海口市人民政府提供的所有文件资料真实、准确、完整，向甲方作出的所有陈述和保证在本协议有效期内真实有效。</w:t>
      </w:r>
    </w:p>
    <w:p w14:paraId="46FCC623">
      <w:pPr>
        <w:tabs>
          <w:tab w:val="left" w:pos="851"/>
          <w:tab w:val="left" w:pos="1701"/>
        </w:tabs>
        <w:snapToGrid w:val="0"/>
        <w:spacing w:line="360" w:lineRule="auto"/>
        <w:ind w:firstLine="480" w:firstLineChars="200"/>
        <w:rPr>
          <w:rFonts w:hint="eastAsia" w:ascii="宋体" w:hAnsi="宋体" w:eastAsia="宋体" w:cs="宋体"/>
          <w:color w:val="auto"/>
          <w:sz w:val="24"/>
          <w:highlight w:val="none"/>
          <w:lang w:eastAsia="zh-CN"/>
        </w:rPr>
      </w:pPr>
      <w:r>
        <w:rPr>
          <w:rStyle w:val="29"/>
          <w:rFonts w:hint="eastAsia" w:ascii="宋体" w:hAnsi="宋体" w:cs="宋体"/>
          <w:color w:val="auto"/>
          <w:sz w:val="24"/>
          <w:highlight w:val="none"/>
        </w:rPr>
        <w:t>（</w:t>
      </w:r>
      <w:r>
        <w:rPr>
          <w:rStyle w:val="29"/>
          <w:rFonts w:hint="eastAsia" w:ascii="宋体" w:hAnsi="宋体" w:cs="宋体"/>
          <w:color w:val="auto"/>
          <w:sz w:val="24"/>
          <w:highlight w:val="none"/>
          <w:lang w:eastAsia="zh-CN"/>
        </w:rPr>
        <w:t>七</w:t>
      </w:r>
      <w:r>
        <w:rPr>
          <w:rStyle w:val="29"/>
          <w:rFonts w:hint="eastAsia" w:ascii="宋体" w:hAnsi="宋体" w:cs="宋体"/>
          <w:color w:val="auto"/>
          <w:sz w:val="24"/>
          <w:highlight w:val="none"/>
        </w:rPr>
        <w:t>）乙方</w:t>
      </w:r>
      <w:r>
        <w:rPr>
          <w:rStyle w:val="29"/>
          <w:rFonts w:hint="eastAsia" w:ascii="宋体" w:hAnsi="宋体" w:cs="宋体"/>
          <w:color w:val="auto"/>
          <w:sz w:val="24"/>
          <w:highlight w:val="none"/>
          <w:lang w:eastAsia="zh-CN"/>
        </w:rPr>
        <w:t>应于</w:t>
      </w:r>
      <w:r>
        <w:rPr>
          <w:rStyle w:val="29"/>
          <w:rFonts w:hint="eastAsia" w:ascii="宋体" w:hAnsi="宋体" w:cs="宋体"/>
          <w:color w:val="auto"/>
          <w:sz w:val="24"/>
          <w:highlight w:val="none"/>
        </w:rPr>
        <w:t>2025年9月10日前取得环境影响评价批复等相关污泥处置手续文件</w:t>
      </w:r>
      <w:r>
        <w:rPr>
          <w:rStyle w:val="29"/>
          <w:rFonts w:hint="eastAsia" w:ascii="宋体" w:hAnsi="宋体" w:cs="宋体"/>
          <w:color w:val="auto"/>
          <w:sz w:val="24"/>
          <w:highlight w:val="none"/>
          <w:lang w:eastAsia="zh-CN"/>
        </w:rPr>
        <w:t>，否则甲方有权解除协议。</w:t>
      </w:r>
    </w:p>
    <w:p w14:paraId="5B415630">
      <w:pPr>
        <w:pStyle w:val="2"/>
        <w:rPr>
          <w:color w:val="auto"/>
          <w:highlight w:val="none"/>
        </w:rPr>
      </w:pPr>
    </w:p>
    <w:p w14:paraId="397957E3">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第九条 甲方的权利和义务</w:t>
      </w:r>
    </w:p>
    <w:p w14:paraId="6D6C06A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（一）甲方有权要求乙方在对污泥进行处理处置的过程中遵守国家相关法律法规。</w:t>
      </w:r>
    </w:p>
    <w:p w14:paraId="05C13F94">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（二）甲方有权对乙方污泥处理处置量实施监督，有权进入项目厂区。</w:t>
      </w:r>
    </w:p>
    <w:p w14:paraId="2CAA9B75">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（三）甲方有权要求乙方配合，迎接主管部门的检查、调研和业务指导。</w:t>
      </w:r>
    </w:p>
    <w:p w14:paraId="08D0D52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（四）甲方对乙方违反本协议要求的行为，有权提出书面的整改要求。</w:t>
      </w:r>
    </w:p>
    <w:p w14:paraId="538D166A">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（五）甲方有权要求乙方提供与污泥处置有关的污泥量资料及相关检测报告。</w:t>
      </w:r>
    </w:p>
    <w:p w14:paraId="23477DC5">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（六）甲方应根据本协议的规定按时向乙方支付污泥处理处置服务费。</w:t>
      </w:r>
    </w:p>
    <w:p w14:paraId="4551151F">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（七）甲方有权或委托有资质的监测机构对乙方的检测程序、仪器、设备和结果进行检查和检测。</w:t>
      </w:r>
    </w:p>
    <w:p w14:paraId="0755B00F">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（八）甲方不干预乙方的经营行为，但是依据适用法律和本协议的规定履行其法定权利或对乙方进行监督检查的除外。</w:t>
      </w:r>
    </w:p>
    <w:p w14:paraId="63BDCAD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（九）在乙方遵守协议的前提下，甲方应确保本协议不被无故中止。</w:t>
      </w:r>
    </w:p>
    <w:p w14:paraId="487EDA4B">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（十）乙方依法享受国家相关的各种优惠政策，甲方协助乙方办理相关手续。</w:t>
      </w:r>
    </w:p>
    <w:p w14:paraId="30C0D48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（十一）甲方应积极协调海口市政府相关部门及行政辖区各污水厂，配合乙方顺利实施污泥收集及运输。</w:t>
      </w:r>
    </w:p>
    <w:p w14:paraId="04BB8547">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（十二）甲方行使并履行法律、法规、当地政府的政策文件及本协议约定的其他权利和义务。</w:t>
      </w:r>
    </w:p>
    <w:p w14:paraId="30D86A90">
      <w:pPr>
        <w:pStyle w:val="21"/>
        <w:spacing w:after="0" w:line="360" w:lineRule="auto"/>
        <w:ind w:left="0" w:leftChars="0" w:firstLine="480" w:firstLineChars="200"/>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十三）甲方有权根据海口市实际情况调增或调减本协议服务的污水处理厂数量或范围，乙方必须无条件服从调配，但甲方需事先书面通知乙方，且调配的污泥不得超出乙方的处理能力，该处理能力包括污泥处置质量、数量等。</w:t>
      </w:r>
    </w:p>
    <w:p w14:paraId="58639FCA">
      <w:pPr>
        <w:pStyle w:val="21"/>
        <w:spacing w:after="0" w:line="360" w:lineRule="auto"/>
        <w:ind w:left="0" w:leftChars="0" w:firstLine="480" w:firstLineChars="200"/>
        <w:rPr>
          <w:rFonts w:ascii="宋体" w:hAnsi="宋体" w:cs="宋体"/>
          <w:color w:val="auto"/>
          <w:sz w:val="24"/>
          <w:szCs w:val="24"/>
          <w:highlight w:val="none"/>
        </w:rPr>
      </w:pPr>
    </w:p>
    <w:p w14:paraId="0A17439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第十条 乙方的权利和义务</w:t>
      </w:r>
    </w:p>
    <w:p w14:paraId="664ADAB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（一）在国家法律、政策范围内，乙方有权建立以经营者为首的生产经营管理制度正确行使生产经营权和经营管理自主权。</w:t>
      </w:r>
    </w:p>
    <w:p w14:paraId="031EA03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（二）按本协议的约定对污泥进行处理处置，按时足额收取污泥处理处置费。</w:t>
      </w:r>
    </w:p>
    <w:p w14:paraId="6AA5E0A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（三）在保证正常运行质量的前提下，优化污泥处置的运行工艺及决定内部行政事务。</w:t>
      </w:r>
    </w:p>
    <w:p w14:paraId="1F35973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（四）乙方拥有充分的经营自主权，依法自主决定生产经营中的一切事项，但适用法律有特别规定或本协议另有约定的除外。</w:t>
      </w:r>
    </w:p>
    <w:p w14:paraId="0F2B4097">
      <w:pPr>
        <w:tabs>
          <w:tab w:val="left" w:pos="851"/>
          <w:tab w:val="left" w:pos="1701"/>
        </w:tabs>
        <w:snapToGrid w:val="0"/>
        <w:spacing w:line="360" w:lineRule="auto"/>
        <w:ind w:firstLine="480" w:firstLineChars="200"/>
        <w:rPr>
          <w:rStyle w:val="29"/>
          <w:rFonts w:hint="eastAsia" w:ascii="宋体" w:hAnsi="宋体" w:cs="宋体"/>
          <w:color w:val="auto"/>
          <w:sz w:val="24"/>
          <w:highlight w:val="none"/>
        </w:rPr>
      </w:pPr>
      <w:r>
        <w:rPr>
          <w:rStyle w:val="29"/>
          <w:rFonts w:hint="eastAsia" w:ascii="宋体" w:hAnsi="宋体" w:cs="宋体"/>
          <w:color w:val="auto"/>
          <w:sz w:val="24"/>
          <w:highlight w:val="none"/>
        </w:rPr>
        <w:t>（五）乙方应依照适用法律和本协议的约定，接受甲方和其他政府部门的监管，配合甲方履行上述监督管理权利提供便利的工作条件，服从社会公共利益，履行对社会公益性事业所应尽的义务和服务，同时无条件服从甲方根据污泥处置工作实际情况调配泥量，运输车辆也要符合相关规定并服从甲方的调配</w:t>
      </w:r>
      <w:r>
        <w:rPr>
          <w:rStyle w:val="29"/>
          <w:rFonts w:hint="eastAsia" w:ascii="宋体" w:hAnsi="宋体" w:cs="宋体"/>
          <w:color w:val="auto"/>
          <w:sz w:val="24"/>
          <w:highlight w:val="none"/>
          <w:lang w:eastAsia="zh-CN"/>
        </w:rPr>
        <w:t>，</w:t>
      </w:r>
      <w:r>
        <w:rPr>
          <w:rStyle w:val="29"/>
          <w:rFonts w:hint="eastAsia" w:ascii="宋体" w:hAnsi="宋体" w:cs="宋体"/>
          <w:color w:val="auto"/>
          <w:sz w:val="24"/>
          <w:highlight w:val="none"/>
        </w:rPr>
        <w:t>但甲方需事先书面通知乙方，且该调配的污泥不得超出乙方的处理能力。</w:t>
      </w:r>
    </w:p>
    <w:p w14:paraId="510BE71B">
      <w:pPr>
        <w:tabs>
          <w:tab w:val="left" w:pos="851"/>
          <w:tab w:val="left" w:pos="1701"/>
        </w:tabs>
        <w:snapToGrid w:val="0"/>
        <w:spacing w:line="360" w:lineRule="auto"/>
        <w:rPr>
          <w:rStyle w:val="29"/>
          <w:rFonts w:ascii="宋体" w:hAnsi="宋体" w:cs="宋体"/>
          <w:color w:val="auto"/>
          <w:sz w:val="24"/>
          <w:highlight w:val="none"/>
        </w:rPr>
      </w:pPr>
      <w:r>
        <w:rPr>
          <w:rStyle w:val="29"/>
          <w:rFonts w:hint="eastAsia" w:ascii="宋体" w:hAnsi="宋体" w:cs="宋体"/>
          <w:color w:val="auto"/>
          <w:sz w:val="24"/>
          <w:highlight w:val="none"/>
          <w:lang w:val="en-US" w:eastAsia="zh-CN"/>
        </w:rPr>
        <w:t xml:space="preserve">    </w:t>
      </w:r>
      <w:r>
        <w:rPr>
          <w:rStyle w:val="29"/>
          <w:rFonts w:hint="eastAsia" w:ascii="宋体" w:hAnsi="宋体" w:cs="宋体"/>
          <w:color w:val="auto"/>
          <w:sz w:val="24"/>
          <w:highlight w:val="none"/>
        </w:rPr>
        <w:t>（六）乙方应按适用法律的规定，办理获得所有政府部门或公共服务机构要求的以乙方名义申请的各种许可、批准，以备履行本协议之用。</w:t>
      </w:r>
    </w:p>
    <w:p w14:paraId="0EA631A9">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（七）乙方应遵守现行的劳动保护法规，尊重职工的权利和严格执行安全法规及有关标准。</w:t>
      </w:r>
    </w:p>
    <w:p w14:paraId="6E434F92">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（八）除本协议另有约定外，乙方应按照适用法律缴纳所有税金。</w:t>
      </w:r>
    </w:p>
    <w:p w14:paraId="6EDB4672">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（九）乙方应组建高素质的管理团队和技术团队，制定务实、高效的管理制度，保证污泥处理处置工作的正常开展。</w:t>
      </w:r>
    </w:p>
    <w:p w14:paraId="0C42459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（十）遵守国家法律，执行国家政策，完成协议规定的污泥处理处置任务，达到国家对污泥处理处置的要求和标准，维护国家、企业和职工的合法权益。</w:t>
      </w:r>
    </w:p>
    <w:p w14:paraId="45B23E08">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（十一）乙方在服务期内，应确保安全生产，如发生安全事故，由乙方自行负责。</w:t>
      </w:r>
    </w:p>
    <w:p w14:paraId="1D6F203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二）乙方应确保污泥运输安全，严格遵守环保、交通、城管委相关规定标准，最大限度减少污泥泄露及其他影响环境问题或事故的发生，如污泥运输过程中发生泄露事故或其他影响环境的问题，由乙方自行负责，与甲方无关。</w:t>
      </w:r>
    </w:p>
    <w:p w14:paraId="48B04EA0">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（十三）乙方应保证污泥处理处置设施的正常稳定运营，保证运营过程中不得随意倾倒或弃置污泥及其他废弃物。</w:t>
      </w:r>
    </w:p>
    <w:p w14:paraId="5716A09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四）乙方应制订污泥处理处置管理应急处理预案，确保紧急情况下对污泥的妥善处理。乙方应在甲方签署协议后，十个工作日内提供应急处理预案给甲方备案以及相关部门备案，若甲方要求对应急处理预案进行合理修正的，乙方应当根据甲方的意见予以修正。经甲方以及相关部门同意备案的应急处理预案，作为合同的附件，乙方应当遵照执行。</w:t>
      </w:r>
    </w:p>
    <w:p w14:paraId="7D5CBECE">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（十五）乙方严格执行本协议所有约定。</w:t>
      </w:r>
    </w:p>
    <w:p w14:paraId="44EC959C">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（十六）乙方应做好各项安全生产工作。</w:t>
      </w:r>
    </w:p>
    <w:p w14:paraId="100E6DE7">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（十七）乙方应接受和配合甲方及其他政府部门对本项目的监管，接受政府方对本项目实施的临时接管或征用。</w:t>
      </w:r>
    </w:p>
    <w:p w14:paraId="1102A881">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八）乙方不得无故拒绝接收本协议约定范围内的市政污水处理厂依据约定运送过来的污泥、或拒绝安排专用污泥运输车辆收集运输本协议约定的污泥到项目厂区进行处理处置，否则，甲方有权通知要求乙方进行整改，若乙方拒绝整改的，甲方有权先行采用其他方式进行污泥的处理处置且无需承担任何违约责任。</w:t>
      </w:r>
    </w:p>
    <w:p w14:paraId="6B67535F">
      <w:pPr>
        <w:tabs>
          <w:tab w:val="left" w:pos="851"/>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（十九）乙方行使并履行法律、法规、当地政府的政策文件及本协议约定的其他权利和义务。</w:t>
      </w:r>
    </w:p>
    <w:p w14:paraId="0D45D5CA">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第十一条 指定人员</w:t>
      </w:r>
    </w:p>
    <w:p w14:paraId="027EEE69">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1.甲方应指定专门人员负责与乙方的联络沟通及本协议履行中的各项事宜。</w:t>
      </w:r>
    </w:p>
    <w:p w14:paraId="00AFF43C">
      <w:pPr>
        <w:tabs>
          <w:tab w:val="left" w:pos="426"/>
          <w:tab w:val="left" w:pos="1418"/>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2.乙方应指定专门人员负责与甲方的联络沟通及本协议履行中的各项事宜。</w:t>
      </w:r>
    </w:p>
    <w:p w14:paraId="23F4407F">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第十二条 权利保证和权利归属</w:t>
      </w:r>
    </w:p>
    <w:p w14:paraId="6AC5A457">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（一）权利保证</w:t>
      </w:r>
    </w:p>
    <w:p w14:paraId="467D028F">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乙方保证其所提供之服务不侵犯任何第三方的权利和知识产权。</w:t>
      </w:r>
    </w:p>
    <w:p w14:paraId="28A17B07">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（二）权利归属</w:t>
      </w:r>
    </w:p>
    <w:p w14:paraId="423265C5">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1.甲方向乙方提供的与履行协议相关的文件资料，其知识产权归甲方或甲方指定之第三方所有。</w:t>
      </w:r>
    </w:p>
    <w:p w14:paraId="5A7C0DBE">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2.乙方及其工作人员在为甲方提供服务的期间所产生的所有知识产权归乙方所有。</w:t>
      </w:r>
    </w:p>
    <w:p w14:paraId="186B6BBA">
      <w:pPr>
        <w:tabs>
          <w:tab w:val="left" w:pos="709"/>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3.乙方拥有本项目形成的所有资产的所有权和支配权。</w:t>
      </w:r>
    </w:p>
    <w:p w14:paraId="5CD433E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第十三条 保密</w:t>
      </w:r>
    </w:p>
    <w:p w14:paraId="105BB958">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（一）乙方及乙方工作人员在本协议履行过程中所获得的甲方、甲方所代表之政府及项目的所有信息和与提供本协议项下服务相关的记录、数据、报告等资料均属甲方之保密信息。</w:t>
      </w:r>
    </w:p>
    <w:p w14:paraId="5C8C2876">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（二）乙方应对该保密信息采取保密措施，且仅得为本协议之目的使用该保密信息。</w:t>
      </w:r>
    </w:p>
    <w:p w14:paraId="1C635559">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（三）未经甲方书面同意，乙方不得披露、使用、转让、复制或允许第三方使用上述保密信息，为本协议之履行需要向其工作人员、代理人、贷款银行及其工作人员等披露的除外。</w:t>
      </w:r>
    </w:p>
    <w:p w14:paraId="35B68CF8">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（四）乙方应保证其工作人员、代理人等遵守本条有关保密的约定，且该约定不因本协议终止或者解除而失效。</w:t>
      </w:r>
    </w:p>
    <w:p w14:paraId="7A5AE92D">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第十四条 不可抗力</w:t>
      </w:r>
    </w:p>
    <w:p w14:paraId="29D9D983">
      <w:pPr>
        <w:tabs>
          <w:tab w:val="left" w:pos="864"/>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不可抗力指在签订和履行本协议时不能合理预见的；并且声称遭受不可抗力影响的一方不能克服和不能避免的事件，包括符合下述条件的：1.雷电、干旱、地震、火山爆发、滑坡、水灾、暴风雨、海啸、台风或龙卷风；2.流行病、饥荒或瘟疫；3.战争行为（无论是宣战的或未宣战的）、入侵、武装冲突或敌对行为、封锁、暴乱、恐怖行为或军事力量的使用；4.全国性、地区性等大规模罢工。</w:t>
      </w:r>
    </w:p>
    <w:p w14:paraId="20983B89">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（二）免予履行</w:t>
      </w:r>
    </w:p>
    <w:p w14:paraId="5AE03D84">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签约双方任一方由于不可抗力事故的影响而不能执行合同时，经确认后，允许延期履行、部分履行或不履行合同，根据情况可部分或全部免予承担违约责任。</w:t>
      </w:r>
    </w:p>
    <w:p w14:paraId="15C98DD4">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（三）不可抗力的通知</w:t>
      </w:r>
    </w:p>
    <w:p w14:paraId="13DEB7D6">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声称受到不可抗力影响的一方应在发生不可抗力或知道发生不可抗力后及时书面通知另一方并详细描述不可抗力的发生情况和可能导致的后果，包括该不可抗力发生的日期和预计停止的时间，以及对该方履行在本协议项下义务的影响，并在另一方合理要求时提供证明。受阻一方应在不可抗力事件发生后尽快用电报、传真或电话通知对方，并于事件发生后14个日历日内将有关部门出具的证明文件用专人递交、特快专递或挂号信寄给对方审阅确认。</w:t>
      </w:r>
    </w:p>
    <w:p w14:paraId="6796639D">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（四）减少损失的责任和协商</w:t>
      </w:r>
    </w:p>
    <w:p w14:paraId="526E9E29">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如果甲乙双方中任何一方由于战争、严重火灾、水灾、台风和地震以及其它经双方同意属于不可抗力的事故，致使合同履行受阻时，履行合同的期限应予以延长，延长的期限应相当于事故所影响的时间。</w:t>
      </w:r>
    </w:p>
    <w:p w14:paraId="657D0DC8">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同时受到不可抗力影响的一方应尽一切合理努力以继续履行其在本协议下的义务，尽合理的努力减少不可抗力对其造成的影响，包括根据该等措施为可能产生的结果支付合理的金额。双方应协商制定并实施补救计划及合理的替代措施以消除不可抗力的影响，并决定为尽量减少不可抗力给每一方带来的损失应采取的合理的手段。</w:t>
      </w:r>
    </w:p>
    <w:p w14:paraId="02A2F67C">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声称受到不可抗力影响的一方在不可抗力的影响消除之后应尽快恢复履行本协议项下的义务。</w:t>
      </w:r>
    </w:p>
    <w:p w14:paraId="74FF378A">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（五）不可抗力导致的提前终止</w:t>
      </w:r>
    </w:p>
    <w:p w14:paraId="491731D1">
      <w:pPr>
        <w:tabs>
          <w:tab w:val="left" w:pos="426"/>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因不可抗力致使乙方正常运营受到严重影响或无法继续运营，且双方未能就恢复正常运营达成一致意见，则任一方可向对方提出终止。</w:t>
      </w:r>
    </w:p>
    <w:p w14:paraId="29311684">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第十五条 违约责任</w:t>
      </w:r>
    </w:p>
    <w:p w14:paraId="511346E4">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（一）乙方违约</w:t>
      </w:r>
    </w:p>
    <w:p w14:paraId="21CE303D">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乙方项目在运行过程中，不能做到安全、有序、稳定的情形；或未能确保市政污水处理厂产泥单位的污泥及时清理，严重耽误污水厂运行的情形；或存在因污泥处置工作不力受到环境保护职能部门罚款的的情形；或因污泥的运输及处理处置等问题被媒体曝光等情形，当日污泥处置服务费将全部扣除。</w:t>
      </w:r>
    </w:p>
    <w:p w14:paraId="189B70A1">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污泥转运过程中出现随意倾倒导致环境污染、转运单弄虚作假等情形，首次发生并证实后甲方要求乙方支付违约金10万并无条件整改到位，后续再次出现上述情形将逐次递增违约金50万，如涉及相关违法问题将与其解除合同并移交司法机构进行追究。</w:t>
      </w:r>
    </w:p>
    <w:p w14:paraId="180B627D">
      <w:pPr>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3．乙方项目运行出现因乙方一方原因导致的臭气等市民、12345等平台投诉，车辆倾倒等问题，乙方应妥当处置，其中受到臭气投诉未能及时妥当按时办结将支付违约金2万元/次，车辆倾倒支付违约金2万元/次，其他未能明确情形，以政府职能部门发文要求整改为准，甲方收到文后，乙方未能及时完成整改的支付违约金10万元/次。</w:t>
      </w:r>
    </w:p>
    <w:p w14:paraId="644D38F1">
      <w:pPr>
        <w:spacing w:line="360" w:lineRule="auto"/>
        <w:ind w:firstLine="480" w:firstLineChars="200"/>
        <w:rPr>
          <w:rFonts w:ascii="宋体" w:hAnsi="宋体" w:cs="宋体"/>
          <w:color w:val="auto"/>
          <w:sz w:val="24"/>
          <w:highlight w:val="none"/>
        </w:rPr>
      </w:pPr>
      <w:r>
        <w:rPr>
          <w:rStyle w:val="29"/>
          <w:rFonts w:hint="eastAsia" w:ascii="宋体" w:hAnsi="宋体" w:cs="宋体"/>
          <w:color w:val="auto"/>
          <w:sz w:val="24"/>
          <w:highlight w:val="none"/>
        </w:rPr>
        <w:t>4.乙方承担本协议规定所有服务内容，不得以任何形式分包，否则甲方有权解除合同并没收履约保证金。该不得分包事项的主体范围特指污泥的无害化处置工作，不包含运输、检测等其他第三方服务，且乙方为此（第三方服务）承担相应责任。</w:t>
      </w:r>
    </w:p>
    <w:p w14:paraId="37303F78">
      <w:pPr>
        <w:pStyle w:val="21"/>
        <w:spacing w:line="360" w:lineRule="auto"/>
        <w:ind w:left="0" w:leftChars="0" w:firstLine="480" w:firstLineChars="200"/>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由于乙方原因造成污泥处置不及时对污水厂生产造成严重影响的，或受到污水厂的投诉且未及时按要求处理时（不可抗力原因造成的除外），甲方现场核实确认后有权对乙方收取违约金，违约金金额为5000元/次，当一年受到投诉累计超出5次（含）后，违约金金额为10000元/次。当一年投诉累计超过10次（含），违约金金额为20000元/次,具体违约金以年度为单位计算，公式如下：</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5473F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321BE0C">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5次以内/年</w:t>
            </w:r>
          </w:p>
        </w:tc>
        <w:tc>
          <w:tcPr>
            <w:tcW w:w="4261" w:type="dxa"/>
          </w:tcPr>
          <w:p w14:paraId="699D149E">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5000乘以次数</w:t>
            </w:r>
          </w:p>
        </w:tc>
      </w:tr>
      <w:tr w14:paraId="5FB7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2C50020">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5-10次以内/年</w:t>
            </w:r>
          </w:p>
        </w:tc>
        <w:tc>
          <w:tcPr>
            <w:tcW w:w="4261" w:type="dxa"/>
          </w:tcPr>
          <w:p w14:paraId="5E5F23D1">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10000乘以次数</w:t>
            </w:r>
          </w:p>
        </w:tc>
      </w:tr>
      <w:tr w14:paraId="1EE4D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7854354">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10（含）以上/年</w:t>
            </w:r>
          </w:p>
        </w:tc>
        <w:tc>
          <w:tcPr>
            <w:tcW w:w="4261" w:type="dxa"/>
          </w:tcPr>
          <w:p w14:paraId="26937D30">
            <w:pPr>
              <w:pStyle w:val="21"/>
              <w:widowControl w:val="0"/>
              <w:spacing w:line="360" w:lineRule="auto"/>
              <w:rPr>
                <w:rStyle w:val="29"/>
                <w:rFonts w:ascii="宋体" w:hAnsi="宋体" w:cs="宋体"/>
                <w:color w:val="auto"/>
                <w:sz w:val="24"/>
                <w:szCs w:val="24"/>
                <w:highlight w:val="none"/>
              </w:rPr>
            </w:pPr>
            <w:r>
              <w:rPr>
                <w:rStyle w:val="29"/>
                <w:rFonts w:hint="eastAsia" w:ascii="宋体" w:hAnsi="宋体" w:cs="宋体"/>
                <w:color w:val="auto"/>
                <w:sz w:val="24"/>
                <w:szCs w:val="24"/>
                <w:highlight w:val="none"/>
              </w:rPr>
              <w:t>20000乘以次数</w:t>
            </w:r>
          </w:p>
        </w:tc>
      </w:tr>
    </w:tbl>
    <w:p w14:paraId="188A54F1">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当一年投诉累计超过15次（含），或乙方违反本合同其他约定，或未能如期完成招投标文件中承诺事项（如：未在 202</w:t>
      </w:r>
      <w:r>
        <w:rPr>
          <w:rStyle w:val="29"/>
          <w:rFonts w:hint="eastAsia" w:ascii="宋体" w:hAnsi="宋体" w:cs="宋体"/>
          <w:color w:val="auto"/>
          <w:sz w:val="24"/>
          <w:highlight w:val="none"/>
          <w:lang w:val="en-US" w:eastAsia="zh"/>
        </w:rPr>
        <w:t>5</w:t>
      </w:r>
      <w:r>
        <w:rPr>
          <w:rStyle w:val="29"/>
          <w:rFonts w:hint="eastAsia" w:ascii="宋体" w:hAnsi="宋体" w:cs="宋体"/>
          <w:color w:val="auto"/>
          <w:sz w:val="24"/>
          <w:highlight w:val="none"/>
        </w:rPr>
        <w:t>年</w:t>
      </w:r>
      <w:r>
        <w:rPr>
          <w:rStyle w:val="29"/>
          <w:rFonts w:hint="eastAsia" w:ascii="宋体" w:hAnsi="宋体" w:cs="宋体"/>
          <w:color w:val="auto"/>
          <w:sz w:val="24"/>
          <w:highlight w:val="none"/>
          <w:lang w:val="en-US" w:eastAsia="zh"/>
        </w:rPr>
        <w:t>9</w:t>
      </w:r>
      <w:r>
        <w:rPr>
          <w:rStyle w:val="29"/>
          <w:rFonts w:hint="eastAsia" w:ascii="宋体" w:hAnsi="宋体" w:cs="宋体"/>
          <w:color w:val="auto"/>
          <w:sz w:val="24"/>
          <w:highlight w:val="none"/>
        </w:rPr>
        <w:t>月</w:t>
      </w:r>
      <w:r>
        <w:rPr>
          <w:rStyle w:val="29"/>
          <w:rFonts w:hint="eastAsia" w:ascii="宋体" w:hAnsi="宋体" w:cs="宋体"/>
          <w:color w:val="auto"/>
          <w:sz w:val="24"/>
          <w:highlight w:val="none"/>
          <w:lang w:val="en-US" w:eastAsia="zh"/>
        </w:rPr>
        <w:t>10</w:t>
      </w:r>
      <w:r>
        <w:rPr>
          <w:rStyle w:val="29"/>
          <w:rFonts w:hint="eastAsia" w:ascii="宋体" w:hAnsi="宋体" w:cs="宋体"/>
          <w:color w:val="auto"/>
          <w:sz w:val="24"/>
          <w:highlight w:val="none"/>
        </w:rPr>
        <w:t>日前投入使用），接甲方通知后拒不整改合格的，甲方有权解除合同并没收乙方履约保证金。</w:t>
      </w:r>
    </w:p>
    <w:p w14:paraId="3A12C580">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（二）甲方的违约</w:t>
      </w:r>
    </w:p>
    <w:p w14:paraId="5B59D2B0">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甲方不按时支付污泥处理处置服务费；</w:t>
      </w:r>
    </w:p>
    <w:p w14:paraId="14E87774">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甲方未按照本协议约定，及时足额向乙方支付相应的污泥处理处置服务费，则乙方有权向甲方发出催告，如甲方在催告通知出具后的三十（30）日内仍未能支付的，则甲方除应支付应付未付的污泥处理处置服务费外，必须按照以下标准向乙方支付违约金：</w:t>
      </w:r>
    </w:p>
    <w:p w14:paraId="2662AA97">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A.第一个延误三十(30)日内，每日支付50元；</w:t>
      </w:r>
    </w:p>
    <w:p w14:paraId="2DF42EA8">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B.第二个延误三十(30)日内，每日支付100元；</w:t>
      </w:r>
    </w:p>
    <w:p w14:paraId="17785DD1">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C.第三个延误三十(30)日内，每日支付150元；</w:t>
      </w:r>
    </w:p>
    <w:p w14:paraId="159A1E58">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D.此后延误每日支付200元。</w:t>
      </w:r>
    </w:p>
    <w:p w14:paraId="6AA2C402">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（三）违约金支付</w:t>
      </w:r>
    </w:p>
    <w:p w14:paraId="41B24FCA">
      <w:pPr>
        <w:tabs>
          <w:tab w:val="left" w:pos="993"/>
        </w:tabs>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乙方应根据第十五条（一）款计算应向甲方支付的违约金金额，甲方优先从当月污泥处理处置服务费中直接扣减；若某运营月的污泥处理处置服务费总额不足以抵扣违约金，则甲方有权从履约保证金中进行扣减，并向乙方发出书面通知并告知甲方兑取的理由和拟兑取的金额。</w:t>
      </w:r>
    </w:p>
    <w:p w14:paraId="20B008F6">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第十六条 适用法律和争议解决</w:t>
      </w:r>
    </w:p>
    <w:p w14:paraId="28F84325">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（一）本协议适用中华人民共和国法律。</w:t>
      </w:r>
    </w:p>
    <w:p w14:paraId="559E413F">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二）因本协议引起的或执行本协议所产生的任何争议和分歧，甲、乙双方应当在诚信原则基础上以友好协商方式解决。如协商之日起六十日内甲、乙双方未能达成共识或解决方案，任何一方可依法通过以下第2种方式解决：</w:t>
      </w:r>
    </w:p>
    <w:p w14:paraId="6E528689">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1.提交海南仲裁委员会进行仲裁。仲裁裁决是终局的，对双方均有约束力。（可根据实际情况选择仲裁机构）；</w:t>
      </w:r>
    </w:p>
    <w:p w14:paraId="46953427">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2.向甲方所在地人民法院提起诉讼。</w:t>
      </w:r>
    </w:p>
    <w:p w14:paraId="31277ADE">
      <w:pPr>
        <w:spacing w:line="360" w:lineRule="auto"/>
        <w:ind w:firstLine="480" w:firstLineChars="200"/>
        <w:rPr>
          <w:rStyle w:val="29"/>
          <w:rFonts w:ascii="宋体" w:hAnsi="宋体" w:cs="宋体"/>
          <w:b/>
          <w:color w:val="auto"/>
          <w:sz w:val="24"/>
          <w:highlight w:val="none"/>
        </w:rPr>
      </w:pPr>
      <w:r>
        <w:rPr>
          <w:rStyle w:val="29"/>
          <w:rFonts w:hint="eastAsia" w:ascii="宋体" w:hAnsi="宋体" w:cs="宋体"/>
          <w:color w:val="auto"/>
          <w:sz w:val="24"/>
          <w:highlight w:val="none"/>
        </w:rPr>
        <w:t>（三）争议解决期间，除争议事项外，双方应继续履行本协议。</w:t>
      </w:r>
    </w:p>
    <w:p w14:paraId="5166C7D3">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第十七条 协议的变更、解除和终止</w:t>
      </w:r>
    </w:p>
    <w:p w14:paraId="24ED8D61">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（一）变更、解除和终止的事由</w:t>
      </w:r>
    </w:p>
    <w:p w14:paraId="36908F83">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1.如本协议的继续履行将损害国家利益和社会公共利益，则双方均有权书面通知对方要求变更、解除本协议或针对本协议项下服务另行签署其他书面协议。</w:t>
      </w:r>
    </w:p>
    <w:p w14:paraId="51A41357">
      <w:pPr>
        <w:pStyle w:val="64"/>
        <w:tabs>
          <w:tab w:val="left" w:pos="1701"/>
        </w:tabs>
        <w:snapToGrid w:val="0"/>
        <w:spacing w:line="360" w:lineRule="auto"/>
        <w:ind w:firstLine="480"/>
        <w:rPr>
          <w:rStyle w:val="29"/>
          <w:rFonts w:ascii="宋体" w:hAnsi="宋体" w:cs="宋体"/>
          <w:color w:val="auto"/>
          <w:sz w:val="24"/>
          <w:highlight w:val="none"/>
        </w:rPr>
      </w:pPr>
      <w:r>
        <w:rPr>
          <w:rStyle w:val="29"/>
          <w:rFonts w:hint="eastAsia" w:ascii="宋体" w:hAnsi="宋体" w:cs="宋体"/>
          <w:color w:val="auto"/>
          <w:sz w:val="24"/>
          <w:highlight w:val="none"/>
        </w:rPr>
        <w:t>2.非乙方原因导致本协议在双方约定的期限内无法完全履行或在履行过程中出现双方无法预见的困难，导致协议目的难以实现的，双方可经协商决定变更或解除本协议。</w:t>
      </w:r>
    </w:p>
    <w:p w14:paraId="2E0A774B">
      <w:pPr>
        <w:pStyle w:val="64"/>
        <w:tabs>
          <w:tab w:val="left" w:pos="1701"/>
        </w:tabs>
        <w:snapToGrid w:val="0"/>
        <w:spacing w:line="360" w:lineRule="auto"/>
        <w:ind w:firstLine="480"/>
        <w:rPr>
          <w:rFonts w:ascii="宋体" w:hAnsi="宋体" w:cs="宋体"/>
          <w:color w:val="auto"/>
          <w:sz w:val="24"/>
          <w:highlight w:val="none"/>
        </w:rPr>
      </w:pPr>
      <w:r>
        <w:rPr>
          <w:rStyle w:val="29"/>
          <w:rFonts w:hint="eastAsia" w:ascii="宋体" w:hAnsi="宋体" w:cs="宋体"/>
          <w:color w:val="auto"/>
          <w:sz w:val="24"/>
          <w:highlight w:val="none"/>
        </w:rPr>
        <w:t>3.本协议执行过程，若“合同期内累计结算金额达到采购预算金额”或“服务期限满三年”这二项中任意一项达到时，则合同自动终止。</w:t>
      </w:r>
    </w:p>
    <w:p w14:paraId="1F8B04C4">
      <w:pPr>
        <w:pStyle w:val="64"/>
        <w:tabs>
          <w:tab w:val="left" w:pos="1701"/>
        </w:tabs>
        <w:snapToGrid w:val="0"/>
        <w:spacing w:line="360" w:lineRule="auto"/>
        <w:ind w:firstLine="480"/>
        <w:rPr>
          <w:rFonts w:ascii="宋体" w:hAnsi="宋体" w:cs="宋体"/>
          <w:color w:val="auto"/>
          <w:sz w:val="24"/>
          <w:highlight w:val="none"/>
        </w:rPr>
      </w:pPr>
      <w:r>
        <w:rPr>
          <w:rFonts w:hint="eastAsia" w:ascii="宋体" w:hAnsi="宋体" w:cs="宋体"/>
          <w:color w:val="auto"/>
          <w:sz w:val="24"/>
          <w:highlight w:val="none"/>
        </w:rPr>
        <w:t>4.</w:t>
      </w:r>
      <w:r>
        <w:rPr>
          <w:rStyle w:val="29"/>
          <w:rFonts w:hint="eastAsia" w:ascii="宋体" w:hAnsi="宋体" w:cs="宋体"/>
          <w:color w:val="auto"/>
          <w:sz w:val="24"/>
          <w:highlight w:val="none"/>
        </w:rPr>
        <w:t>若乙方未在第十八条款约定时间内提交履约保证金，则本协议自动作废，甲方有权获得履约保证金金额的赔偿。</w:t>
      </w:r>
    </w:p>
    <w:p w14:paraId="7625673C">
      <w:pPr>
        <w:tabs>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5.法律规定或本协议约定的其他事由。</w:t>
      </w:r>
    </w:p>
    <w:p w14:paraId="15B46010">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（二）变更、解除和终止的后果</w:t>
      </w:r>
    </w:p>
    <w:p w14:paraId="7D77E175">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1.一方收到对方解除协议的通知或向对方发出解除协议的通知后，应立即停止履行与本协议相关的工作。</w:t>
      </w:r>
    </w:p>
    <w:p w14:paraId="3B313661">
      <w:pPr>
        <w:pStyle w:val="68"/>
        <w:tabs>
          <w:tab w:val="left" w:pos="1418"/>
        </w:tabs>
        <w:spacing w:line="360" w:lineRule="auto"/>
        <w:ind w:firstLine="480" w:firstLineChars="200"/>
        <w:jc w:val="both"/>
        <w:rPr>
          <w:rStyle w:val="29"/>
          <w:rFonts w:ascii="宋体" w:hAnsi="宋体" w:cs="宋体"/>
          <w:color w:val="auto"/>
          <w:highlight w:val="none"/>
        </w:rPr>
      </w:pPr>
      <w:r>
        <w:rPr>
          <w:rStyle w:val="29"/>
          <w:rFonts w:hint="eastAsia" w:ascii="宋体" w:hAnsi="宋体" w:cs="宋体"/>
          <w:color w:val="auto"/>
          <w:highlight w:val="none"/>
        </w:rPr>
        <w:t>2.双方应进行清算。经乙方提供书面证明文件后，甲方应按双方核定后的乙方投入项目的实际成本费用支付价款。</w:t>
      </w:r>
    </w:p>
    <w:p w14:paraId="6E4F7E1D">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第十</w:t>
      </w:r>
      <w:r>
        <w:rPr>
          <w:rStyle w:val="29"/>
          <w:rFonts w:hint="eastAsia" w:ascii="宋体" w:hAnsi="宋体" w:cs="宋体"/>
          <w:b/>
          <w:bCs/>
          <w:color w:val="auto"/>
          <w:sz w:val="24"/>
          <w:highlight w:val="none"/>
          <w:lang w:eastAsia="zh-CN"/>
        </w:rPr>
        <w:t>八</w:t>
      </w:r>
      <w:r>
        <w:rPr>
          <w:rStyle w:val="29"/>
          <w:rFonts w:hint="eastAsia" w:ascii="宋体" w:hAnsi="宋体" w:cs="宋体"/>
          <w:b/>
          <w:bCs/>
          <w:color w:val="auto"/>
          <w:sz w:val="24"/>
          <w:highlight w:val="none"/>
        </w:rPr>
        <w:t>条 协议效力</w:t>
      </w:r>
    </w:p>
    <w:p w14:paraId="46C668C6">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（一）本协议未尽事宜，由双方协商解决并签订补充协议。对本协议的任何修改或补充应当由甲乙双方协商达成一致意见。</w:t>
      </w:r>
    </w:p>
    <w:p w14:paraId="6E4C5C0D">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（二）本协议任何条款被主管部门或法院认定为不合法、无效或不能强制执行的，或因法律、法规、国家政策等的变化而不合法、无效或不能强制执行的，该等不合法、无效或不能强制执行则：</w:t>
      </w:r>
    </w:p>
    <w:p w14:paraId="69C43FD9">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1.并不影响其他条款的有效性和可执行程度，本协议的其他条款仍继续有效；</w:t>
      </w:r>
    </w:p>
    <w:p w14:paraId="7D1C22A4">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2.甲、乙双方应商定对不合法、无效或不可强制执行的条款进行修改或更换，使之合法、有效并可执行，并且这些修改或更换尽可能恰如其分地维护甲、乙双方的合法权益。</w:t>
      </w:r>
    </w:p>
    <w:p w14:paraId="0945A658">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（三）本协议经双方盖章，并经法定代表人（负责人）或授权代表签署后生效。</w:t>
      </w:r>
    </w:p>
    <w:p w14:paraId="501ACC3B">
      <w:pPr>
        <w:snapToGrid w:val="0"/>
        <w:spacing w:line="360" w:lineRule="auto"/>
        <w:ind w:firstLine="480" w:firstLineChars="200"/>
        <w:rPr>
          <w:rStyle w:val="29"/>
          <w:rFonts w:ascii="宋体" w:hAnsi="宋体" w:cs="宋体"/>
          <w:b/>
          <w:bCs/>
          <w:color w:val="auto"/>
          <w:sz w:val="24"/>
          <w:highlight w:val="none"/>
        </w:rPr>
      </w:pPr>
      <w:r>
        <w:rPr>
          <w:rStyle w:val="29"/>
          <w:rFonts w:hint="eastAsia" w:ascii="宋体" w:hAnsi="宋体" w:cs="宋体"/>
          <w:color w:val="auto"/>
          <w:sz w:val="24"/>
          <w:highlight w:val="none"/>
        </w:rPr>
        <w:t>（四）本协议一式拾份，具有同等法律效力。其中，甲方执</w:t>
      </w:r>
      <w:r>
        <w:rPr>
          <w:rStyle w:val="29"/>
          <w:rFonts w:hint="eastAsia" w:ascii="宋体" w:hAnsi="宋体" w:cs="宋体"/>
          <w:color w:val="auto"/>
          <w:sz w:val="24"/>
          <w:highlight w:val="none"/>
          <w:lang w:eastAsia="zh-CN"/>
        </w:rPr>
        <w:t>肆</w:t>
      </w:r>
      <w:r>
        <w:rPr>
          <w:rStyle w:val="29"/>
          <w:rFonts w:hint="eastAsia" w:ascii="宋体" w:hAnsi="宋体" w:cs="宋体"/>
          <w:color w:val="auto"/>
          <w:sz w:val="24"/>
          <w:highlight w:val="none"/>
        </w:rPr>
        <w:t>份、乙方执</w:t>
      </w:r>
      <w:r>
        <w:rPr>
          <w:rStyle w:val="29"/>
          <w:rFonts w:hint="eastAsia" w:ascii="宋体" w:hAnsi="宋体" w:cs="宋体"/>
          <w:color w:val="auto"/>
          <w:sz w:val="24"/>
          <w:highlight w:val="none"/>
          <w:lang w:eastAsia="zh-CN"/>
        </w:rPr>
        <w:t>肆</w:t>
      </w:r>
      <w:r>
        <w:rPr>
          <w:rStyle w:val="29"/>
          <w:rFonts w:hint="eastAsia" w:ascii="宋体" w:hAnsi="宋体" w:cs="宋体"/>
          <w:color w:val="auto"/>
          <w:sz w:val="24"/>
          <w:highlight w:val="none"/>
        </w:rPr>
        <w:t>份，其余报政府财政等相关部门备案。</w:t>
      </w:r>
    </w:p>
    <w:p w14:paraId="002BE67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w:t>
      </w:r>
      <w:r>
        <w:rPr>
          <w:rStyle w:val="29"/>
          <w:rFonts w:hint="eastAsia" w:ascii="宋体" w:hAnsi="宋体" w:cs="宋体"/>
          <w:b/>
          <w:bCs/>
          <w:color w:val="auto"/>
          <w:sz w:val="24"/>
          <w:highlight w:val="none"/>
          <w:lang w:eastAsia="zh-CN"/>
        </w:rPr>
        <w:t>十九</w:t>
      </w:r>
      <w:r>
        <w:rPr>
          <w:rStyle w:val="29"/>
          <w:rFonts w:hint="eastAsia" w:ascii="宋体" w:hAnsi="宋体" w:cs="宋体"/>
          <w:b/>
          <w:bCs/>
          <w:color w:val="auto"/>
          <w:sz w:val="24"/>
          <w:highlight w:val="none"/>
        </w:rPr>
        <w:t>条 通知条款</w:t>
      </w:r>
    </w:p>
    <w:p w14:paraId="0ADB5493">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（一）本合同所有的通知义务应当以书面方式传真至对方或者以信件方式按照本合同列明的甲方或乙方的地址发出。</w:t>
      </w:r>
    </w:p>
    <w:p w14:paraId="2FE31FE8">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（二）如以人手交递，则在对方签收时生效。</w:t>
      </w:r>
    </w:p>
    <w:p w14:paraId="36B15BF7">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（三）若以传真方式发出，则在传件人收到文件传真完成报告时生效。</w:t>
      </w:r>
    </w:p>
    <w:p w14:paraId="00DCC8E1">
      <w:pPr>
        <w:tabs>
          <w:tab w:val="left" w:pos="426"/>
          <w:tab w:val="left" w:pos="993"/>
          <w:tab w:val="left" w:pos="1701"/>
        </w:tabs>
        <w:snapToGrid w:val="0"/>
        <w:spacing w:line="360" w:lineRule="auto"/>
        <w:ind w:firstLine="480" w:firstLineChars="200"/>
        <w:rPr>
          <w:rStyle w:val="29"/>
          <w:rFonts w:ascii="宋体" w:hAnsi="宋体" w:cs="宋体"/>
          <w:color w:val="auto"/>
          <w:sz w:val="24"/>
          <w:highlight w:val="none"/>
        </w:rPr>
      </w:pPr>
      <w:r>
        <w:rPr>
          <w:rStyle w:val="29"/>
          <w:rFonts w:hint="eastAsia" w:ascii="宋体" w:hAnsi="宋体" w:cs="宋体"/>
          <w:color w:val="auto"/>
          <w:sz w:val="24"/>
          <w:highlight w:val="none"/>
        </w:rPr>
        <w:t>（四）若以信件邮寄发出，则以邮局在信封面盖收件印之日起三天后生效。</w:t>
      </w:r>
    </w:p>
    <w:p w14:paraId="4158F714">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第二十条 本协议组成文件</w:t>
      </w:r>
    </w:p>
    <w:p w14:paraId="1A67EA18">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（一）甲方招标文件、乙方投标文件和投标时的澄清函）（如有）；</w:t>
      </w:r>
    </w:p>
    <w:p w14:paraId="0FA1ECD0">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（二）中标通知书；</w:t>
      </w:r>
    </w:p>
    <w:p w14:paraId="648D3886">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（三）甲乙双方签署人授权书（如不是法人代表）以及商定的其他必要文件。</w:t>
      </w:r>
    </w:p>
    <w:p w14:paraId="3FF9118C">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上述协议文件内容互为补充，如有未尽事宜以甲方招投标文件约定补充。</w:t>
      </w:r>
      <w:r>
        <w:rPr>
          <w:rStyle w:val="29"/>
          <w:rFonts w:hint="eastAsia" w:ascii="宋体" w:hAnsi="宋体" w:cs="宋体"/>
          <w:color w:val="auto"/>
          <w:kern w:val="0"/>
          <w:sz w:val="24"/>
          <w:highlight w:val="none"/>
        </w:rPr>
        <w:br w:type="page"/>
      </w:r>
    </w:p>
    <w:p w14:paraId="0F3E821D">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（本页为政府购买服务协议的签署页）</w:t>
      </w:r>
    </w:p>
    <w:p w14:paraId="5414A739">
      <w:pPr>
        <w:spacing w:line="360" w:lineRule="auto"/>
        <w:ind w:firstLine="482" w:firstLineChars="200"/>
        <w:rPr>
          <w:rStyle w:val="29"/>
          <w:rFonts w:ascii="宋体" w:hAnsi="宋体" w:cs="宋体"/>
          <w:b/>
          <w:color w:val="auto"/>
          <w:sz w:val="24"/>
          <w:highlight w:val="none"/>
        </w:rPr>
      </w:pPr>
    </w:p>
    <w:p w14:paraId="4D82F6E7">
      <w:pPr>
        <w:spacing w:line="360" w:lineRule="auto"/>
        <w:ind w:firstLine="482" w:firstLineChars="200"/>
        <w:rPr>
          <w:rStyle w:val="29"/>
          <w:rFonts w:ascii="宋体" w:hAnsi="宋体" w:cs="宋体"/>
          <w:b/>
          <w:color w:val="auto"/>
          <w:sz w:val="24"/>
          <w:highlight w:val="none"/>
        </w:rPr>
      </w:pPr>
    </w:p>
    <w:p w14:paraId="2A0CEB15">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甲方：（盖章）</w:t>
      </w:r>
    </w:p>
    <w:p w14:paraId="6FCBF791">
      <w:pPr>
        <w:spacing w:line="360" w:lineRule="auto"/>
        <w:ind w:firstLine="482" w:firstLineChars="200"/>
        <w:rPr>
          <w:rStyle w:val="29"/>
          <w:rFonts w:ascii="宋体" w:hAnsi="宋体" w:cs="宋体"/>
          <w:b/>
          <w:color w:val="auto"/>
          <w:kern w:val="0"/>
          <w:sz w:val="24"/>
          <w:highlight w:val="none"/>
        </w:rPr>
      </w:pPr>
    </w:p>
    <w:p w14:paraId="1796158C">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法定代表人（负责人）（或授权代理人）（签字）：</w:t>
      </w:r>
    </w:p>
    <w:p w14:paraId="518FF2F5">
      <w:pPr>
        <w:spacing w:line="360" w:lineRule="auto"/>
        <w:ind w:firstLine="480" w:firstLineChars="200"/>
        <w:rPr>
          <w:rStyle w:val="29"/>
          <w:rFonts w:ascii="宋体" w:hAnsi="宋体" w:cs="宋体"/>
          <w:color w:val="auto"/>
          <w:kern w:val="0"/>
          <w:sz w:val="24"/>
          <w:highlight w:val="none"/>
        </w:rPr>
      </w:pPr>
    </w:p>
    <w:p w14:paraId="28739416">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签约日期：</w:t>
      </w:r>
    </w:p>
    <w:p w14:paraId="6FD2B710">
      <w:pPr>
        <w:spacing w:line="360" w:lineRule="auto"/>
        <w:ind w:firstLine="482" w:firstLineChars="200"/>
        <w:rPr>
          <w:rStyle w:val="29"/>
          <w:rFonts w:ascii="宋体" w:hAnsi="宋体" w:cs="宋体"/>
          <w:b/>
          <w:color w:val="auto"/>
          <w:kern w:val="0"/>
          <w:sz w:val="24"/>
          <w:highlight w:val="none"/>
        </w:rPr>
      </w:pPr>
    </w:p>
    <w:p w14:paraId="7454688D">
      <w:pPr>
        <w:spacing w:line="360" w:lineRule="auto"/>
        <w:ind w:firstLine="482" w:firstLineChars="200"/>
        <w:rPr>
          <w:rStyle w:val="29"/>
          <w:rFonts w:ascii="宋体" w:hAnsi="宋体" w:cs="宋体"/>
          <w:b/>
          <w:color w:val="auto"/>
          <w:kern w:val="0"/>
          <w:sz w:val="24"/>
          <w:highlight w:val="none"/>
        </w:rPr>
      </w:pPr>
    </w:p>
    <w:p w14:paraId="408725F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乙方：（盖章）</w:t>
      </w:r>
    </w:p>
    <w:p w14:paraId="7C8810A4">
      <w:pPr>
        <w:spacing w:line="360" w:lineRule="auto"/>
        <w:ind w:firstLine="480" w:firstLineChars="200"/>
        <w:rPr>
          <w:rStyle w:val="29"/>
          <w:rFonts w:ascii="宋体" w:hAnsi="宋体" w:cs="宋体"/>
          <w:color w:val="auto"/>
          <w:kern w:val="0"/>
          <w:sz w:val="24"/>
          <w:highlight w:val="none"/>
        </w:rPr>
      </w:pPr>
    </w:p>
    <w:p w14:paraId="32F1ADC8">
      <w:pPr>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法定代表人（或授权代理人）（签字）：</w:t>
      </w:r>
    </w:p>
    <w:p w14:paraId="6E50DEA4">
      <w:pPr>
        <w:spacing w:line="360" w:lineRule="auto"/>
        <w:ind w:firstLine="480" w:firstLineChars="200"/>
        <w:rPr>
          <w:rStyle w:val="29"/>
          <w:rFonts w:ascii="宋体" w:hAnsi="宋体" w:cs="宋体"/>
          <w:color w:val="auto"/>
          <w:kern w:val="0"/>
          <w:sz w:val="24"/>
          <w:highlight w:val="none"/>
        </w:rPr>
      </w:pPr>
    </w:p>
    <w:p w14:paraId="03BC272A">
      <w:pPr>
        <w:tabs>
          <w:tab w:val="left" w:pos="426"/>
          <w:tab w:val="left" w:pos="1701"/>
        </w:tabs>
        <w:spacing w:line="360" w:lineRule="auto"/>
        <w:ind w:firstLine="480" w:firstLineChars="200"/>
        <w:rPr>
          <w:rStyle w:val="29"/>
          <w:rFonts w:ascii="宋体" w:hAnsi="宋体" w:cs="宋体"/>
          <w:color w:val="auto"/>
          <w:kern w:val="0"/>
          <w:sz w:val="24"/>
          <w:highlight w:val="none"/>
        </w:rPr>
      </w:pPr>
      <w:r>
        <w:rPr>
          <w:rStyle w:val="29"/>
          <w:rFonts w:hint="eastAsia" w:ascii="宋体" w:hAnsi="宋体" w:cs="宋体"/>
          <w:color w:val="auto"/>
          <w:kern w:val="0"/>
          <w:sz w:val="24"/>
          <w:highlight w:val="none"/>
        </w:rPr>
        <w:t>签约日期：</w:t>
      </w:r>
    </w:p>
    <w:p w14:paraId="5153A2F4">
      <w:pPr>
        <w:tabs>
          <w:tab w:val="left" w:pos="426"/>
          <w:tab w:val="left" w:pos="1701"/>
        </w:tabs>
        <w:spacing w:line="360" w:lineRule="auto"/>
        <w:ind w:firstLine="482" w:firstLineChars="200"/>
        <w:rPr>
          <w:rStyle w:val="29"/>
          <w:rFonts w:ascii="宋体" w:hAnsi="宋体" w:cs="宋体"/>
          <w:b/>
          <w:bCs/>
          <w:color w:val="auto"/>
          <w:kern w:val="0"/>
          <w:sz w:val="24"/>
          <w:highlight w:val="none"/>
        </w:rPr>
      </w:pPr>
    </w:p>
    <w:p w14:paraId="103850B8">
      <w:pPr>
        <w:tabs>
          <w:tab w:val="left" w:pos="426"/>
          <w:tab w:val="left" w:pos="1701"/>
        </w:tabs>
        <w:spacing w:line="360" w:lineRule="auto"/>
        <w:ind w:firstLine="482" w:firstLineChars="200"/>
        <w:rPr>
          <w:rStyle w:val="29"/>
          <w:rFonts w:ascii="宋体" w:hAnsi="宋体" w:cs="宋体"/>
          <w:b/>
          <w:bCs/>
          <w:color w:val="auto"/>
          <w:kern w:val="0"/>
          <w:sz w:val="24"/>
          <w:highlight w:val="none"/>
        </w:rPr>
      </w:pPr>
    </w:p>
    <w:p w14:paraId="78D82CED">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采购代理机构：（盖章）</w:t>
      </w:r>
    </w:p>
    <w:p w14:paraId="0FF37D7B">
      <w:pPr>
        <w:tabs>
          <w:tab w:val="left" w:pos="426"/>
          <w:tab w:val="left" w:pos="1701"/>
        </w:tabs>
        <w:spacing w:line="360" w:lineRule="auto"/>
        <w:ind w:firstLine="480" w:firstLineChars="200"/>
        <w:rPr>
          <w:rStyle w:val="29"/>
          <w:rFonts w:ascii="宋体" w:hAnsi="宋体" w:cs="宋体"/>
          <w:color w:val="auto"/>
          <w:kern w:val="0"/>
          <w:sz w:val="24"/>
          <w:highlight w:val="none"/>
        </w:rPr>
      </w:pPr>
    </w:p>
    <w:p w14:paraId="2119E3B9">
      <w:pPr>
        <w:tabs>
          <w:tab w:val="left" w:pos="426"/>
          <w:tab w:val="left" w:pos="1701"/>
        </w:tabs>
        <w:spacing w:line="560" w:lineRule="exact"/>
        <w:ind w:firstLine="640" w:firstLineChars="200"/>
        <w:rPr>
          <w:rStyle w:val="29"/>
          <w:rFonts w:ascii="宋体" w:hAnsi="宋体" w:cs="宋体"/>
          <w:strike/>
          <w:color w:val="auto"/>
          <w:kern w:val="0"/>
          <w:sz w:val="32"/>
          <w:szCs w:val="32"/>
          <w:highlight w:val="none"/>
        </w:rPr>
      </w:pPr>
    </w:p>
    <w:p w14:paraId="571B0BA2">
      <w:pPr>
        <w:pStyle w:val="2"/>
        <w:rPr>
          <w:rStyle w:val="29"/>
          <w:rFonts w:cs="宋体"/>
          <w:strike/>
          <w:color w:val="auto"/>
          <w:kern w:val="0"/>
          <w:sz w:val="32"/>
          <w:szCs w:val="32"/>
          <w:highlight w:val="none"/>
        </w:rPr>
      </w:pPr>
    </w:p>
    <w:p w14:paraId="0403282D">
      <w:pPr>
        <w:pStyle w:val="2"/>
        <w:rPr>
          <w:rStyle w:val="29"/>
          <w:rFonts w:cs="宋体"/>
          <w:strike/>
          <w:color w:val="auto"/>
          <w:kern w:val="0"/>
          <w:sz w:val="32"/>
          <w:szCs w:val="32"/>
          <w:highlight w:val="none"/>
        </w:rPr>
      </w:pPr>
    </w:p>
    <w:p w14:paraId="32AE815B">
      <w:pPr>
        <w:pStyle w:val="2"/>
        <w:rPr>
          <w:rStyle w:val="29"/>
          <w:rFonts w:cs="宋体"/>
          <w:strike/>
          <w:color w:val="auto"/>
          <w:kern w:val="0"/>
          <w:sz w:val="32"/>
          <w:szCs w:val="32"/>
          <w:highlight w:val="none"/>
        </w:rPr>
      </w:pPr>
    </w:p>
    <w:p w14:paraId="2BEE2472">
      <w:pPr>
        <w:pStyle w:val="2"/>
        <w:rPr>
          <w:rStyle w:val="29"/>
          <w:rFonts w:cs="宋体"/>
          <w:strike/>
          <w:color w:val="auto"/>
          <w:kern w:val="0"/>
          <w:sz w:val="32"/>
          <w:szCs w:val="32"/>
          <w:highlight w:val="none"/>
        </w:rPr>
      </w:pPr>
    </w:p>
    <w:p w14:paraId="54DF83A8">
      <w:pPr>
        <w:pStyle w:val="2"/>
        <w:rPr>
          <w:rStyle w:val="29"/>
          <w:rFonts w:cs="宋体"/>
          <w:strike/>
          <w:color w:val="auto"/>
          <w:kern w:val="0"/>
          <w:sz w:val="32"/>
          <w:szCs w:val="32"/>
          <w:highlight w:val="none"/>
        </w:rPr>
      </w:pPr>
    </w:p>
    <w:p w14:paraId="0AB08002">
      <w:pPr>
        <w:pStyle w:val="2"/>
        <w:rPr>
          <w:rStyle w:val="29"/>
          <w:rFonts w:cs="宋体"/>
          <w:strike/>
          <w:color w:val="auto"/>
          <w:kern w:val="0"/>
          <w:sz w:val="32"/>
          <w:szCs w:val="32"/>
          <w:highlight w:val="none"/>
        </w:rPr>
      </w:pPr>
    </w:p>
    <w:p w14:paraId="3938184F">
      <w:pPr>
        <w:pStyle w:val="2"/>
        <w:rPr>
          <w:rStyle w:val="29"/>
          <w:rFonts w:cs="宋体"/>
          <w:strike/>
          <w:color w:val="auto"/>
          <w:kern w:val="0"/>
          <w:sz w:val="32"/>
          <w:szCs w:val="32"/>
          <w:highlight w:val="none"/>
        </w:rPr>
      </w:pPr>
    </w:p>
    <w:p w14:paraId="2483266E">
      <w:pPr>
        <w:pStyle w:val="2"/>
        <w:rPr>
          <w:rStyle w:val="29"/>
          <w:rFonts w:cs="宋体"/>
          <w:strike/>
          <w:color w:val="auto"/>
          <w:kern w:val="0"/>
          <w:sz w:val="32"/>
          <w:szCs w:val="32"/>
          <w:highlight w:val="none"/>
        </w:rPr>
      </w:pPr>
    </w:p>
    <w:p w14:paraId="6AC3CA66">
      <w:pPr>
        <w:pStyle w:val="2"/>
        <w:rPr>
          <w:rStyle w:val="29"/>
          <w:rFonts w:cs="宋体"/>
          <w:strike/>
          <w:color w:val="auto"/>
          <w:kern w:val="0"/>
          <w:sz w:val="32"/>
          <w:szCs w:val="32"/>
          <w:highlight w:val="none"/>
        </w:rPr>
      </w:pPr>
    </w:p>
    <w:p w14:paraId="045844EB">
      <w:pPr>
        <w:snapToGrid w:val="0"/>
        <w:spacing w:line="360" w:lineRule="auto"/>
        <w:rPr>
          <w:rStyle w:val="29"/>
          <w:rFonts w:ascii="宋体" w:hAnsi="宋体" w:cs="宋体"/>
          <w:b/>
          <w:bCs/>
          <w:color w:val="auto"/>
          <w:sz w:val="24"/>
          <w:highlight w:val="none"/>
        </w:rPr>
      </w:pPr>
    </w:p>
    <w:p w14:paraId="60608EF3">
      <w:pPr>
        <w:snapToGrid w:val="0"/>
        <w:spacing w:line="360" w:lineRule="auto"/>
        <w:ind w:firstLine="482" w:firstLineChars="200"/>
        <w:rPr>
          <w:rStyle w:val="29"/>
          <w:rFonts w:ascii="宋体" w:hAnsi="宋体" w:cs="宋体"/>
          <w:b/>
          <w:bCs/>
          <w:color w:val="auto"/>
          <w:sz w:val="24"/>
          <w:highlight w:val="none"/>
        </w:rPr>
        <w:sectPr>
          <w:footerReference r:id="rId16" w:type="first"/>
          <w:footerReference r:id="rId15" w:type="default"/>
          <w:pgSz w:w="11906" w:h="16838"/>
          <w:pgMar w:top="1440" w:right="1800" w:bottom="1440" w:left="1800" w:header="851" w:footer="992" w:gutter="0"/>
          <w:cols w:space="425" w:num="1"/>
          <w:titlePg/>
          <w:docGrid w:type="lines" w:linePitch="312" w:charSpace="0"/>
        </w:sectPr>
      </w:pPr>
    </w:p>
    <w:p w14:paraId="782E380E">
      <w:pPr>
        <w:snapToGrid w:val="0"/>
        <w:spacing w:line="360" w:lineRule="auto"/>
        <w:ind w:firstLine="482" w:firstLineChars="200"/>
        <w:rPr>
          <w:rStyle w:val="29"/>
          <w:rFonts w:ascii="宋体" w:hAnsi="宋体" w:cs="宋体"/>
          <w:b/>
          <w:bCs/>
          <w:color w:val="auto"/>
          <w:sz w:val="24"/>
          <w:highlight w:val="none"/>
        </w:rPr>
      </w:pPr>
      <w:r>
        <w:rPr>
          <w:rStyle w:val="29"/>
          <w:rFonts w:hint="eastAsia" w:ascii="宋体" w:hAnsi="宋体" w:cs="宋体"/>
          <w:b/>
          <w:bCs/>
          <w:color w:val="auto"/>
          <w:sz w:val="24"/>
          <w:highlight w:val="none"/>
        </w:rPr>
        <w:t>附件：报价明细表</w:t>
      </w:r>
    </w:p>
    <w:p w14:paraId="5448019D">
      <w:pPr>
        <w:kinsoku w:val="0"/>
        <w:autoSpaceDE w:val="0"/>
        <w:autoSpaceDN w:val="0"/>
        <w:adjustRightInd w:val="0"/>
        <w:snapToGrid w:val="0"/>
        <w:spacing w:line="580" w:lineRule="exact"/>
        <w:ind w:firstLine="640" w:firstLineChars="200"/>
        <w:jc w:val="left"/>
        <w:rPr>
          <w:rFonts w:ascii="仿宋" w:hAnsi="仿宋" w:eastAsia="仿宋" w:cs="仿宋"/>
          <w:snapToGrid w:val="0"/>
          <w:color w:val="auto"/>
          <w:kern w:val="0"/>
          <w:sz w:val="32"/>
          <w:szCs w:val="32"/>
          <w:highlight w:val="none"/>
        </w:rPr>
      </w:pPr>
      <w:r>
        <w:rPr>
          <w:rFonts w:hint="eastAsia" w:ascii="仿宋" w:hAnsi="仿宋" w:eastAsia="仿宋" w:cs="仿宋"/>
          <w:snapToGrid w:val="0"/>
          <w:color w:val="auto"/>
          <w:kern w:val="0"/>
          <w:sz w:val="32"/>
          <w:szCs w:val="32"/>
          <w:highlight w:val="none"/>
        </w:rPr>
        <w:t>投标人根据项目情况和自身情况列明各分项价格，要求各分项价格之和等于开标一览表中的投标总价（投标单价）。各分项价格要求完整无漏项，完全包括完成与本项目有关的一切费用，否则视同免费提供。</w:t>
      </w:r>
    </w:p>
    <w:p w14:paraId="52794586">
      <w:pPr>
        <w:kinsoku w:val="0"/>
        <w:autoSpaceDE w:val="0"/>
        <w:autoSpaceDN w:val="0"/>
        <w:adjustRightInd w:val="0"/>
        <w:snapToGrid w:val="0"/>
        <w:spacing w:line="580" w:lineRule="exact"/>
        <w:rPr>
          <w:rFonts w:ascii="仿宋" w:hAnsi="仿宋" w:eastAsia="仿宋" w:cs="仿宋"/>
          <w:snapToGrid w:val="0"/>
          <w:color w:val="auto"/>
          <w:kern w:val="0"/>
          <w:sz w:val="32"/>
          <w:szCs w:val="32"/>
          <w:highlight w:val="none"/>
        </w:rPr>
      </w:pPr>
      <w:r>
        <w:rPr>
          <w:rFonts w:hint="eastAsia" w:ascii="仿宋" w:hAnsi="仿宋" w:eastAsia="仿宋" w:cs="仿宋"/>
          <w:snapToGrid w:val="0"/>
          <w:color w:val="auto"/>
          <w:kern w:val="0"/>
          <w:sz w:val="32"/>
          <w:szCs w:val="32"/>
          <w:highlight w:val="none"/>
        </w:rPr>
        <w:t xml:space="preserve">                                        报价明细表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2487"/>
        <w:gridCol w:w="2007"/>
        <w:gridCol w:w="2562"/>
        <w:gridCol w:w="2169"/>
        <w:gridCol w:w="2262"/>
      </w:tblGrid>
      <w:tr w14:paraId="483F0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58" w:type="dxa"/>
          </w:tcPr>
          <w:p w14:paraId="50E5256B">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序号</w:t>
            </w:r>
          </w:p>
        </w:tc>
        <w:tc>
          <w:tcPr>
            <w:tcW w:w="2487" w:type="dxa"/>
          </w:tcPr>
          <w:p w14:paraId="09F44E22">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项目名称</w:t>
            </w:r>
          </w:p>
        </w:tc>
        <w:tc>
          <w:tcPr>
            <w:tcW w:w="2007" w:type="dxa"/>
          </w:tcPr>
          <w:p w14:paraId="35274904">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数量（吨）</w:t>
            </w:r>
          </w:p>
        </w:tc>
        <w:tc>
          <w:tcPr>
            <w:tcW w:w="2562" w:type="dxa"/>
          </w:tcPr>
          <w:p w14:paraId="36160256">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u w:val="single"/>
              </w:rPr>
            </w:pPr>
            <w:r>
              <w:rPr>
                <w:rFonts w:hint="eastAsia" w:ascii="仿宋" w:hAnsi="仿宋" w:eastAsia="仿宋" w:cs="仿宋"/>
                <w:color w:val="auto"/>
                <w:spacing w:val="-16"/>
                <w:sz w:val="30"/>
                <w:szCs w:val="30"/>
                <w:highlight w:val="none"/>
              </w:rPr>
              <w:t>投标单价（元/吨）</w:t>
            </w:r>
          </w:p>
        </w:tc>
        <w:tc>
          <w:tcPr>
            <w:tcW w:w="2169" w:type="dxa"/>
          </w:tcPr>
          <w:p w14:paraId="2F1F955D">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合价（元）</w:t>
            </w:r>
          </w:p>
        </w:tc>
        <w:tc>
          <w:tcPr>
            <w:tcW w:w="2262" w:type="dxa"/>
          </w:tcPr>
          <w:p w14:paraId="265E8B3D">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备注</w:t>
            </w:r>
          </w:p>
        </w:tc>
      </w:tr>
      <w:tr w14:paraId="1836C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58" w:type="dxa"/>
            <w:vAlign w:val="center"/>
          </w:tcPr>
          <w:p w14:paraId="1B2C3200">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1</w:t>
            </w:r>
          </w:p>
        </w:tc>
        <w:tc>
          <w:tcPr>
            <w:tcW w:w="2487" w:type="dxa"/>
            <w:vAlign w:val="center"/>
          </w:tcPr>
          <w:p w14:paraId="66805163">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污泥处理处置费</w:t>
            </w:r>
          </w:p>
        </w:tc>
        <w:tc>
          <w:tcPr>
            <w:tcW w:w="2007" w:type="dxa"/>
            <w:vAlign w:val="center"/>
          </w:tcPr>
          <w:p w14:paraId="050D7248">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63C45C89">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107CA42">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vMerge w:val="restart"/>
          </w:tcPr>
          <w:p w14:paraId="284EAE6F">
            <w:pPr>
              <w:widowControl/>
              <w:jc w:val="center"/>
              <w:rPr>
                <w:rFonts w:ascii="宋体" w:hAnsi="宋体" w:cs="宋体"/>
                <w:snapToGrid w:val="0"/>
                <w:color w:val="auto"/>
                <w:kern w:val="0"/>
                <w:sz w:val="24"/>
                <w:highlight w:val="none"/>
              </w:rPr>
            </w:pPr>
          </w:p>
          <w:p w14:paraId="4C6A2036">
            <w:pPr>
              <w:widowControl/>
              <w:jc w:val="center"/>
              <w:rPr>
                <w:color w:val="auto"/>
                <w:highlight w:val="none"/>
              </w:rPr>
            </w:pPr>
            <w:r>
              <w:rPr>
                <w:rFonts w:hint="eastAsia" w:ascii="宋体" w:hAnsi="宋体" w:cs="宋体"/>
                <w:snapToGrid w:val="0"/>
                <w:color w:val="auto"/>
                <w:kern w:val="0"/>
                <w:sz w:val="24"/>
                <w:highlight w:val="none"/>
              </w:rPr>
              <w:t>污泥数量按实际污泥处理量进行结算</w:t>
            </w:r>
          </w:p>
          <w:p w14:paraId="3EBCF054">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36871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058" w:type="dxa"/>
            <w:vAlign w:val="center"/>
          </w:tcPr>
          <w:p w14:paraId="58DDAFE9">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2</w:t>
            </w:r>
          </w:p>
        </w:tc>
        <w:tc>
          <w:tcPr>
            <w:tcW w:w="2487" w:type="dxa"/>
            <w:vAlign w:val="center"/>
          </w:tcPr>
          <w:p w14:paraId="119B065C">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运输费</w:t>
            </w:r>
          </w:p>
        </w:tc>
        <w:tc>
          <w:tcPr>
            <w:tcW w:w="2007" w:type="dxa"/>
            <w:vAlign w:val="center"/>
          </w:tcPr>
          <w:p w14:paraId="2ED82A54">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03BC9F7E">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03A8A621">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vMerge w:val="continue"/>
          </w:tcPr>
          <w:p w14:paraId="2C322A20">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19DA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4169C888">
            <w:pPr>
              <w:widowControl w:val="0"/>
              <w:kinsoku w:val="0"/>
              <w:autoSpaceDE w:val="0"/>
              <w:autoSpaceDN w:val="0"/>
              <w:adjustRightInd w:val="0"/>
              <w:snapToGrid w:val="0"/>
              <w:spacing w:before="222" w:line="201" w:lineRule="auto"/>
              <w:jc w:val="center"/>
              <w:rPr>
                <w:rFonts w:hint="default" w:ascii="仿宋" w:hAnsi="仿宋" w:eastAsia="仿宋" w:cs="仿宋"/>
                <w:color w:val="auto"/>
                <w:spacing w:val="-16"/>
                <w:sz w:val="30"/>
                <w:szCs w:val="30"/>
                <w:highlight w:val="none"/>
                <w:lang w:val="en-US" w:eastAsia="zh-CN"/>
              </w:rPr>
            </w:pPr>
            <w:r>
              <w:rPr>
                <w:rFonts w:hint="eastAsia" w:ascii="仿宋" w:hAnsi="仿宋" w:eastAsia="仿宋" w:cs="仿宋"/>
                <w:color w:val="auto"/>
                <w:spacing w:val="-16"/>
                <w:sz w:val="30"/>
                <w:szCs w:val="30"/>
                <w:highlight w:val="none"/>
                <w:lang w:val="en-US" w:eastAsia="zh-CN"/>
              </w:rPr>
              <w:t>...</w:t>
            </w:r>
          </w:p>
        </w:tc>
        <w:tc>
          <w:tcPr>
            <w:tcW w:w="2487" w:type="dxa"/>
            <w:vAlign w:val="center"/>
          </w:tcPr>
          <w:p w14:paraId="3F4A2CE8">
            <w:pPr>
              <w:widowControl w:val="0"/>
              <w:kinsoku w:val="0"/>
              <w:autoSpaceDE w:val="0"/>
              <w:autoSpaceDN w:val="0"/>
              <w:adjustRightInd w:val="0"/>
              <w:snapToGrid w:val="0"/>
              <w:spacing w:before="222" w:line="201" w:lineRule="auto"/>
              <w:jc w:val="center"/>
              <w:rPr>
                <w:rFonts w:hint="default" w:ascii="仿宋" w:hAnsi="仿宋" w:eastAsia="仿宋" w:cs="仿宋"/>
                <w:color w:val="auto"/>
                <w:spacing w:val="-16"/>
                <w:sz w:val="30"/>
                <w:szCs w:val="30"/>
                <w:highlight w:val="none"/>
                <w:lang w:val="en-US" w:eastAsia="zh-CN"/>
              </w:rPr>
            </w:pPr>
            <w:r>
              <w:rPr>
                <w:rFonts w:hint="eastAsia" w:ascii="仿宋" w:hAnsi="仿宋" w:eastAsia="仿宋" w:cs="仿宋"/>
                <w:color w:val="auto"/>
                <w:spacing w:val="-16"/>
                <w:sz w:val="30"/>
                <w:szCs w:val="30"/>
                <w:highlight w:val="none"/>
                <w:lang w:val="en-US" w:eastAsia="zh-CN"/>
              </w:rPr>
              <w:t>...</w:t>
            </w:r>
          </w:p>
        </w:tc>
        <w:tc>
          <w:tcPr>
            <w:tcW w:w="2007" w:type="dxa"/>
            <w:vAlign w:val="center"/>
          </w:tcPr>
          <w:p w14:paraId="7DD5C59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79E09E5A">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10572F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75B4A074">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235EE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495788A9">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3</w:t>
            </w:r>
          </w:p>
        </w:tc>
        <w:tc>
          <w:tcPr>
            <w:tcW w:w="2487" w:type="dxa"/>
            <w:vAlign w:val="center"/>
          </w:tcPr>
          <w:p w14:paraId="571D4C3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合计</w:t>
            </w:r>
          </w:p>
        </w:tc>
        <w:tc>
          <w:tcPr>
            <w:tcW w:w="2007" w:type="dxa"/>
            <w:vAlign w:val="center"/>
          </w:tcPr>
          <w:p w14:paraId="5F2CB440">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4D9E8C3E">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78DCF053">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61DB631E">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r w14:paraId="1BE20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58" w:type="dxa"/>
            <w:vAlign w:val="center"/>
          </w:tcPr>
          <w:p w14:paraId="65FE1D60">
            <w:pPr>
              <w:widowControl w:val="0"/>
              <w:kinsoku w:val="0"/>
              <w:autoSpaceDE w:val="0"/>
              <w:autoSpaceDN w:val="0"/>
              <w:adjustRightInd w:val="0"/>
              <w:snapToGrid w:val="0"/>
              <w:spacing w:before="222" w:line="201" w:lineRule="auto"/>
              <w:jc w:val="center"/>
              <w:rPr>
                <w:rFonts w:hint="eastAsia" w:ascii="仿宋" w:hAnsi="仿宋" w:eastAsia="仿宋" w:cs="仿宋"/>
                <w:color w:val="auto"/>
                <w:spacing w:val="-16"/>
                <w:sz w:val="30"/>
                <w:szCs w:val="30"/>
                <w:highlight w:val="none"/>
              </w:rPr>
            </w:pPr>
          </w:p>
        </w:tc>
        <w:tc>
          <w:tcPr>
            <w:tcW w:w="2487" w:type="dxa"/>
            <w:vAlign w:val="center"/>
          </w:tcPr>
          <w:p w14:paraId="3C99CF68">
            <w:pPr>
              <w:widowControl w:val="0"/>
              <w:kinsoku w:val="0"/>
              <w:autoSpaceDE w:val="0"/>
              <w:autoSpaceDN w:val="0"/>
              <w:adjustRightInd w:val="0"/>
              <w:snapToGrid w:val="0"/>
              <w:spacing w:before="222" w:line="201" w:lineRule="auto"/>
              <w:jc w:val="center"/>
              <w:rPr>
                <w:rFonts w:hint="eastAsia" w:ascii="仿宋" w:hAnsi="仿宋" w:eastAsia="仿宋" w:cs="仿宋"/>
                <w:color w:val="auto"/>
                <w:spacing w:val="-16"/>
                <w:sz w:val="30"/>
                <w:szCs w:val="30"/>
                <w:highlight w:val="none"/>
              </w:rPr>
            </w:pPr>
          </w:p>
        </w:tc>
        <w:tc>
          <w:tcPr>
            <w:tcW w:w="2007" w:type="dxa"/>
            <w:vAlign w:val="center"/>
          </w:tcPr>
          <w:p w14:paraId="7EE9D31A">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562" w:type="dxa"/>
            <w:vAlign w:val="center"/>
          </w:tcPr>
          <w:p w14:paraId="3855520F">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169" w:type="dxa"/>
            <w:vAlign w:val="center"/>
          </w:tcPr>
          <w:p w14:paraId="46DD023D">
            <w:pPr>
              <w:widowControl w:val="0"/>
              <w:kinsoku w:val="0"/>
              <w:autoSpaceDE w:val="0"/>
              <w:autoSpaceDN w:val="0"/>
              <w:adjustRightInd w:val="0"/>
              <w:snapToGrid w:val="0"/>
              <w:spacing w:before="222" w:line="201" w:lineRule="auto"/>
              <w:jc w:val="center"/>
              <w:rPr>
                <w:rFonts w:ascii="仿宋" w:hAnsi="仿宋" w:eastAsia="仿宋" w:cs="仿宋"/>
                <w:color w:val="auto"/>
                <w:spacing w:val="-16"/>
                <w:sz w:val="30"/>
                <w:szCs w:val="30"/>
                <w:highlight w:val="none"/>
              </w:rPr>
            </w:pPr>
          </w:p>
        </w:tc>
        <w:tc>
          <w:tcPr>
            <w:tcW w:w="2262" w:type="dxa"/>
          </w:tcPr>
          <w:p w14:paraId="75150162">
            <w:pPr>
              <w:widowControl w:val="0"/>
              <w:kinsoku w:val="0"/>
              <w:autoSpaceDE w:val="0"/>
              <w:autoSpaceDN w:val="0"/>
              <w:adjustRightInd w:val="0"/>
              <w:snapToGrid w:val="0"/>
              <w:spacing w:before="222" w:line="201" w:lineRule="auto"/>
              <w:rPr>
                <w:rFonts w:ascii="仿宋" w:hAnsi="仿宋" w:eastAsia="仿宋" w:cs="仿宋"/>
                <w:color w:val="auto"/>
                <w:spacing w:val="-16"/>
                <w:sz w:val="30"/>
                <w:szCs w:val="30"/>
                <w:highlight w:val="none"/>
              </w:rPr>
            </w:pPr>
          </w:p>
        </w:tc>
      </w:tr>
    </w:tbl>
    <w:p w14:paraId="7AD2A886">
      <w:pPr>
        <w:pStyle w:val="2"/>
        <w:ind w:firstLine="450"/>
        <w:rPr>
          <w:rStyle w:val="29"/>
          <w:rFonts w:cs="宋体"/>
          <w:color w:val="auto"/>
          <w:kern w:val="0"/>
          <w:sz w:val="24"/>
          <w:szCs w:val="24"/>
          <w:highlight w:val="none"/>
        </w:rPr>
      </w:pPr>
    </w:p>
    <w:p w14:paraId="2AB655EC">
      <w:pPr>
        <w:pStyle w:val="2"/>
        <w:ind w:firstLine="450"/>
        <w:rPr>
          <w:rStyle w:val="29"/>
          <w:rFonts w:cs="宋体"/>
          <w:color w:val="auto"/>
          <w:kern w:val="0"/>
          <w:sz w:val="24"/>
          <w:szCs w:val="24"/>
          <w:highlight w:val="none"/>
        </w:rPr>
      </w:pPr>
    </w:p>
    <w:sectPr>
      <w:pgSz w:w="16838" w:h="11906" w:orient="landscape"/>
      <w:pgMar w:top="1800" w:right="1440" w:bottom="1800" w:left="144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96F3C">
    <w:pPr>
      <w:pStyle w:val="9"/>
    </w:pPr>
  </w:p>
  <w:p w14:paraId="5B01FBA3">
    <w:pPr>
      <w:pStyle w:val="9"/>
      <w:rPr>
        <w:rStyle w:val="29"/>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826E7">
    <w:pPr>
      <w:pStyle w:val="9"/>
      <w:jc w:val="center"/>
      <w:rPr>
        <w:rStyle w:val="2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1B70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CD0BF">
    <w:pPr>
      <w:pStyle w:val="9"/>
      <w:ind w:right="360"/>
      <w:jc w:val="center"/>
      <w:rPr>
        <w:rStyle w:val="29"/>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D37F7">
    <w:pPr>
      <w:pStyle w:val="9"/>
    </w:pPr>
  </w:p>
  <w:p w14:paraId="4E658AA4">
    <w:pPr>
      <w:pStyle w:val="9"/>
      <w:rPr>
        <w:rStyle w:val="29"/>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BD513">
    <w:pPr>
      <w:pStyle w:val="9"/>
      <w:jc w:val="center"/>
      <w:rPr>
        <w:rStyle w:val="29"/>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8BF3E">
    <w:pPr>
      <w:pStyle w:val="9"/>
    </w:pPr>
  </w:p>
  <w:p w14:paraId="01535C8A">
    <w:pPr>
      <w:pStyle w:val="9"/>
      <w:rPr>
        <w:rStyle w:val="29"/>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67F24">
    <w:pPr>
      <w:pStyle w:val="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58E31">
    <w:pPr>
      <w:pStyle w:val="9"/>
      <w:ind w:right="360"/>
      <w:jc w:val="center"/>
      <w:rPr>
        <w:rStyle w:val="29"/>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A09F4">
    <w:pPr>
      <w:pStyle w:val="9"/>
    </w:pPr>
  </w:p>
  <w:p w14:paraId="559C6BDF">
    <w:pPr>
      <w:pStyle w:val="9"/>
      <w:rPr>
        <w:rStyle w:val="29"/>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023A2">
    <w:pPr>
      <w:pStyle w:val="10"/>
      <w:pBdr>
        <w:bottom w:val="none" w:color="auto" w:sz="0" w:space="0"/>
      </w:pBdr>
      <w:rPr>
        <w:rStyle w:val="29"/>
      </w:rPr>
    </w:pPr>
  </w:p>
  <w:p w14:paraId="253C2A6C">
    <w:pPr>
      <w:pStyle w:val="10"/>
      <w:pBdr>
        <w:bottom w:val="none" w:color="auto" w:sz="0" w:space="0"/>
      </w:pBdr>
      <w:rPr>
        <w:rStyle w:val="2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A1FB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CBD33">
    <w:pPr>
      <w:pStyle w:val="10"/>
      <w:pBdr>
        <w:bottom w:val="none" w:color="auto" w:sz="0" w:space="0"/>
      </w:pBdr>
      <w:rPr>
        <w:rStyle w:val="29"/>
      </w:rPr>
    </w:pPr>
  </w:p>
  <w:p w14:paraId="536AF2AD">
    <w:pPr>
      <w:pStyle w:val="10"/>
      <w:pBdr>
        <w:bottom w:val="none" w:color="auto" w:sz="0" w:space="0"/>
      </w:pBdr>
      <w:rPr>
        <w:rStyle w:val="2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519C">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pStyle w:val="3"/>
      <w:lvlText w:val="第%1章"/>
      <w:lvlJc w:val="left"/>
      <w:pPr>
        <w:tabs>
          <w:tab w:val="left" w:pos="0"/>
        </w:tabs>
        <w:ind w:left="4321" w:hanging="420"/>
      </w:pPr>
      <w:rPr>
        <w:rFonts w:hint="eastAsia"/>
      </w:r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F8E7288"/>
    <w:multiLevelType w:val="multilevel"/>
    <w:tmpl w:val="0F8E7288"/>
    <w:lvl w:ilvl="0" w:tentative="0">
      <w:start w:val="1"/>
      <w:numFmt w:val="chineseCountingThousand"/>
      <w:pStyle w:val="41"/>
      <w:lvlText w:val="第%1条"/>
      <w:lvlJc w:val="left"/>
      <w:pPr>
        <w:tabs>
          <w:tab w:val="left" w:pos="425"/>
        </w:tabs>
        <w:ind w:left="425" w:hanging="425"/>
        <w:textAlignment w:val="baseline"/>
      </w:pPr>
      <w:rPr>
        <w:rFonts w:ascii="宋体" w:hAnsi="宋体" w:eastAsia="宋体"/>
        <w:b/>
        <w:i w:val="0"/>
      </w:rPr>
    </w:lvl>
    <w:lvl w:ilvl="1" w:tentative="0">
      <w:start w:val="1"/>
      <w:numFmt w:val="decimal"/>
      <w:lvlText w:val="%1.%2."/>
      <w:lvlJc w:val="left"/>
      <w:pPr>
        <w:tabs>
          <w:tab w:val="left" w:pos="992"/>
        </w:tabs>
        <w:ind w:left="992" w:hanging="567"/>
        <w:textAlignment w:val="baseline"/>
      </w:pPr>
    </w:lvl>
    <w:lvl w:ilvl="2" w:tentative="0">
      <w:start w:val="1"/>
      <w:numFmt w:val="chineseCountingThousand"/>
      <w:lvlText w:val="附件%1："/>
      <w:lvlJc w:val="left"/>
      <w:pPr>
        <w:tabs>
          <w:tab w:val="left" w:pos="964"/>
        </w:tabs>
        <w:ind w:left="964" w:hanging="113"/>
        <w:textAlignment w:val="baseline"/>
      </w:pPr>
    </w:lvl>
    <w:lvl w:ilvl="3" w:tentative="0">
      <w:start w:val="1"/>
      <w:numFmt w:val="decimal"/>
      <w:lvlText w:val="%1.%2.%3.%4"/>
      <w:lvlJc w:val="left"/>
      <w:pPr>
        <w:tabs>
          <w:tab w:val="left" w:pos="1984"/>
        </w:tabs>
        <w:ind w:left="1984" w:hanging="708"/>
        <w:textAlignment w:val="baseline"/>
      </w:pPr>
    </w:lvl>
    <w:lvl w:ilvl="4" w:tentative="0">
      <w:start w:val="1"/>
      <w:numFmt w:val="decimal"/>
      <w:lvlText w:val="%1.%2.%3.%4.%5"/>
      <w:lvlJc w:val="left"/>
      <w:pPr>
        <w:tabs>
          <w:tab w:val="left" w:pos="2781"/>
        </w:tabs>
        <w:ind w:left="2551" w:hanging="850"/>
        <w:textAlignment w:val="baseline"/>
      </w:pPr>
    </w:lvl>
    <w:lvl w:ilvl="5" w:tentative="0">
      <w:start w:val="1"/>
      <w:numFmt w:val="decimal"/>
      <w:lvlText w:val="%1.%2.%3.%4.%5.%6"/>
      <w:lvlJc w:val="left"/>
      <w:pPr>
        <w:tabs>
          <w:tab w:val="left" w:pos="3260"/>
        </w:tabs>
        <w:ind w:left="3260" w:hanging="1134"/>
        <w:textAlignment w:val="baseline"/>
      </w:pPr>
    </w:lvl>
    <w:lvl w:ilvl="6" w:tentative="0">
      <w:start w:val="1"/>
      <w:numFmt w:val="decimal"/>
      <w:lvlText w:val="%1.%2.%3.%4.%5.%6.%7"/>
      <w:lvlJc w:val="left"/>
      <w:pPr>
        <w:tabs>
          <w:tab w:val="left" w:pos="3827"/>
        </w:tabs>
        <w:ind w:left="3827" w:hanging="1276"/>
        <w:textAlignment w:val="baseline"/>
      </w:pPr>
    </w:lvl>
    <w:lvl w:ilvl="7" w:tentative="0">
      <w:start w:val="1"/>
      <w:numFmt w:val="decimal"/>
      <w:lvlText w:val="%1.%2.%3.%4.%5.%6.%7.%8"/>
      <w:lvlJc w:val="left"/>
      <w:pPr>
        <w:tabs>
          <w:tab w:val="left" w:pos="4394"/>
        </w:tabs>
        <w:ind w:left="4394" w:hanging="1418"/>
        <w:textAlignment w:val="baseline"/>
      </w:pPr>
    </w:lvl>
    <w:lvl w:ilvl="8" w:tentative="0">
      <w:start w:val="1"/>
      <w:numFmt w:val="decimal"/>
      <w:lvlText w:val="%1.%2.%3.%4.%5.%6.%7.%8.%9"/>
      <w:lvlJc w:val="left"/>
      <w:pPr>
        <w:tabs>
          <w:tab w:val="left" w:pos="5102"/>
        </w:tabs>
        <w:ind w:left="5102" w:hanging="1700"/>
        <w:textAlignment w:val="baseline"/>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2"/>
  </w:compat>
  <w:docVars>
    <w:docVar w:name="commondata" w:val="eyJoZGlkIjoiZjVhNGJiMWVmZTg4ZjFhYWZhYWFiMzBkODkwYWRkZmUifQ=="/>
  </w:docVars>
  <w:rsids>
    <w:rsidRoot w:val="00BE697B"/>
    <w:rsid w:val="0003023F"/>
    <w:rsid w:val="000F0C8A"/>
    <w:rsid w:val="00146146"/>
    <w:rsid w:val="00146985"/>
    <w:rsid w:val="001B03A4"/>
    <w:rsid w:val="001C6795"/>
    <w:rsid w:val="001D2FDC"/>
    <w:rsid w:val="001D683F"/>
    <w:rsid w:val="002B442A"/>
    <w:rsid w:val="002D5D8D"/>
    <w:rsid w:val="0048546A"/>
    <w:rsid w:val="004A1425"/>
    <w:rsid w:val="004B2EA0"/>
    <w:rsid w:val="00511CBE"/>
    <w:rsid w:val="00590EC9"/>
    <w:rsid w:val="00590ED6"/>
    <w:rsid w:val="005A4778"/>
    <w:rsid w:val="00653A89"/>
    <w:rsid w:val="00682147"/>
    <w:rsid w:val="007457D0"/>
    <w:rsid w:val="007672DB"/>
    <w:rsid w:val="00927DF9"/>
    <w:rsid w:val="00942BF1"/>
    <w:rsid w:val="0095188F"/>
    <w:rsid w:val="00956028"/>
    <w:rsid w:val="009668CE"/>
    <w:rsid w:val="009F7498"/>
    <w:rsid w:val="00A96E34"/>
    <w:rsid w:val="00B30F50"/>
    <w:rsid w:val="00B43D9F"/>
    <w:rsid w:val="00B97480"/>
    <w:rsid w:val="00BE697B"/>
    <w:rsid w:val="00C16FBA"/>
    <w:rsid w:val="00CC28C0"/>
    <w:rsid w:val="00E04DED"/>
    <w:rsid w:val="00E47B16"/>
    <w:rsid w:val="00EB55BC"/>
    <w:rsid w:val="00F418B6"/>
    <w:rsid w:val="00F66BF3"/>
    <w:rsid w:val="00FC0601"/>
    <w:rsid w:val="01055B84"/>
    <w:rsid w:val="02B8373F"/>
    <w:rsid w:val="03267DA5"/>
    <w:rsid w:val="042B4C09"/>
    <w:rsid w:val="055D14DB"/>
    <w:rsid w:val="084F7C96"/>
    <w:rsid w:val="08C52220"/>
    <w:rsid w:val="0A1E5085"/>
    <w:rsid w:val="0B0910AE"/>
    <w:rsid w:val="0B5379AF"/>
    <w:rsid w:val="0EBB753D"/>
    <w:rsid w:val="0FDDD675"/>
    <w:rsid w:val="104C6D7B"/>
    <w:rsid w:val="13141423"/>
    <w:rsid w:val="13FA230D"/>
    <w:rsid w:val="173715A6"/>
    <w:rsid w:val="1937719E"/>
    <w:rsid w:val="1BB78934"/>
    <w:rsid w:val="1CEBD26C"/>
    <w:rsid w:val="1D21047A"/>
    <w:rsid w:val="1E2D6B67"/>
    <w:rsid w:val="1EBD8EC6"/>
    <w:rsid w:val="1EEE129D"/>
    <w:rsid w:val="1FFFBC1C"/>
    <w:rsid w:val="273B4FFD"/>
    <w:rsid w:val="2944347E"/>
    <w:rsid w:val="29727072"/>
    <w:rsid w:val="2A7D73F2"/>
    <w:rsid w:val="2AC61E3C"/>
    <w:rsid w:val="2B2D3EBB"/>
    <w:rsid w:val="2D5D0A9A"/>
    <w:rsid w:val="2DCE09B6"/>
    <w:rsid w:val="2E827AC7"/>
    <w:rsid w:val="2EBF5588"/>
    <w:rsid w:val="2F7E3E61"/>
    <w:rsid w:val="2FCD370E"/>
    <w:rsid w:val="2FDE2111"/>
    <w:rsid w:val="309D294E"/>
    <w:rsid w:val="32003275"/>
    <w:rsid w:val="32B273EE"/>
    <w:rsid w:val="330A3D34"/>
    <w:rsid w:val="353F8BFE"/>
    <w:rsid w:val="35BE4B82"/>
    <w:rsid w:val="3623361D"/>
    <w:rsid w:val="37284CFE"/>
    <w:rsid w:val="376D445D"/>
    <w:rsid w:val="377F8B0D"/>
    <w:rsid w:val="37D68001"/>
    <w:rsid w:val="37EB1032"/>
    <w:rsid w:val="37F7FBBA"/>
    <w:rsid w:val="38081B9C"/>
    <w:rsid w:val="3AFB06C4"/>
    <w:rsid w:val="3B3FE17B"/>
    <w:rsid w:val="3BDF5BCC"/>
    <w:rsid w:val="3BF7F396"/>
    <w:rsid w:val="3BFEBFF6"/>
    <w:rsid w:val="3CD72627"/>
    <w:rsid w:val="3DD85A6A"/>
    <w:rsid w:val="3E0E7556"/>
    <w:rsid w:val="3E6E7794"/>
    <w:rsid w:val="3EDF9605"/>
    <w:rsid w:val="3EF398B7"/>
    <w:rsid w:val="3F334312"/>
    <w:rsid w:val="3F340649"/>
    <w:rsid w:val="3F714AAA"/>
    <w:rsid w:val="3FCDF3D7"/>
    <w:rsid w:val="3FFB2DC9"/>
    <w:rsid w:val="415A5577"/>
    <w:rsid w:val="423E4A03"/>
    <w:rsid w:val="42615F80"/>
    <w:rsid w:val="4267663F"/>
    <w:rsid w:val="42712ECA"/>
    <w:rsid w:val="442E5162"/>
    <w:rsid w:val="4B8C2CF5"/>
    <w:rsid w:val="4BCF3823"/>
    <w:rsid w:val="4BF19A27"/>
    <w:rsid w:val="4C92091C"/>
    <w:rsid w:val="4D3F3DF2"/>
    <w:rsid w:val="4D7DCAE8"/>
    <w:rsid w:val="4F2E47B3"/>
    <w:rsid w:val="4FBF4A5F"/>
    <w:rsid w:val="4FFB936B"/>
    <w:rsid w:val="50FB50EE"/>
    <w:rsid w:val="51D7E897"/>
    <w:rsid w:val="53306F8A"/>
    <w:rsid w:val="53CF0B3E"/>
    <w:rsid w:val="5424075B"/>
    <w:rsid w:val="544F1CB4"/>
    <w:rsid w:val="5657B79F"/>
    <w:rsid w:val="56A9E594"/>
    <w:rsid w:val="56BAF04A"/>
    <w:rsid w:val="57F70535"/>
    <w:rsid w:val="57FFF303"/>
    <w:rsid w:val="59223937"/>
    <w:rsid w:val="5A7B3186"/>
    <w:rsid w:val="5BAE31C2"/>
    <w:rsid w:val="5F5F254E"/>
    <w:rsid w:val="5F95C4F6"/>
    <w:rsid w:val="5FAAC1DC"/>
    <w:rsid w:val="5FBF89D6"/>
    <w:rsid w:val="5FDDA99F"/>
    <w:rsid w:val="5FE701D5"/>
    <w:rsid w:val="5FFAD1C0"/>
    <w:rsid w:val="5FFE8B00"/>
    <w:rsid w:val="5FFF4934"/>
    <w:rsid w:val="60515150"/>
    <w:rsid w:val="60AE4113"/>
    <w:rsid w:val="617202D1"/>
    <w:rsid w:val="62B85C58"/>
    <w:rsid w:val="62D15FBD"/>
    <w:rsid w:val="630425D7"/>
    <w:rsid w:val="65630380"/>
    <w:rsid w:val="675E62B2"/>
    <w:rsid w:val="67FA23DD"/>
    <w:rsid w:val="69BA1B7A"/>
    <w:rsid w:val="69FF173F"/>
    <w:rsid w:val="6A58BA24"/>
    <w:rsid w:val="6A7A48BA"/>
    <w:rsid w:val="6AFF49B5"/>
    <w:rsid w:val="6AFF69BF"/>
    <w:rsid w:val="6B0C0E6F"/>
    <w:rsid w:val="6BAFF22C"/>
    <w:rsid w:val="6CBF0BAA"/>
    <w:rsid w:val="6D995DCD"/>
    <w:rsid w:val="6DCF2C59"/>
    <w:rsid w:val="6DD3828B"/>
    <w:rsid w:val="6DEFAC6C"/>
    <w:rsid w:val="6DFF2928"/>
    <w:rsid w:val="6E3104E3"/>
    <w:rsid w:val="6E526272"/>
    <w:rsid w:val="6E667520"/>
    <w:rsid w:val="6EDFA0FB"/>
    <w:rsid w:val="6EEE19EE"/>
    <w:rsid w:val="6EEFAAAA"/>
    <w:rsid w:val="6EFF3519"/>
    <w:rsid w:val="6F087E1A"/>
    <w:rsid w:val="6F5D86C3"/>
    <w:rsid w:val="6F70BFF4"/>
    <w:rsid w:val="6FBFC988"/>
    <w:rsid w:val="6FC39934"/>
    <w:rsid w:val="6FDE5657"/>
    <w:rsid w:val="6FDF2D92"/>
    <w:rsid w:val="6FE818FC"/>
    <w:rsid w:val="6FF7AF6F"/>
    <w:rsid w:val="71782674"/>
    <w:rsid w:val="717DB008"/>
    <w:rsid w:val="71E573FD"/>
    <w:rsid w:val="71F59484"/>
    <w:rsid w:val="72EF16B2"/>
    <w:rsid w:val="733FFF0E"/>
    <w:rsid w:val="73ADBBDD"/>
    <w:rsid w:val="73BF51E5"/>
    <w:rsid w:val="7401693F"/>
    <w:rsid w:val="74783718"/>
    <w:rsid w:val="74F7EFA5"/>
    <w:rsid w:val="758663DA"/>
    <w:rsid w:val="75AF9AB4"/>
    <w:rsid w:val="75DF218C"/>
    <w:rsid w:val="75DF8BAB"/>
    <w:rsid w:val="75FE6D1B"/>
    <w:rsid w:val="763AE28F"/>
    <w:rsid w:val="764D3578"/>
    <w:rsid w:val="767301FD"/>
    <w:rsid w:val="76EC3B2A"/>
    <w:rsid w:val="76FFE04C"/>
    <w:rsid w:val="774AD2A6"/>
    <w:rsid w:val="775454CD"/>
    <w:rsid w:val="77735AC3"/>
    <w:rsid w:val="77B6BCBB"/>
    <w:rsid w:val="77BB2C34"/>
    <w:rsid w:val="77CC63A1"/>
    <w:rsid w:val="77ED0DBA"/>
    <w:rsid w:val="786EFCBF"/>
    <w:rsid w:val="788F8D7C"/>
    <w:rsid w:val="78906B95"/>
    <w:rsid w:val="79F94194"/>
    <w:rsid w:val="7A124B07"/>
    <w:rsid w:val="7AC334B2"/>
    <w:rsid w:val="7AEF51EB"/>
    <w:rsid w:val="7BB9B71E"/>
    <w:rsid w:val="7BCA3CC9"/>
    <w:rsid w:val="7BFD303A"/>
    <w:rsid w:val="7BFF224D"/>
    <w:rsid w:val="7BFFE88F"/>
    <w:rsid w:val="7C7F05B6"/>
    <w:rsid w:val="7CCD0104"/>
    <w:rsid w:val="7CFB51F2"/>
    <w:rsid w:val="7D4B1AC9"/>
    <w:rsid w:val="7D6E5AFE"/>
    <w:rsid w:val="7D7726AC"/>
    <w:rsid w:val="7DA2B65D"/>
    <w:rsid w:val="7E3240FF"/>
    <w:rsid w:val="7ED69232"/>
    <w:rsid w:val="7EFD3F1B"/>
    <w:rsid w:val="7EFDC691"/>
    <w:rsid w:val="7EFDE663"/>
    <w:rsid w:val="7F162C09"/>
    <w:rsid w:val="7F4B7FFC"/>
    <w:rsid w:val="7F7A4CD7"/>
    <w:rsid w:val="7FB448BB"/>
    <w:rsid w:val="7FBB6623"/>
    <w:rsid w:val="7FD95250"/>
    <w:rsid w:val="7FDF3698"/>
    <w:rsid w:val="7FDF7DE8"/>
    <w:rsid w:val="7FDFCBF1"/>
    <w:rsid w:val="7FEF8181"/>
    <w:rsid w:val="7FF28475"/>
    <w:rsid w:val="7FF2C9A3"/>
    <w:rsid w:val="7FF58C8D"/>
    <w:rsid w:val="7FFB7EFF"/>
    <w:rsid w:val="7FFCA023"/>
    <w:rsid w:val="7FFECFA0"/>
    <w:rsid w:val="7FFF07BB"/>
    <w:rsid w:val="8DBEF950"/>
    <w:rsid w:val="94ED8B33"/>
    <w:rsid w:val="977D4CE8"/>
    <w:rsid w:val="9B3D59A9"/>
    <w:rsid w:val="9DFB29E3"/>
    <w:rsid w:val="9EDFE29F"/>
    <w:rsid w:val="AD6EE2F6"/>
    <w:rsid w:val="AF367FDD"/>
    <w:rsid w:val="B3DA454A"/>
    <w:rsid w:val="B78D9326"/>
    <w:rsid w:val="B7FF4D14"/>
    <w:rsid w:val="BA7EFC14"/>
    <w:rsid w:val="BB97131C"/>
    <w:rsid w:val="BBD13374"/>
    <w:rsid w:val="BC6D6EDB"/>
    <w:rsid w:val="BCAFF9FF"/>
    <w:rsid w:val="BECE36FA"/>
    <w:rsid w:val="BEE2A9F3"/>
    <w:rsid w:val="BEFEAC31"/>
    <w:rsid w:val="BF96C7F8"/>
    <w:rsid w:val="BFBF2BD5"/>
    <w:rsid w:val="BFBFFA6B"/>
    <w:rsid w:val="BFDBBF15"/>
    <w:rsid w:val="BFED4C60"/>
    <w:rsid w:val="BFF73EA3"/>
    <w:rsid w:val="BFFA7C02"/>
    <w:rsid w:val="BFFED7F2"/>
    <w:rsid w:val="C7FA6F2B"/>
    <w:rsid w:val="CFAECB93"/>
    <w:rsid w:val="CFEB0D55"/>
    <w:rsid w:val="D4EF06C0"/>
    <w:rsid w:val="D5EE1D2D"/>
    <w:rsid w:val="D79B207A"/>
    <w:rsid w:val="D7F92542"/>
    <w:rsid w:val="DBF723AF"/>
    <w:rsid w:val="DBFF6D0A"/>
    <w:rsid w:val="DCE650F0"/>
    <w:rsid w:val="DD7B9FF8"/>
    <w:rsid w:val="DEDF2430"/>
    <w:rsid w:val="DEF5471E"/>
    <w:rsid w:val="DEF87F14"/>
    <w:rsid w:val="DEFBA42E"/>
    <w:rsid w:val="DF2ED0AC"/>
    <w:rsid w:val="DF7D678E"/>
    <w:rsid w:val="DFB22529"/>
    <w:rsid w:val="DFBAEB3A"/>
    <w:rsid w:val="DFDEA316"/>
    <w:rsid w:val="DFFE1CE6"/>
    <w:rsid w:val="DFFF3C67"/>
    <w:rsid w:val="DFFF4D0C"/>
    <w:rsid w:val="DFFFE821"/>
    <w:rsid w:val="E2AFFCD9"/>
    <w:rsid w:val="E3AE527B"/>
    <w:rsid w:val="E77B83EE"/>
    <w:rsid w:val="E7FA760E"/>
    <w:rsid w:val="E7FF75BF"/>
    <w:rsid w:val="EBB3ED8E"/>
    <w:rsid w:val="EBFBDC56"/>
    <w:rsid w:val="EDDF48EF"/>
    <w:rsid w:val="EFC13671"/>
    <w:rsid w:val="EFEEE307"/>
    <w:rsid w:val="EFFF50DC"/>
    <w:rsid w:val="F09F27A6"/>
    <w:rsid w:val="F3B7418E"/>
    <w:rsid w:val="F3DFDE4A"/>
    <w:rsid w:val="F4B99B85"/>
    <w:rsid w:val="F4BB3CA8"/>
    <w:rsid w:val="F679F59C"/>
    <w:rsid w:val="F6DB7BDC"/>
    <w:rsid w:val="F74BE3D4"/>
    <w:rsid w:val="F78AE315"/>
    <w:rsid w:val="F7AF7324"/>
    <w:rsid w:val="F7D88D47"/>
    <w:rsid w:val="F7D97E63"/>
    <w:rsid w:val="F7EF0CAE"/>
    <w:rsid w:val="F9FFA442"/>
    <w:rsid w:val="FABBE87F"/>
    <w:rsid w:val="FBACB135"/>
    <w:rsid w:val="FBB70F4A"/>
    <w:rsid w:val="FBB90BE4"/>
    <w:rsid w:val="FBCBB1A7"/>
    <w:rsid w:val="FBF7EA14"/>
    <w:rsid w:val="FBF7F111"/>
    <w:rsid w:val="FBFF8CD5"/>
    <w:rsid w:val="FC37ED41"/>
    <w:rsid w:val="FCBD7964"/>
    <w:rsid w:val="FCD3A346"/>
    <w:rsid w:val="FDA9C3F0"/>
    <w:rsid w:val="FDD7E0EB"/>
    <w:rsid w:val="FDED5AA7"/>
    <w:rsid w:val="FDEE9E0F"/>
    <w:rsid w:val="FDFB1A86"/>
    <w:rsid w:val="FDFF3ECF"/>
    <w:rsid w:val="FEA75C94"/>
    <w:rsid w:val="FEC75538"/>
    <w:rsid w:val="FEDE8261"/>
    <w:rsid w:val="FEE42A9F"/>
    <w:rsid w:val="FEE7926B"/>
    <w:rsid w:val="FF3F2EE4"/>
    <w:rsid w:val="FF59986E"/>
    <w:rsid w:val="FF67F180"/>
    <w:rsid w:val="FF6FDA54"/>
    <w:rsid w:val="FF7D5BA1"/>
    <w:rsid w:val="FF874A9B"/>
    <w:rsid w:val="FFA553FB"/>
    <w:rsid w:val="FFBAFEB3"/>
    <w:rsid w:val="FFBDE5B6"/>
    <w:rsid w:val="FFBFB68A"/>
    <w:rsid w:val="FFBFEF57"/>
    <w:rsid w:val="FFED80AA"/>
    <w:rsid w:val="FFF90C01"/>
    <w:rsid w:val="FFFA6863"/>
    <w:rsid w:val="FFFE4225"/>
    <w:rsid w:val="FFFF646B"/>
    <w:rsid w:val="FFFF7797"/>
    <w:rsid w:val="FFFFA1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2"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nhideWhenUsed="0" w:uiPriority="0" w:semiHidden="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2"/>
    <w:pPr>
      <w:keepNext/>
      <w:keepLines/>
      <w:numPr>
        <w:ilvl w:val="0"/>
        <w:numId w:val="1"/>
      </w:numPr>
      <w:tabs>
        <w:tab w:val="left" w:pos="420"/>
      </w:tabs>
      <w:spacing w:before="140" w:after="130" w:line="360" w:lineRule="auto"/>
      <w:ind w:left="816" w:firstLine="0"/>
      <w:jc w:val="center"/>
      <w:outlineLvl w:val="0"/>
    </w:pPr>
    <w:rPr>
      <w:b/>
      <w:bCs/>
      <w:sz w:val="32"/>
      <w:szCs w:val="4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表格文字"/>
    <w:basedOn w:val="1"/>
    <w:qFormat/>
    <w:uiPriority w:val="0"/>
    <w:pPr>
      <w:spacing w:line="440" w:lineRule="exact"/>
    </w:pPr>
    <w:rPr>
      <w:rFonts w:ascii="宋体" w:hAnsi="宋体"/>
      <w:szCs w:val="20"/>
    </w:rPr>
  </w:style>
  <w:style w:type="paragraph" w:styleId="4">
    <w:name w:val="annotation text"/>
    <w:basedOn w:val="1"/>
    <w:link w:val="72"/>
    <w:qFormat/>
    <w:uiPriority w:val="0"/>
    <w:pPr>
      <w:jc w:val="left"/>
    </w:pPr>
  </w:style>
  <w:style w:type="paragraph" w:styleId="5">
    <w:name w:val="Body Text"/>
    <w:basedOn w:val="1"/>
    <w:next w:val="1"/>
    <w:qFormat/>
    <w:uiPriority w:val="0"/>
    <w:pPr>
      <w:spacing w:after="120"/>
    </w:pPr>
    <w:rPr>
      <w:kern w:val="0"/>
      <w:sz w:val="24"/>
      <w:szCs w:val="20"/>
    </w:rPr>
  </w:style>
  <w:style w:type="paragraph" w:styleId="6">
    <w:name w:val="Body Text Indent"/>
    <w:basedOn w:val="1"/>
    <w:next w:val="7"/>
    <w:qFormat/>
    <w:uiPriority w:val="0"/>
    <w:pPr>
      <w:ind w:left="420" w:leftChars="200"/>
    </w:pPr>
  </w:style>
  <w:style w:type="paragraph" w:styleId="7">
    <w:name w:val="envelope return"/>
    <w:basedOn w:val="1"/>
    <w:qFormat/>
    <w:uiPriority w:val="0"/>
    <w:pPr>
      <w:adjustRightInd w:val="0"/>
      <w:snapToGrid w:val="0"/>
      <w:spacing w:after="200"/>
      <w:jc w:val="left"/>
    </w:pPr>
    <w:rPr>
      <w:rFonts w:ascii="Arial" w:hAnsi="Arial" w:eastAsia="微软雅黑"/>
      <w:kern w:val="0"/>
      <w:sz w:val="22"/>
      <w:szCs w:val="22"/>
    </w:rPr>
  </w:style>
  <w:style w:type="paragraph" w:styleId="8">
    <w:name w:val="Balloon Text"/>
    <w:basedOn w:val="1"/>
    <w:link w:val="71"/>
    <w:qFormat/>
    <w:uiPriority w:val="0"/>
    <w:rPr>
      <w:sz w:val="18"/>
      <w:szCs w:val="18"/>
    </w:rPr>
  </w:style>
  <w:style w:type="paragraph" w:styleId="9">
    <w:name w:val="footer"/>
    <w:basedOn w:val="1"/>
    <w:link w:val="45"/>
    <w:qFormat/>
    <w:uiPriority w:val="99"/>
    <w:pPr>
      <w:tabs>
        <w:tab w:val="center" w:pos="4153"/>
        <w:tab w:val="right" w:pos="8306"/>
      </w:tabs>
      <w:snapToGrid w:val="0"/>
      <w:jc w:val="left"/>
    </w:pPr>
    <w:rPr>
      <w:sz w:val="18"/>
      <w:szCs w:val="18"/>
    </w:rPr>
  </w:style>
  <w:style w:type="paragraph" w:styleId="10">
    <w:name w:val="header"/>
    <w:basedOn w:val="1"/>
    <w:link w:val="46"/>
    <w:qFormat/>
    <w:uiPriority w:val="0"/>
    <w:pPr>
      <w:pBdr>
        <w:bottom w:val="single" w:color="000000"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annotation subject"/>
    <w:basedOn w:val="4"/>
    <w:next w:val="4"/>
    <w:link w:val="73"/>
    <w:qFormat/>
    <w:uiPriority w:val="0"/>
    <w:rPr>
      <w:b/>
      <w:bCs/>
    </w:rPr>
  </w:style>
  <w:style w:type="paragraph" w:styleId="13">
    <w:name w:val="Body Text First Indent 2"/>
    <w:basedOn w:val="6"/>
    <w:next w:val="5"/>
    <w:qFormat/>
    <w:uiPriority w:val="99"/>
    <w:pPr>
      <w:ind w:firstLine="420"/>
    </w:pPr>
    <w:rPr>
      <w:rFonts w:ascii="Calibri" w:hAnsi="Calibri"/>
      <w:szCs w:val="2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annotation reference"/>
    <w:basedOn w:val="16"/>
    <w:qFormat/>
    <w:uiPriority w:val="0"/>
    <w:rPr>
      <w:sz w:val="21"/>
      <w:szCs w:val="21"/>
    </w:rPr>
  </w:style>
  <w:style w:type="paragraph" w:customStyle="1" w:styleId="20">
    <w:name w:val="正文（首行缩进2字符）"/>
    <w:basedOn w:val="1"/>
    <w:qFormat/>
    <w:uiPriority w:val="0"/>
    <w:pPr>
      <w:ind w:firstLine="440"/>
    </w:pPr>
    <w:rPr>
      <w:rFonts w:ascii="宋体" w:hAnsi="宋体"/>
      <w:kern w:val="0"/>
      <w:sz w:val="22"/>
    </w:rPr>
  </w:style>
  <w:style w:type="paragraph" w:customStyle="1" w:styleId="21">
    <w:name w:val="BodyText1I2"/>
    <w:basedOn w:val="22"/>
    <w:next w:val="24"/>
    <w:qFormat/>
    <w:uiPriority w:val="0"/>
    <w:pPr>
      <w:ind w:firstLine="420"/>
    </w:pPr>
    <w:rPr>
      <w:rFonts w:ascii="Calibri" w:hAnsi="Calibri"/>
      <w:szCs w:val="22"/>
    </w:rPr>
  </w:style>
  <w:style w:type="paragraph" w:customStyle="1" w:styleId="22">
    <w:name w:val="BodyTextIndent"/>
    <w:basedOn w:val="1"/>
    <w:next w:val="23"/>
    <w:link w:val="31"/>
    <w:qFormat/>
    <w:uiPriority w:val="0"/>
    <w:pPr>
      <w:spacing w:after="120"/>
      <w:ind w:left="420" w:leftChars="200"/>
    </w:pPr>
  </w:style>
  <w:style w:type="paragraph" w:customStyle="1" w:styleId="23">
    <w:name w:val="EnvelopeReturn"/>
    <w:basedOn w:val="1"/>
    <w:qFormat/>
    <w:uiPriority w:val="0"/>
    <w:pPr>
      <w:snapToGrid w:val="0"/>
      <w:spacing w:after="200"/>
      <w:jc w:val="left"/>
    </w:pPr>
    <w:rPr>
      <w:rFonts w:ascii="Arial" w:hAnsi="Arial" w:eastAsia="微软雅黑"/>
      <w:kern w:val="0"/>
      <w:sz w:val="22"/>
      <w:szCs w:val="22"/>
    </w:rPr>
  </w:style>
  <w:style w:type="paragraph" w:customStyle="1" w:styleId="24">
    <w:name w:val="BodyText"/>
    <w:basedOn w:val="1"/>
    <w:next w:val="1"/>
    <w:qFormat/>
    <w:uiPriority w:val="0"/>
    <w:pPr>
      <w:spacing w:after="120"/>
    </w:pPr>
    <w:rPr>
      <w:kern w:val="0"/>
      <w:sz w:val="24"/>
      <w:szCs w:val="20"/>
    </w:rPr>
  </w:style>
  <w:style w:type="paragraph" w:customStyle="1" w:styleId="25">
    <w:name w:val="Heading1"/>
    <w:basedOn w:val="1"/>
    <w:next w:val="1"/>
    <w:link w:val="32"/>
    <w:qFormat/>
    <w:uiPriority w:val="0"/>
    <w:pPr>
      <w:keepNext/>
      <w:keepLines/>
      <w:spacing w:before="340" w:after="330" w:line="578" w:lineRule="auto"/>
    </w:pPr>
    <w:rPr>
      <w:b/>
      <w:bCs/>
      <w:kern w:val="44"/>
      <w:sz w:val="44"/>
      <w:szCs w:val="44"/>
    </w:rPr>
  </w:style>
  <w:style w:type="paragraph" w:customStyle="1" w:styleId="26">
    <w:name w:val="Heading2"/>
    <w:basedOn w:val="1"/>
    <w:next w:val="1"/>
    <w:link w:val="33"/>
    <w:qFormat/>
    <w:uiPriority w:val="0"/>
    <w:pPr>
      <w:keepNext/>
      <w:keepLines/>
      <w:spacing w:before="260" w:after="260" w:line="416" w:lineRule="auto"/>
    </w:pPr>
    <w:rPr>
      <w:rFonts w:ascii="Arial" w:hAnsi="Arial" w:eastAsia="黑体"/>
      <w:b/>
      <w:bCs/>
      <w:sz w:val="32"/>
      <w:szCs w:val="32"/>
    </w:rPr>
  </w:style>
  <w:style w:type="paragraph" w:customStyle="1" w:styleId="27">
    <w:name w:val="Heading3"/>
    <w:basedOn w:val="1"/>
    <w:next w:val="1"/>
    <w:qFormat/>
    <w:uiPriority w:val="0"/>
    <w:pPr>
      <w:keepNext/>
      <w:keepLines/>
      <w:spacing w:line="360" w:lineRule="auto"/>
      <w:jc w:val="center"/>
    </w:pPr>
    <w:rPr>
      <w:b/>
      <w:kern w:val="0"/>
      <w:sz w:val="24"/>
      <w:szCs w:val="20"/>
    </w:rPr>
  </w:style>
  <w:style w:type="paragraph" w:customStyle="1" w:styleId="28">
    <w:name w:val="Heading4"/>
    <w:basedOn w:val="1"/>
    <w:next w:val="1"/>
    <w:link w:val="34"/>
    <w:qFormat/>
    <w:uiPriority w:val="0"/>
    <w:pPr>
      <w:keepNext/>
      <w:keepLines/>
      <w:spacing w:before="280" w:after="290" w:line="376" w:lineRule="auto"/>
    </w:pPr>
    <w:rPr>
      <w:rFonts w:ascii="Cambria" w:hAnsi="Cambria"/>
      <w:b/>
      <w:bCs/>
      <w:sz w:val="28"/>
      <w:szCs w:val="28"/>
    </w:rPr>
  </w:style>
  <w:style w:type="character" w:customStyle="1" w:styleId="29">
    <w:name w:val="NormalCharacter"/>
    <w:semiHidden/>
    <w:qFormat/>
    <w:uiPriority w:val="0"/>
  </w:style>
  <w:style w:type="table" w:customStyle="1" w:styleId="30">
    <w:name w:val="TableNormal"/>
    <w:qFormat/>
    <w:uiPriority w:val="0"/>
    <w:tblPr>
      <w:tblCellMar>
        <w:top w:w="0" w:type="dxa"/>
        <w:left w:w="0" w:type="dxa"/>
        <w:bottom w:w="0" w:type="dxa"/>
        <w:right w:w="0" w:type="dxa"/>
      </w:tblCellMar>
    </w:tblPr>
  </w:style>
  <w:style w:type="character" w:customStyle="1" w:styleId="31">
    <w:name w:val="UserStyle_0"/>
    <w:link w:val="22"/>
    <w:qFormat/>
    <w:uiPriority w:val="0"/>
    <w:rPr>
      <w:kern w:val="2"/>
      <w:sz w:val="21"/>
      <w:szCs w:val="24"/>
    </w:rPr>
  </w:style>
  <w:style w:type="character" w:customStyle="1" w:styleId="32">
    <w:name w:val="UserStyle_1"/>
    <w:link w:val="25"/>
    <w:qFormat/>
    <w:uiPriority w:val="0"/>
    <w:rPr>
      <w:rFonts w:cs="Times New Roman"/>
      <w:b/>
      <w:bCs/>
      <w:kern w:val="44"/>
      <w:sz w:val="44"/>
      <w:szCs w:val="44"/>
    </w:rPr>
  </w:style>
  <w:style w:type="character" w:customStyle="1" w:styleId="33">
    <w:name w:val="UserStyle_2"/>
    <w:link w:val="26"/>
    <w:qFormat/>
    <w:uiPriority w:val="0"/>
    <w:rPr>
      <w:rFonts w:ascii="Arial" w:hAnsi="Arial" w:eastAsia="黑体" w:cs="Times New Roman"/>
      <w:b/>
      <w:bCs/>
      <w:kern w:val="2"/>
      <w:sz w:val="32"/>
      <w:szCs w:val="32"/>
    </w:rPr>
  </w:style>
  <w:style w:type="character" w:customStyle="1" w:styleId="34">
    <w:name w:val="UserStyle_3"/>
    <w:link w:val="28"/>
    <w:qFormat/>
    <w:uiPriority w:val="0"/>
    <w:rPr>
      <w:rFonts w:ascii="Cambria" w:hAnsi="Cambria" w:eastAsia="宋体" w:cs="Times New Roman"/>
      <w:b/>
      <w:bCs/>
      <w:kern w:val="2"/>
      <w:sz w:val="28"/>
      <w:szCs w:val="28"/>
    </w:rPr>
  </w:style>
  <w:style w:type="paragraph" w:customStyle="1" w:styleId="35">
    <w:name w:val="TOC7"/>
    <w:basedOn w:val="1"/>
    <w:next w:val="1"/>
    <w:qFormat/>
    <w:uiPriority w:val="0"/>
    <w:pPr>
      <w:ind w:left="1260"/>
      <w:jc w:val="left"/>
    </w:pPr>
    <w:rPr>
      <w:rFonts w:ascii="Calibri" w:hAnsi="Calibri"/>
      <w:sz w:val="18"/>
      <w:szCs w:val="18"/>
    </w:rPr>
  </w:style>
  <w:style w:type="paragraph" w:customStyle="1" w:styleId="36">
    <w:name w:val="NavPane"/>
    <w:basedOn w:val="1"/>
    <w:semiHidden/>
    <w:qFormat/>
    <w:uiPriority w:val="0"/>
    <w:pPr>
      <w:shd w:val="clear" w:color="auto" w:fill="000080"/>
    </w:pPr>
  </w:style>
  <w:style w:type="paragraph" w:customStyle="1" w:styleId="37">
    <w:name w:val="AnnotationText"/>
    <w:basedOn w:val="1"/>
    <w:link w:val="38"/>
    <w:qFormat/>
    <w:uiPriority w:val="0"/>
    <w:pPr>
      <w:jc w:val="left"/>
    </w:pPr>
  </w:style>
  <w:style w:type="character" w:customStyle="1" w:styleId="38">
    <w:name w:val="UserStyle_4"/>
    <w:link w:val="37"/>
    <w:qFormat/>
    <w:uiPriority w:val="0"/>
    <w:rPr>
      <w:kern w:val="2"/>
      <w:sz w:val="21"/>
      <w:szCs w:val="24"/>
    </w:rPr>
  </w:style>
  <w:style w:type="paragraph" w:customStyle="1" w:styleId="39">
    <w:name w:val="TOC5"/>
    <w:basedOn w:val="1"/>
    <w:next w:val="1"/>
    <w:qFormat/>
    <w:uiPriority w:val="0"/>
    <w:pPr>
      <w:ind w:left="840"/>
      <w:jc w:val="left"/>
    </w:pPr>
    <w:rPr>
      <w:rFonts w:ascii="Calibri" w:hAnsi="Calibri"/>
      <w:sz w:val="18"/>
      <w:szCs w:val="18"/>
    </w:rPr>
  </w:style>
  <w:style w:type="paragraph" w:customStyle="1" w:styleId="40">
    <w:name w:val="TOC3"/>
    <w:basedOn w:val="1"/>
    <w:next w:val="1"/>
    <w:qFormat/>
    <w:uiPriority w:val="0"/>
    <w:pPr>
      <w:ind w:left="420"/>
      <w:jc w:val="left"/>
    </w:pPr>
    <w:rPr>
      <w:rFonts w:ascii="Calibri" w:hAnsi="Calibri"/>
      <w:i/>
      <w:iCs/>
      <w:sz w:val="20"/>
      <w:szCs w:val="20"/>
    </w:rPr>
  </w:style>
  <w:style w:type="paragraph" w:customStyle="1" w:styleId="41">
    <w:name w:val="PlainText"/>
    <w:basedOn w:val="1"/>
    <w:link w:val="42"/>
    <w:qFormat/>
    <w:uiPriority w:val="0"/>
    <w:pPr>
      <w:numPr>
        <w:ilvl w:val="0"/>
        <w:numId w:val="2"/>
      </w:numPr>
    </w:pPr>
    <w:rPr>
      <w:rFonts w:ascii="宋体" w:hAnsi="Courier New"/>
      <w:szCs w:val="21"/>
    </w:rPr>
  </w:style>
  <w:style w:type="character" w:customStyle="1" w:styleId="42">
    <w:name w:val="UserStyle_5"/>
    <w:link w:val="41"/>
    <w:qFormat/>
    <w:uiPriority w:val="0"/>
    <w:rPr>
      <w:rFonts w:ascii="宋体" w:hAnsi="Courier New"/>
      <w:kern w:val="2"/>
      <w:sz w:val="21"/>
      <w:szCs w:val="21"/>
    </w:rPr>
  </w:style>
  <w:style w:type="paragraph" w:customStyle="1" w:styleId="43">
    <w:name w:val="TOC8"/>
    <w:basedOn w:val="1"/>
    <w:next w:val="1"/>
    <w:qFormat/>
    <w:uiPriority w:val="0"/>
    <w:pPr>
      <w:ind w:left="1470"/>
      <w:jc w:val="left"/>
    </w:pPr>
    <w:rPr>
      <w:rFonts w:ascii="Calibri" w:hAnsi="Calibri"/>
      <w:sz w:val="18"/>
      <w:szCs w:val="18"/>
    </w:rPr>
  </w:style>
  <w:style w:type="paragraph" w:customStyle="1" w:styleId="44">
    <w:name w:val="Acetate"/>
    <w:basedOn w:val="1"/>
    <w:semiHidden/>
    <w:qFormat/>
    <w:uiPriority w:val="0"/>
    <w:rPr>
      <w:sz w:val="18"/>
      <w:szCs w:val="18"/>
    </w:rPr>
  </w:style>
  <w:style w:type="character" w:customStyle="1" w:styleId="45">
    <w:name w:val="页脚 Char"/>
    <w:link w:val="9"/>
    <w:qFormat/>
    <w:uiPriority w:val="99"/>
    <w:rPr>
      <w:kern w:val="2"/>
      <w:sz w:val="18"/>
      <w:szCs w:val="18"/>
    </w:rPr>
  </w:style>
  <w:style w:type="character" w:customStyle="1" w:styleId="46">
    <w:name w:val="页眉 Char"/>
    <w:link w:val="10"/>
    <w:qFormat/>
    <w:uiPriority w:val="0"/>
    <w:rPr>
      <w:kern w:val="2"/>
      <w:sz w:val="18"/>
      <w:szCs w:val="18"/>
    </w:rPr>
  </w:style>
  <w:style w:type="paragraph" w:customStyle="1" w:styleId="47">
    <w:name w:val="TOC1"/>
    <w:basedOn w:val="1"/>
    <w:next w:val="1"/>
    <w:qFormat/>
    <w:uiPriority w:val="0"/>
    <w:pPr>
      <w:spacing w:before="120" w:after="120"/>
      <w:jc w:val="left"/>
    </w:pPr>
    <w:rPr>
      <w:rFonts w:ascii="Calibri" w:hAnsi="Calibri" w:cs="Calibri"/>
      <w:b/>
      <w:bCs/>
      <w:caps/>
      <w:sz w:val="20"/>
      <w:szCs w:val="20"/>
    </w:rPr>
  </w:style>
  <w:style w:type="paragraph" w:customStyle="1" w:styleId="48">
    <w:name w:val="TOC4"/>
    <w:basedOn w:val="1"/>
    <w:next w:val="1"/>
    <w:qFormat/>
    <w:uiPriority w:val="0"/>
    <w:pPr>
      <w:ind w:left="630"/>
      <w:jc w:val="left"/>
    </w:pPr>
    <w:rPr>
      <w:rFonts w:ascii="Calibri" w:hAnsi="Calibri"/>
      <w:sz w:val="18"/>
      <w:szCs w:val="18"/>
    </w:rPr>
  </w:style>
  <w:style w:type="paragraph" w:customStyle="1" w:styleId="49">
    <w:name w:val="FootnoteText"/>
    <w:basedOn w:val="1"/>
    <w:link w:val="50"/>
    <w:qFormat/>
    <w:uiPriority w:val="0"/>
    <w:pPr>
      <w:snapToGrid w:val="0"/>
      <w:jc w:val="left"/>
    </w:pPr>
    <w:rPr>
      <w:sz w:val="18"/>
      <w:szCs w:val="18"/>
    </w:rPr>
  </w:style>
  <w:style w:type="character" w:customStyle="1" w:styleId="50">
    <w:name w:val="UserStyle_8"/>
    <w:link w:val="49"/>
    <w:qFormat/>
    <w:uiPriority w:val="0"/>
    <w:rPr>
      <w:kern w:val="2"/>
      <w:sz w:val="18"/>
      <w:szCs w:val="18"/>
    </w:rPr>
  </w:style>
  <w:style w:type="paragraph" w:customStyle="1" w:styleId="51">
    <w:name w:val="TOC6"/>
    <w:basedOn w:val="1"/>
    <w:next w:val="1"/>
    <w:qFormat/>
    <w:uiPriority w:val="0"/>
    <w:pPr>
      <w:ind w:left="1050"/>
      <w:jc w:val="left"/>
    </w:pPr>
    <w:rPr>
      <w:rFonts w:ascii="Calibri" w:hAnsi="Calibri"/>
      <w:sz w:val="18"/>
      <w:szCs w:val="18"/>
    </w:rPr>
  </w:style>
  <w:style w:type="paragraph" w:customStyle="1" w:styleId="52">
    <w:name w:val="TOC2"/>
    <w:basedOn w:val="1"/>
    <w:next w:val="1"/>
    <w:qFormat/>
    <w:uiPriority w:val="0"/>
    <w:pPr>
      <w:ind w:left="210"/>
      <w:jc w:val="left"/>
    </w:pPr>
    <w:rPr>
      <w:rFonts w:ascii="Calibri" w:hAnsi="Calibri"/>
      <w:smallCaps/>
      <w:sz w:val="20"/>
      <w:szCs w:val="20"/>
    </w:rPr>
  </w:style>
  <w:style w:type="paragraph" w:customStyle="1" w:styleId="53">
    <w:name w:val="TOC9"/>
    <w:basedOn w:val="1"/>
    <w:next w:val="1"/>
    <w:qFormat/>
    <w:uiPriority w:val="0"/>
    <w:pPr>
      <w:ind w:left="1680"/>
      <w:jc w:val="left"/>
    </w:pPr>
    <w:rPr>
      <w:rFonts w:ascii="Calibri" w:hAnsi="Calibri"/>
      <w:sz w:val="18"/>
      <w:szCs w:val="18"/>
    </w:rPr>
  </w:style>
  <w:style w:type="paragraph" w:customStyle="1" w:styleId="54">
    <w:name w:val="HtmlNormal"/>
    <w:basedOn w:val="1"/>
    <w:qFormat/>
    <w:uiPriority w:val="0"/>
    <w:pPr>
      <w:spacing w:before="100" w:beforeAutospacing="1" w:after="100" w:afterAutospacing="1"/>
      <w:jc w:val="left"/>
    </w:pPr>
    <w:rPr>
      <w:kern w:val="0"/>
      <w:sz w:val="24"/>
    </w:rPr>
  </w:style>
  <w:style w:type="paragraph" w:customStyle="1" w:styleId="55">
    <w:name w:val="AnnotationSubject"/>
    <w:basedOn w:val="37"/>
    <w:next w:val="37"/>
    <w:semiHidden/>
    <w:qFormat/>
    <w:uiPriority w:val="0"/>
    <w:rPr>
      <w:b/>
      <w:bCs/>
    </w:rPr>
  </w:style>
  <w:style w:type="table" w:customStyle="1" w:styleId="56">
    <w:name w:val="TableGrid"/>
    <w:basedOn w:val="30"/>
    <w:qFormat/>
    <w:uiPriority w:val="0"/>
    <w:tblPr>
      <w:tblCellMar>
        <w:top w:w="0" w:type="dxa"/>
        <w:left w:w="0" w:type="dxa"/>
        <w:bottom w:w="0" w:type="dxa"/>
        <w:right w:w="0" w:type="dxa"/>
      </w:tblCellMar>
    </w:tblPr>
  </w:style>
  <w:style w:type="character" w:customStyle="1" w:styleId="57">
    <w:name w:val="PageNumber"/>
    <w:qFormat/>
    <w:uiPriority w:val="0"/>
  </w:style>
  <w:style w:type="character" w:customStyle="1" w:styleId="58">
    <w:name w:val="AnnotationReference"/>
    <w:semiHidden/>
    <w:qFormat/>
    <w:uiPriority w:val="0"/>
    <w:rPr>
      <w:sz w:val="21"/>
      <w:szCs w:val="21"/>
    </w:rPr>
  </w:style>
  <w:style w:type="character" w:customStyle="1" w:styleId="59">
    <w:name w:val="FootnoteReference"/>
    <w:qFormat/>
    <w:uiPriority w:val="0"/>
    <w:rPr>
      <w:vertAlign w:val="superscript"/>
    </w:rPr>
  </w:style>
  <w:style w:type="character" w:customStyle="1" w:styleId="60">
    <w:name w:val="263"/>
    <w:qFormat/>
    <w:uiPriority w:val="0"/>
    <w:rPr>
      <w:rFonts w:cs="Times New Roman"/>
      <w:b/>
      <w:bCs/>
      <w:smallCaps/>
      <w:color w:val="C0504D"/>
      <w:spacing w:val="5"/>
      <w:u w:val="single"/>
    </w:rPr>
  </w:style>
  <w:style w:type="character" w:customStyle="1" w:styleId="61">
    <w:name w:val="262"/>
    <w:qFormat/>
    <w:uiPriority w:val="0"/>
    <w:rPr>
      <w:smallCaps/>
      <w:color w:val="C0504D"/>
      <w:u w:val="single"/>
    </w:rPr>
  </w:style>
  <w:style w:type="character" w:customStyle="1" w:styleId="62">
    <w:name w:val="UserStyle_9"/>
    <w:qFormat/>
    <w:uiPriority w:val="0"/>
    <w:rPr>
      <w:color w:val="0000FF"/>
      <w:u w:val="double"/>
    </w:rPr>
  </w:style>
  <w:style w:type="character" w:customStyle="1" w:styleId="63">
    <w:name w:val="UserStyle_10"/>
    <w:link w:val="64"/>
    <w:qFormat/>
    <w:locked/>
    <w:uiPriority w:val="0"/>
    <w:rPr>
      <w:kern w:val="2"/>
      <w:sz w:val="21"/>
      <w:szCs w:val="24"/>
    </w:rPr>
  </w:style>
  <w:style w:type="paragraph" w:customStyle="1" w:styleId="64">
    <w:name w:val="179"/>
    <w:basedOn w:val="1"/>
    <w:link w:val="63"/>
    <w:qFormat/>
    <w:uiPriority w:val="0"/>
    <w:pPr>
      <w:ind w:firstLine="420" w:firstLineChars="200"/>
    </w:pPr>
  </w:style>
  <w:style w:type="character" w:customStyle="1" w:styleId="65">
    <w:name w:val="UserStyle_11"/>
    <w:qFormat/>
    <w:uiPriority w:val="0"/>
    <w:rPr>
      <w:color w:val="000000"/>
      <w:sz w:val="24"/>
      <w:szCs w:val="24"/>
    </w:rPr>
  </w:style>
  <w:style w:type="paragraph" w:customStyle="1" w:styleId="66">
    <w:name w:val="178"/>
    <w:semiHidden/>
    <w:qFormat/>
    <w:uiPriority w:val="0"/>
    <w:pPr>
      <w:textAlignment w:val="baseline"/>
    </w:pPr>
    <w:rPr>
      <w:rFonts w:ascii="Times New Roman" w:hAnsi="Times New Roman" w:eastAsia="宋体" w:cs="Times New Roman"/>
      <w:kern w:val="2"/>
      <w:sz w:val="21"/>
      <w:szCs w:val="24"/>
      <w:lang w:val="en-US" w:eastAsia="zh-CN" w:bidi="ar-SA"/>
    </w:rPr>
  </w:style>
  <w:style w:type="paragraph" w:customStyle="1" w:styleId="67">
    <w:name w:val="UserStyle_12"/>
    <w:basedOn w:val="1"/>
    <w:qFormat/>
    <w:uiPriority w:val="0"/>
    <w:pPr>
      <w:spacing w:line="360" w:lineRule="auto"/>
    </w:pPr>
    <w:rPr>
      <w:kern w:val="0"/>
      <w:sz w:val="24"/>
      <w:szCs w:val="20"/>
    </w:rPr>
  </w:style>
  <w:style w:type="paragraph" w:customStyle="1" w:styleId="68">
    <w:name w:val="UserStyle_13"/>
    <w:qFormat/>
    <w:uiPriority w:val="0"/>
    <w:pPr>
      <w:textAlignment w:val="baseline"/>
    </w:pPr>
    <w:rPr>
      <w:rFonts w:ascii="Times New Roman" w:hAnsi="Times New Roman" w:eastAsia="宋体" w:cs="Times New Roman"/>
      <w:color w:val="000000"/>
      <w:sz w:val="24"/>
      <w:szCs w:val="24"/>
      <w:lang w:val="en-US" w:eastAsia="zh-CN" w:bidi="ar-SA"/>
    </w:rPr>
  </w:style>
  <w:style w:type="paragraph" w:customStyle="1" w:styleId="69">
    <w:name w:val="UserStyle_14"/>
    <w:basedOn w:val="25"/>
    <w:qFormat/>
    <w:uiPriority w:val="0"/>
    <w:pPr>
      <w:tabs>
        <w:tab w:val="right" w:pos="9000"/>
      </w:tabs>
      <w:spacing w:before="120" w:after="120" w:line="260" w:lineRule="exact"/>
      <w:ind w:right="12"/>
      <w:jc w:val="center"/>
    </w:pPr>
    <w:rPr>
      <w:rFonts w:ascii="宋体" w:hAnsi="宋体" w:cs="Arial"/>
      <w:kern w:val="0"/>
      <w:sz w:val="24"/>
      <w:szCs w:val="20"/>
    </w:rPr>
  </w:style>
  <w:style w:type="paragraph" w:customStyle="1" w:styleId="70">
    <w:name w:val="Nul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customStyle="1" w:styleId="71">
    <w:name w:val="批注框文本 Char"/>
    <w:basedOn w:val="16"/>
    <w:link w:val="8"/>
    <w:qFormat/>
    <w:uiPriority w:val="0"/>
    <w:rPr>
      <w:kern w:val="2"/>
      <w:sz w:val="18"/>
      <w:szCs w:val="18"/>
    </w:rPr>
  </w:style>
  <w:style w:type="character" w:customStyle="1" w:styleId="72">
    <w:name w:val="批注文字 Char"/>
    <w:basedOn w:val="16"/>
    <w:link w:val="4"/>
    <w:qFormat/>
    <w:uiPriority w:val="0"/>
    <w:rPr>
      <w:kern w:val="2"/>
      <w:sz w:val="21"/>
      <w:szCs w:val="24"/>
    </w:rPr>
  </w:style>
  <w:style w:type="character" w:customStyle="1" w:styleId="73">
    <w:name w:val="批注主题 Char"/>
    <w:basedOn w:val="72"/>
    <w:link w:val="12"/>
    <w:qFormat/>
    <w:uiPriority w:val="0"/>
    <w:rPr>
      <w:kern w:val="2"/>
      <w:sz w:val="21"/>
      <w:szCs w:val="24"/>
    </w:rPr>
  </w:style>
  <w:style w:type="paragraph" w:customStyle="1" w:styleId="74">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7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e46dcf0-d506-4b8b-a73f-31ba62e3e5ab}"/>
        <w:style w:val=""/>
        <w:category>
          <w:name w:val="常规"/>
          <w:gallery w:val="placeholder"/>
        </w:category>
        <w:types>
          <w:type w:val="bbPlcHdr"/>
        </w:types>
        <w:behaviors>
          <w:behavior w:val="content"/>
        </w:behaviors>
        <w:description w:val=""/>
        <w:guid w:val="{ce46dcf0-d506-4b8b-a73f-31ba62e3e5ab}"/>
      </w:docPartPr>
      <w:docPartBody>
        <w:p w14:paraId="62E27D02">
          <w:r>
            <w:rPr>
              <w:color w:val="808080"/>
            </w:rPr>
            <w:t>单击此处输入文字。</w:t>
          </w:r>
        </w:p>
      </w:docPartBody>
    </w:docPart>
    <w:docPart>
      <w:docPartPr>
        <w:name w:val="{01ff8e8b-b980-4e54-b023-14e88bb1ddf5}"/>
        <w:style w:val=""/>
        <w:category>
          <w:name w:val="常规"/>
          <w:gallery w:val="placeholder"/>
        </w:category>
        <w:types>
          <w:type w:val="bbPlcHdr"/>
        </w:types>
        <w:behaviors>
          <w:behavior w:val="content"/>
        </w:behaviors>
        <w:description w:val=""/>
        <w:guid w:val="{01ff8e8b-b980-4e54-b023-14e88bb1ddf5}"/>
      </w:docPartPr>
      <w:docPartBody>
        <w:p w14:paraId="56B3BE77">
          <w:r>
            <w:rPr>
              <w:color w:val="808080"/>
            </w:rPr>
            <w:t>单击此处输入文字。</w:t>
          </w:r>
        </w:p>
      </w:docPartBody>
    </w:docPart>
    <w:docPart>
      <w:docPartPr>
        <w:name w:val="{05446166-63bf-4956-8b7e-2000aad92d8e}"/>
        <w:style w:val=""/>
        <w:category>
          <w:name w:val="常规"/>
          <w:gallery w:val="placeholder"/>
        </w:category>
        <w:types>
          <w:type w:val="bbPlcHdr"/>
        </w:types>
        <w:behaviors>
          <w:behavior w:val="content"/>
        </w:behaviors>
        <w:description w:val=""/>
        <w:guid w:val="{05446166-63bf-4956-8b7e-2000aad92d8e}"/>
      </w:docPartPr>
      <w:docPartBody>
        <w:p w14:paraId="1C7A2EF1">
          <w:r>
            <w:rPr>
              <w:color w:val="808080"/>
            </w:rPr>
            <w:t>单击此处输入文字。</w:t>
          </w:r>
        </w:p>
      </w:docPartBody>
    </w:docPart>
    <w:docPart>
      <w:docPartPr>
        <w:name w:val="{94571012-ddfc-4ab7-b10e-088ddc6fe518}"/>
        <w:style w:val=""/>
        <w:category>
          <w:name w:val="常规"/>
          <w:gallery w:val="placeholder"/>
        </w:category>
        <w:types>
          <w:type w:val="bbPlcHdr"/>
        </w:types>
        <w:behaviors>
          <w:behavior w:val="content"/>
        </w:behaviors>
        <w:description w:val=""/>
        <w:guid w:val="{94571012-ddfc-4ab7-b10e-088ddc6fe518}"/>
      </w:docPartPr>
      <w:docPartBody>
        <w:p w14:paraId="0C0E3A5B">
          <w:r>
            <w:rPr>
              <w:color w:val="808080"/>
            </w:rPr>
            <w:t>单击此处输入文字。</w:t>
          </w:r>
        </w:p>
      </w:docPartBody>
    </w:docPart>
    <w:docPart>
      <w:docPartPr>
        <w:name w:val="{438f15fe-f1b6-47c2-97c7-f3a8c0d0d109}"/>
        <w:style w:val=""/>
        <w:category>
          <w:name w:val="常规"/>
          <w:gallery w:val="placeholder"/>
        </w:category>
        <w:types>
          <w:type w:val="bbPlcHdr"/>
        </w:types>
        <w:behaviors>
          <w:behavior w:val="content"/>
        </w:behaviors>
        <w:description w:val=""/>
        <w:guid w:val="{438f15fe-f1b6-47c2-97c7-f3a8c0d0d109}"/>
      </w:docPartPr>
      <w:docPartBody>
        <w:p w14:paraId="19FF6CA6">
          <w:r>
            <w:rPr>
              <w:color w:val="808080"/>
            </w:rPr>
            <w:t>单击此处输入文字。</w:t>
          </w:r>
        </w:p>
      </w:docPartBody>
    </w:docPart>
    <w:docPart>
      <w:docPartPr>
        <w:name w:val="{339f9773-662d-423d-8ed0-d80d2217cfd5}"/>
        <w:style w:val=""/>
        <w:category>
          <w:name w:val="常规"/>
          <w:gallery w:val="placeholder"/>
        </w:category>
        <w:types>
          <w:type w:val="bbPlcHdr"/>
        </w:types>
        <w:behaviors>
          <w:behavior w:val="content"/>
        </w:behaviors>
        <w:description w:val=""/>
        <w:guid w:val="{339f9773-662d-423d-8ed0-d80d2217cfd5}"/>
      </w:docPartPr>
      <w:docPartBody>
        <w:p w14:paraId="7D85B6D7">
          <w:r>
            <w:rPr>
              <w:color w:val="808080"/>
            </w:rPr>
            <w:t>单击此处输入文字。</w:t>
          </w:r>
        </w:p>
      </w:docPartBody>
    </w:docPart>
    <w:docPart>
      <w:docPartPr>
        <w:name w:val="{76ddeceb-363c-46b4-9188-86b4df8fed2f}"/>
        <w:style w:val=""/>
        <w:category>
          <w:name w:val="常规"/>
          <w:gallery w:val="placeholder"/>
        </w:category>
        <w:types>
          <w:type w:val="bbPlcHdr"/>
        </w:types>
        <w:behaviors>
          <w:behavior w:val="content"/>
        </w:behaviors>
        <w:description w:val=""/>
        <w:guid w:val="{76ddeceb-363c-46b4-9188-86b4df8fed2f}"/>
      </w:docPartPr>
      <w:docPartBody>
        <w:p w14:paraId="36BE9BED">
          <w:r>
            <w:rPr>
              <w:color w:val="808080"/>
            </w:rPr>
            <w:t>单击此处输入文字。</w:t>
          </w:r>
        </w:p>
      </w:docPartBody>
    </w:docPart>
    <w:docPart>
      <w:docPartPr>
        <w:name w:val="{4a13e551-741b-41ee-87e8-c675a758c1e5}"/>
        <w:style w:val=""/>
        <w:category>
          <w:name w:val="常规"/>
          <w:gallery w:val="placeholder"/>
        </w:category>
        <w:types>
          <w:type w:val="bbPlcHdr"/>
        </w:types>
        <w:behaviors>
          <w:behavior w:val="content"/>
        </w:behaviors>
        <w:description w:val=""/>
        <w:guid w:val="{4a13e551-741b-41ee-87e8-c675a758c1e5}"/>
      </w:docPartPr>
      <w:docPartBody>
        <w:p w14:paraId="7F7CE76E">
          <w:r>
            <w:rPr>
              <w:color w:val="808080"/>
            </w:rPr>
            <w:t>单击此处输入文字。</w:t>
          </w:r>
        </w:p>
      </w:docPartBody>
    </w:docPart>
    <w:docPart>
      <w:docPartPr>
        <w:name w:val="{7e7b71ef-86ab-470a-a3f4-134fedfd4e1f}"/>
        <w:style w:val=""/>
        <w:category>
          <w:name w:val="常规"/>
          <w:gallery w:val="placeholder"/>
        </w:category>
        <w:types>
          <w:type w:val="bbPlcHdr"/>
        </w:types>
        <w:behaviors>
          <w:behavior w:val="content"/>
        </w:behaviors>
        <w:description w:val=""/>
        <w:guid w:val="{7e7b71ef-86ab-470a-a3f4-134fedfd4e1f}"/>
      </w:docPartPr>
      <w:docPartBody>
        <w:p w14:paraId="1F366007">
          <w:r>
            <w:rPr>
              <w:color w:val="808080"/>
            </w:rPr>
            <w:t>单击此处输入文字。</w:t>
          </w:r>
        </w:p>
      </w:docPartBody>
    </w:docPart>
    <w:docPart>
      <w:docPartPr>
        <w:name w:val="{661c12d5-712f-481a-a57b-c7d5c157d55e}"/>
        <w:style w:val=""/>
        <w:category>
          <w:name w:val="常规"/>
          <w:gallery w:val="placeholder"/>
        </w:category>
        <w:types>
          <w:type w:val="bbPlcHdr"/>
        </w:types>
        <w:behaviors>
          <w:behavior w:val="content"/>
        </w:behaviors>
        <w:description w:val=""/>
        <w:guid w:val="{661c12d5-712f-481a-a57b-c7d5c157d55e}"/>
      </w:docPartPr>
      <w:docPartBody>
        <w:p w14:paraId="52B11939">
          <w:r>
            <w:rPr>
              <w:color w:val="808080"/>
            </w:rPr>
            <w:t>单击此处输入文字。</w:t>
          </w:r>
        </w:p>
      </w:docPartBody>
    </w:docPart>
    <w:docPart>
      <w:docPartPr>
        <w:name w:val="{06c67929-933c-47da-8030-d17a8daf1ff2}"/>
        <w:style w:val=""/>
        <w:category>
          <w:name w:val="常规"/>
          <w:gallery w:val="placeholder"/>
        </w:category>
        <w:types>
          <w:type w:val="bbPlcHdr"/>
        </w:types>
        <w:behaviors>
          <w:behavior w:val="content"/>
        </w:behaviors>
        <w:description w:val=""/>
        <w:guid w:val="{06c67929-933c-47da-8030-d17a8daf1ff2}"/>
      </w:docPartPr>
      <w:docPartBody>
        <w:p w14:paraId="6C9A7A8C">
          <w:r>
            <w:rPr>
              <w:color w:val="808080"/>
            </w:rPr>
            <w:t>单击此处输入文字。</w:t>
          </w:r>
        </w:p>
      </w:docPartBody>
    </w:docPart>
    <w:docPart>
      <w:docPartPr>
        <w:name w:val="{31e1151f-63be-46d6-bb6c-c3947e15fe74}"/>
        <w:style w:val=""/>
        <w:category>
          <w:name w:val="常规"/>
          <w:gallery w:val="placeholder"/>
        </w:category>
        <w:types>
          <w:type w:val="bbPlcHdr"/>
        </w:types>
        <w:behaviors>
          <w:behavior w:val="content"/>
        </w:behaviors>
        <w:description w:val=""/>
        <w:guid w:val="{31e1151f-63be-46d6-bb6c-c3947e15fe74}"/>
      </w:docPartPr>
      <w:docPartBody>
        <w:p w14:paraId="1C8483F9">
          <w:r>
            <w:rPr>
              <w:color w:val="808080"/>
            </w:rPr>
            <w:t>单击此处输入文字。</w:t>
          </w:r>
        </w:p>
      </w:docPartBody>
    </w:docPart>
    <w:docPart>
      <w:docPartPr>
        <w:name w:val="{389aa30d-b264-4d1c-a821-186d5570680d}"/>
        <w:style w:val=""/>
        <w:category>
          <w:name w:val="常规"/>
          <w:gallery w:val="placeholder"/>
        </w:category>
        <w:types>
          <w:type w:val="bbPlcHdr"/>
        </w:types>
        <w:behaviors>
          <w:behavior w:val="content"/>
        </w:behaviors>
        <w:description w:val=""/>
        <w:guid w:val="{389aa30d-b264-4d1c-a821-186d5570680d}"/>
      </w:docPartPr>
      <w:docPartBody>
        <w:p w14:paraId="22EABA59">
          <w:r>
            <w:rPr>
              <w:color w:val="808080"/>
            </w:rPr>
            <w:t>单击此处输入文字。</w:t>
          </w:r>
        </w:p>
      </w:docPartBody>
    </w:docPart>
    <w:docPart>
      <w:docPartPr>
        <w:name w:val="{702455a5-6a9f-4e75-966d-b7e30e0cbdc4}"/>
        <w:style w:val=""/>
        <w:category>
          <w:name w:val="常规"/>
          <w:gallery w:val="placeholder"/>
        </w:category>
        <w:types>
          <w:type w:val="bbPlcHdr"/>
        </w:types>
        <w:behaviors>
          <w:behavior w:val="content"/>
        </w:behaviors>
        <w:description w:val=""/>
        <w:guid w:val="{702455a5-6a9f-4e75-966d-b7e30e0cbdc4}"/>
      </w:docPartPr>
      <w:docPartBody>
        <w:p w14:paraId="1258EFDE">
          <w:r>
            <w:rPr>
              <w:color w:val="808080"/>
            </w:rPr>
            <w:t>单击此处输入文字。</w:t>
          </w:r>
        </w:p>
      </w:docPartBody>
    </w:docPart>
    <w:docPart>
      <w:docPartPr>
        <w:name w:val="{9e6d2f5e-84a6-406f-8a13-735fd59bb2a4}"/>
        <w:style w:val=""/>
        <w:category>
          <w:name w:val="常规"/>
          <w:gallery w:val="placeholder"/>
        </w:category>
        <w:types>
          <w:type w:val="bbPlcHdr"/>
        </w:types>
        <w:behaviors>
          <w:behavior w:val="content"/>
        </w:behaviors>
        <w:description w:val=""/>
        <w:guid w:val="{9e6d2f5e-84a6-406f-8a13-735fd59bb2a4}"/>
      </w:docPartPr>
      <w:docPartBody>
        <w:p w14:paraId="7F8B5458">
          <w:r>
            <w:rPr>
              <w:color w:val="808080"/>
            </w:rPr>
            <w:t>单击此处输入文字。</w:t>
          </w:r>
        </w:p>
      </w:docPartBody>
    </w:docPart>
    <w:docPart>
      <w:docPartPr>
        <w:name w:val="{70b13660-5c91-4177-ad4d-659728bec55c}"/>
        <w:style w:val=""/>
        <w:category>
          <w:name w:val="常规"/>
          <w:gallery w:val="placeholder"/>
        </w:category>
        <w:types>
          <w:type w:val="bbPlcHdr"/>
        </w:types>
        <w:behaviors>
          <w:behavior w:val="content"/>
        </w:behaviors>
        <w:description w:val=""/>
        <w:guid w:val="{70b13660-5c91-4177-ad4d-659728bec55c}"/>
      </w:docPartPr>
      <w:docPartBody>
        <w:p w14:paraId="23AEDE43">
          <w:r>
            <w:rPr>
              <w:color w:val="808080"/>
            </w:rPr>
            <w:t>单击此处输入文字。</w:t>
          </w:r>
        </w:p>
      </w:docPartBody>
    </w:docPart>
    <w:docPart>
      <w:docPartPr>
        <w:name w:val="{b0976ce4-9e2d-43b1-9c1b-86424591b335}"/>
        <w:style w:val=""/>
        <w:category>
          <w:name w:val="常规"/>
          <w:gallery w:val="placeholder"/>
        </w:category>
        <w:types>
          <w:type w:val="bbPlcHdr"/>
        </w:types>
        <w:behaviors>
          <w:behavior w:val="content"/>
        </w:behaviors>
        <w:description w:val=""/>
        <w:guid w:val="{b0976ce4-9e2d-43b1-9c1b-86424591b335}"/>
      </w:docPartPr>
      <w:docPartBody>
        <w:p w14:paraId="118AEF89">
          <w:r>
            <w:rPr>
              <w:color w:val="808080"/>
            </w:rPr>
            <w:t>单击此处输入文字。</w:t>
          </w:r>
        </w:p>
      </w:docPartBody>
    </w:docPart>
    <w:docPart>
      <w:docPartPr>
        <w:name w:val="{94f8749b-66e9-49f0-bf02-0cb236f0cf04}"/>
        <w:style w:val=""/>
        <w:category>
          <w:name w:val="常规"/>
          <w:gallery w:val="placeholder"/>
        </w:category>
        <w:types>
          <w:type w:val="bbPlcHdr"/>
        </w:types>
        <w:behaviors>
          <w:behavior w:val="content"/>
        </w:behaviors>
        <w:description w:val=""/>
        <w:guid w:val="{94f8749b-66e9-49f0-bf02-0cb236f0cf04}"/>
      </w:docPartPr>
      <w:docPartBody>
        <w:p w14:paraId="4886BC3C">
          <w:r>
            <w:rPr>
              <w:color w:val="808080"/>
            </w:rPr>
            <w:t>单击此处输入文字。</w:t>
          </w:r>
        </w:p>
      </w:docPartBody>
    </w:docPart>
    <w:docPart>
      <w:docPartPr>
        <w:name w:val="{7b7155f7-a028-4992-8cc4-85f85b6337e6}"/>
        <w:style w:val=""/>
        <w:category>
          <w:name w:val="常规"/>
          <w:gallery w:val="placeholder"/>
        </w:category>
        <w:types>
          <w:type w:val="bbPlcHdr"/>
        </w:types>
        <w:behaviors>
          <w:behavior w:val="content"/>
        </w:behaviors>
        <w:description w:val=""/>
        <w:guid w:val="{7b7155f7-a028-4992-8cc4-85f85b6337e6}"/>
      </w:docPartPr>
      <w:docPartBody>
        <w:p w14:paraId="54970319">
          <w:r>
            <w:rPr>
              <w:color w:val="808080"/>
            </w:rPr>
            <w:t>单击此处输入文字。</w:t>
          </w:r>
        </w:p>
      </w:docPartBody>
    </w:docPart>
    <w:docPart>
      <w:docPartPr>
        <w:name w:val="{dfbeac81-6a3d-4398-bc43-b330992d9fe6}"/>
        <w:style w:val=""/>
        <w:category>
          <w:name w:val="常规"/>
          <w:gallery w:val="placeholder"/>
        </w:category>
        <w:types>
          <w:type w:val="bbPlcHdr"/>
        </w:types>
        <w:behaviors>
          <w:behavior w:val="content"/>
        </w:behaviors>
        <w:description w:val=""/>
        <w:guid w:val="{dfbeac81-6a3d-4398-bc43-b330992d9fe6}"/>
      </w:docPartPr>
      <w:docPartBody>
        <w:p w14:paraId="59B4F391">
          <w:r>
            <w:rPr>
              <w:color w:val="808080"/>
            </w:rPr>
            <w:t>单击此处输入文字。</w:t>
          </w:r>
        </w:p>
      </w:docPartBody>
    </w:docPart>
    <w:docPart>
      <w:docPartPr>
        <w:name w:val="{291a0b2a-9ddb-4dde-8eda-f23e64a31268}"/>
        <w:style w:val=""/>
        <w:category>
          <w:name w:val="常规"/>
          <w:gallery w:val="placeholder"/>
        </w:category>
        <w:types>
          <w:type w:val="bbPlcHdr"/>
        </w:types>
        <w:behaviors>
          <w:behavior w:val="content"/>
        </w:behaviors>
        <w:description w:val=""/>
        <w:guid w:val="{291a0b2a-9ddb-4dde-8eda-f23e64a31268}"/>
      </w:docPartPr>
      <w:docPartBody>
        <w:p w14:paraId="012D3385">
          <w:r>
            <w:rPr>
              <w:color w:val="808080"/>
            </w:rPr>
            <w:t>单击此处输入文字。</w:t>
          </w:r>
        </w:p>
      </w:docPartBody>
    </w:docPart>
    <w:docPart>
      <w:docPartPr>
        <w:name w:val="{93e4e7a6-98e4-4eda-916a-092464e1a8cb}"/>
        <w:style w:val=""/>
        <w:category>
          <w:name w:val="常规"/>
          <w:gallery w:val="placeholder"/>
        </w:category>
        <w:types>
          <w:type w:val="bbPlcHdr"/>
        </w:types>
        <w:behaviors>
          <w:behavior w:val="content"/>
        </w:behaviors>
        <w:description w:val=""/>
        <w:guid w:val="{93e4e7a6-98e4-4eda-916a-092464e1a8cb}"/>
      </w:docPartPr>
      <w:docPartBody>
        <w:p w14:paraId="43E3EAB2">
          <w:r>
            <w:rPr>
              <w:color w:val="808080"/>
            </w:rPr>
            <w:t>单击此处输入文字。</w:t>
          </w:r>
        </w:p>
      </w:docPartBody>
    </w:docPart>
    <w:docPart>
      <w:docPartPr>
        <w:name w:val="{b4128160-1ebf-4c16-8ee0-e3ab9b8aed41}"/>
        <w:style w:val=""/>
        <w:category>
          <w:name w:val="常规"/>
          <w:gallery w:val="placeholder"/>
        </w:category>
        <w:types>
          <w:type w:val="bbPlcHdr"/>
        </w:types>
        <w:behaviors>
          <w:behavior w:val="content"/>
        </w:behaviors>
        <w:description w:val=""/>
        <w:guid w:val="{b4128160-1ebf-4c16-8ee0-e3ab9b8aed41}"/>
      </w:docPartPr>
      <w:docPartBody>
        <w:p w14:paraId="243432A2">
          <w:r>
            <w:rPr>
              <w:color w:val="808080"/>
            </w:rPr>
            <w:t>单击此处输入文字。</w:t>
          </w:r>
        </w:p>
      </w:docPartBody>
    </w:docPart>
    <w:docPart>
      <w:docPartPr>
        <w:name w:val="{25e50054-2394-482c-a82d-d8278f829bef}"/>
        <w:style w:val=""/>
        <w:category>
          <w:name w:val="常规"/>
          <w:gallery w:val="placeholder"/>
        </w:category>
        <w:types>
          <w:type w:val="bbPlcHdr"/>
        </w:types>
        <w:behaviors>
          <w:behavior w:val="content"/>
        </w:behaviors>
        <w:description w:val=""/>
        <w:guid w:val="{25e50054-2394-482c-a82d-d8278f829bef}"/>
      </w:docPartPr>
      <w:docPartBody>
        <w:p w14:paraId="0F1B233A">
          <w:r>
            <w:rPr>
              <w:color w:val="808080"/>
            </w:rPr>
            <w:t>单击此处输入文字。</w:t>
          </w:r>
        </w:p>
      </w:docPartBody>
    </w:docPart>
    <w:docPart>
      <w:docPartPr>
        <w:name w:val="{7ef5c06c-4206-4c25-b731-f86e68e35269}"/>
        <w:style w:val=""/>
        <w:category>
          <w:name w:val="常规"/>
          <w:gallery w:val="placeholder"/>
        </w:category>
        <w:types>
          <w:type w:val="bbPlcHdr"/>
        </w:types>
        <w:behaviors>
          <w:behavior w:val="content"/>
        </w:behaviors>
        <w:description w:val=""/>
        <w:guid w:val="{7ef5c06c-4206-4c25-b731-f86e68e35269}"/>
      </w:docPartPr>
      <w:docPartBody>
        <w:p w14:paraId="0220D609">
          <w:r>
            <w:rPr>
              <w:color w:val="808080"/>
            </w:rPr>
            <w:t>单击此处输入文字。</w:t>
          </w:r>
        </w:p>
      </w:docPartBody>
    </w:docPart>
    <w:docPart>
      <w:docPartPr>
        <w:name w:val="{2b42df1e-8ed5-4cca-9e82-060a45ffe762}"/>
        <w:style w:val=""/>
        <w:category>
          <w:name w:val="常规"/>
          <w:gallery w:val="placeholder"/>
        </w:category>
        <w:types>
          <w:type w:val="bbPlcHdr"/>
        </w:types>
        <w:behaviors>
          <w:behavior w:val="content"/>
        </w:behaviors>
        <w:description w:val=""/>
        <w:guid w:val="{2b42df1e-8ed5-4cca-9e82-060a45ffe762}"/>
      </w:docPartPr>
      <w:docPartBody>
        <w:p w14:paraId="0611D2FD">
          <w:r>
            <w:rPr>
              <w:color w:val="808080"/>
            </w:rPr>
            <w:t>单击此处输入文字。</w:t>
          </w:r>
        </w:p>
      </w:docPartBody>
    </w:docPart>
    <w:docPart>
      <w:docPartPr>
        <w:name w:val="{c05369a3-1a1a-405a-a344-72d5453df417}"/>
        <w:style w:val=""/>
        <w:category>
          <w:name w:val="常规"/>
          <w:gallery w:val="placeholder"/>
        </w:category>
        <w:types>
          <w:type w:val="bbPlcHdr"/>
        </w:types>
        <w:behaviors>
          <w:behavior w:val="content"/>
        </w:behaviors>
        <w:description w:val=""/>
        <w:guid w:val="{c05369a3-1a1a-405a-a344-72d5453df417}"/>
      </w:docPartPr>
      <w:docPartBody>
        <w:p w14:paraId="41D25433">
          <w:r>
            <w:rPr>
              <w:color w:val="808080"/>
            </w:rPr>
            <w:t>单击此处输入文字。</w:t>
          </w:r>
        </w:p>
      </w:docPartBody>
    </w:docPart>
    <w:docPart>
      <w:docPartPr>
        <w:name w:val="{fbf76a69-55ac-45ff-8f3b-0a9d6cee0524}"/>
        <w:style w:val=""/>
        <w:category>
          <w:name w:val="常规"/>
          <w:gallery w:val="placeholder"/>
        </w:category>
        <w:types>
          <w:type w:val="bbPlcHdr"/>
        </w:types>
        <w:behaviors>
          <w:behavior w:val="content"/>
        </w:behaviors>
        <w:description w:val=""/>
        <w:guid w:val="{fbf76a69-55ac-45ff-8f3b-0a9d6cee0524}"/>
      </w:docPartPr>
      <w:docPartBody>
        <w:p w14:paraId="4A6A0BE1">
          <w:r>
            <w:rPr>
              <w:color w:val="808080"/>
            </w:rPr>
            <w:t>单击此处输入文字。</w:t>
          </w:r>
        </w:p>
      </w:docPartBody>
    </w:docPart>
    <w:docPart>
      <w:docPartPr>
        <w:name w:val="{1bf1d196-3a8b-4570-967e-71f39e7dc630}"/>
        <w:style w:val=""/>
        <w:category>
          <w:name w:val="常规"/>
          <w:gallery w:val="placeholder"/>
        </w:category>
        <w:types>
          <w:type w:val="bbPlcHdr"/>
        </w:types>
        <w:behaviors>
          <w:behavior w:val="content"/>
        </w:behaviors>
        <w:description w:val=""/>
        <w:guid w:val="{1bf1d196-3a8b-4570-967e-71f39e7dc630}"/>
      </w:docPartPr>
      <w:docPartBody>
        <w:p w14:paraId="5F86F727">
          <w:r>
            <w:rPr>
              <w:color w:val="808080"/>
            </w:rPr>
            <w:t>单击此处输入文字。</w:t>
          </w:r>
        </w:p>
      </w:docPartBody>
    </w:docPart>
    <w:docPart>
      <w:docPartPr>
        <w:name w:val="{89733b53-e4c5-4850-96d5-96e175090c0d}"/>
        <w:style w:val=""/>
        <w:category>
          <w:name w:val="常规"/>
          <w:gallery w:val="placeholder"/>
        </w:category>
        <w:types>
          <w:type w:val="bbPlcHdr"/>
        </w:types>
        <w:behaviors>
          <w:behavior w:val="content"/>
        </w:behaviors>
        <w:description w:val=""/>
        <w:guid w:val="{89733b53-e4c5-4850-96d5-96e175090c0d}"/>
      </w:docPartPr>
      <w:docPartBody>
        <w:p w14:paraId="5A489F5A">
          <w:r>
            <w:rPr>
              <w:color w:val="808080"/>
            </w:rPr>
            <w:t>单击此处输入文字。</w:t>
          </w:r>
        </w:p>
      </w:docPartBody>
    </w:docPart>
    <w:docPart>
      <w:docPartPr>
        <w:name w:val="{fa2cef69-115e-4674-a80a-b7fa621515a4}"/>
        <w:style w:val=""/>
        <w:category>
          <w:name w:val="常规"/>
          <w:gallery w:val="placeholder"/>
        </w:category>
        <w:types>
          <w:type w:val="bbPlcHdr"/>
        </w:types>
        <w:behaviors>
          <w:behavior w:val="content"/>
        </w:behaviors>
        <w:description w:val=""/>
        <w:guid w:val="{fa2cef69-115e-4674-a80a-b7fa621515a4}"/>
      </w:docPartPr>
      <w:docPartBody>
        <w:p w14:paraId="00134CC7">
          <w:r>
            <w:rPr>
              <w:color w:val="808080"/>
            </w:rPr>
            <w:t>单击此处输入文字。</w:t>
          </w:r>
        </w:p>
      </w:docPartBody>
    </w:docPart>
    <w:docPart>
      <w:docPartPr>
        <w:name w:val="{396fc3dc-d6f8-4491-afeb-1e1204269932}"/>
        <w:style w:val=""/>
        <w:category>
          <w:name w:val="常规"/>
          <w:gallery w:val="placeholder"/>
        </w:category>
        <w:types>
          <w:type w:val="bbPlcHdr"/>
        </w:types>
        <w:behaviors>
          <w:behavior w:val="content"/>
        </w:behaviors>
        <w:description w:val=""/>
        <w:guid w:val="{396fc3dc-d6f8-4491-afeb-1e1204269932}"/>
      </w:docPartPr>
      <w:docPartBody>
        <w:p w14:paraId="111CFF4E">
          <w:r>
            <w:rPr>
              <w:color w:val="808080"/>
            </w:rPr>
            <w:t>单击此处输入文字。</w:t>
          </w:r>
        </w:p>
      </w:docPartBody>
    </w:docPart>
    <w:docPart>
      <w:docPartPr>
        <w:name w:val="{2b4d8990-3102-4955-a315-4b1e7793a438}"/>
        <w:style w:val=""/>
        <w:category>
          <w:name w:val="常规"/>
          <w:gallery w:val="placeholder"/>
        </w:category>
        <w:types>
          <w:type w:val="bbPlcHdr"/>
        </w:types>
        <w:behaviors>
          <w:behavior w:val="content"/>
        </w:behaviors>
        <w:description w:val=""/>
        <w:guid w:val="{2b4d8990-3102-4955-a315-4b1e7793a438}"/>
      </w:docPartPr>
      <w:docPartBody>
        <w:p w14:paraId="6FC78F40">
          <w:r>
            <w:rPr>
              <w:color w:val="808080"/>
            </w:rPr>
            <w:t>单击此处输入文字。</w:t>
          </w:r>
        </w:p>
      </w:docPartBody>
    </w:docPart>
    <w:docPart>
      <w:docPartPr>
        <w:name w:val="{5749509b-a619-45f2-b5b8-ad6e1a2ee4e2}"/>
        <w:style w:val=""/>
        <w:category>
          <w:name w:val="常规"/>
          <w:gallery w:val="placeholder"/>
        </w:category>
        <w:types>
          <w:type w:val="bbPlcHdr"/>
        </w:types>
        <w:behaviors>
          <w:behavior w:val="content"/>
        </w:behaviors>
        <w:description w:val=""/>
        <w:guid w:val="{5749509b-a619-45f2-b5b8-ad6e1a2ee4e2}"/>
      </w:docPartPr>
      <w:docPartBody>
        <w:p w14:paraId="63690E0B">
          <w:r>
            <w:rPr>
              <w:color w:val="808080"/>
            </w:rPr>
            <w:t>单击此处输入文字。</w:t>
          </w:r>
        </w:p>
      </w:docPartBody>
    </w:docPart>
    <w:docPart>
      <w:docPartPr>
        <w:name w:val="{4b1b6cc4-1b9a-42af-8dfb-b06a58623e7a}"/>
        <w:style w:val=""/>
        <w:category>
          <w:name w:val="常规"/>
          <w:gallery w:val="placeholder"/>
        </w:category>
        <w:types>
          <w:type w:val="bbPlcHdr"/>
        </w:types>
        <w:behaviors>
          <w:behavior w:val="content"/>
        </w:behaviors>
        <w:description w:val=""/>
        <w:guid w:val="{4b1b6cc4-1b9a-42af-8dfb-b06a58623e7a}"/>
      </w:docPartPr>
      <w:docPartBody>
        <w:p w14:paraId="3D30ECA2">
          <w:r>
            <w:rPr>
              <w:color w:val="808080"/>
            </w:rPr>
            <w:t>单击此处输入文字。</w:t>
          </w:r>
        </w:p>
      </w:docPartBody>
    </w:docPart>
    <w:docPart>
      <w:docPartPr>
        <w:name w:val="{11602cef-83b1-4181-b5ae-4411d9e65209}"/>
        <w:style w:val=""/>
        <w:category>
          <w:name w:val="常规"/>
          <w:gallery w:val="placeholder"/>
        </w:category>
        <w:types>
          <w:type w:val="bbPlcHdr"/>
        </w:types>
        <w:behaviors>
          <w:behavior w:val="content"/>
        </w:behaviors>
        <w:description w:val=""/>
        <w:guid w:val="{11602cef-83b1-4181-b5ae-4411d9e65209}"/>
      </w:docPartPr>
      <w:docPartBody>
        <w:p w14:paraId="1C9FF5FD">
          <w:r>
            <w:rPr>
              <w:color w:val="808080"/>
            </w:rPr>
            <w:t>单击此处输入文字。</w:t>
          </w:r>
        </w:p>
      </w:docPartBody>
    </w:docPart>
    <w:docPart>
      <w:docPartPr>
        <w:name w:val="{b1f3bd8b-fac6-46cb-904f-1918f249f8ac}"/>
        <w:style w:val=""/>
        <w:category>
          <w:name w:val="常规"/>
          <w:gallery w:val="placeholder"/>
        </w:category>
        <w:types>
          <w:type w:val="bbPlcHdr"/>
        </w:types>
        <w:behaviors>
          <w:behavior w:val="content"/>
        </w:behaviors>
        <w:description w:val=""/>
        <w:guid w:val="{b1f3bd8b-fac6-46cb-904f-1918f249f8ac}"/>
      </w:docPartPr>
      <w:docPartBody>
        <w:p w14:paraId="6A6BA5BE">
          <w:r>
            <w:rPr>
              <w:color w:val="808080"/>
            </w:rPr>
            <w:t>单击此处输入文字。</w:t>
          </w:r>
        </w:p>
      </w:docPartBody>
    </w:docPart>
    <w:docPart>
      <w:docPartPr>
        <w:name w:val="{92c7e88b-5c8a-474d-8f4e-be70c627b7bf}"/>
        <w:style w:val=""/>
        <w:category>
          <w:name w:val="常规"/>
          <w:gallery w:val="placeholder"/>
        </w:category>
        <w:types>
          <w:type w:val="bbPlcHdr"/>
        </w:types>
        <w:behaviors>
          <w:behavior w:val="content"/>
        </w:behaviors>
        <w:description w:val=""/>
        <w:guid w:val="{92c7e88b-5c8a-474d-8f4e-be70c627b7bf}"/>
      </w:docPartPr>
      <w:docPartBody>
        <w:p w14:paraId="71480A77">
          <w:r>
            <w:rPr>
              <w:color w:val="808080"/>
            </w:rPr>
            <w:t>单击此处输入文字。</w:t>
          </w:r>
        </w:p>
      </w:docPartBody>
    </w:docPart>
    <w:docPart>
      <w:docPartPr>
        <w:name w:val="{c158cea5-24b4-4acb-bd84-94f74be41b60}"/>
        <w:style w:val=""/>
        <w:category>
          <w:name w:val="常规"/>
          <w:gallery w:val="placeholder"/>
        </w:category>
        <w:types>
          <w:type w:val="bbPlcHdr"/>
        </w:types>
        <w:behaviors>
          <w:behavior w:val="content"/>
        </w:behaviors>
        <w:description w:val=""/>
        <w:guid w:val="{c158cea5-24b4-4acb-bd84-94f74be41b60}"/>
      </w:docPartPr>
      <w:docPartBody>
        <w:p w14:paraId="6CAC4372">
          <w:r>
            <w:rPr>
              <w:color w:val="808080"/>
            </w:rPr>
            <w:t>单击此处输入文字。</w:t>
          </w:r>
        </w:p>
      </w:docPartBody>
    </w:docPart>
    <w:docPart>
      <w:docPartPr>
        <w:name w:val="{e62859e1-383f-4734-b58b-c15909be795d}"/>
        <w:style w:val=""/>
        <w:category>
          <w:name w:val="常规"/>
          <w:gallery w:val="placeholder"/>
        </w:category>
        <w:types>
          <w:type w:val="bbPlcHdr"/>
        </w:types>
        <w:behaviors>
          <w:behavior w:val="content"/>
        </w:behaviors>
        <w:description w:val=""/>
        <w:guid w:val="{e62859e1-383f-4734-b58b-c15909be795d}"/>
      </w:docPartPr>
      <w:docPartBody>
        <w:p w14:paraId="5E0159DE">
          <w:r>
            <w:rPr>
              <w:color w:val="808080"/>
            </w:rPr>
            <w:t>单击此处输入文字。</w:t>
          </w:r>
        </w:p>
      </w:docPartBody>
    </w:docPart>
    <w:docPart>
      <w:docPartPr>
        <w:name w:val="{9b5eee05-4425-459a-92e5-6ca9cd6257bd}"/>
        <w:style w:val=""/>
        <w:category>
          <w:name w:val="常规"/>
          <w:gallery w:val="placeholder"/>
        </w:category>
        <w:types>
          <w:type w:val="bbPlcHdr"/>
        </w:types>
        <w:behaviors>
          <w:behavior w:val="content"/>
        </w:behaviors>
        <w:description w:val=""/>
        <w:guid w:val="{9b5eee05-4425-459a-92e5-6ca9cd6257bd}"/>
      </w:docPartPr>
      <w:docPartBody>
        <w:p w14:paraId="74FBD627">
          <w:r>
            <w:rPr>
              <w:color w:val="808080"/>
            </w:rPr>
            <w:t>单击此处输入文字。</w:t>
          </w:r>
        </w:p>
      </w:docPartBody>
    </w:docPart>
    <w:docPart>
      <w:docPartPr>
        <w:name w:val="{4bb22cd8-6d02-4ef1-a922-87b32173b641}"/>
        <w:style w:val=""/>
        <w:category>
          <w:name w:val="常规"/>
          <w:gallery w:val="placeholder"/>
        </w:category>
        <w:types>
          <w:type w:val="bbPlcHdr"/>
        </w:types>
        <w:behaviors>
          <w:behavior w:val="content"/>
        </w:behaviors>
        <w:description w:val=""/>
        <w:guid w:val="{4bb22cd8-6d02-4ef1-a922-87b32173b641}"/>
      </w:docPartPr>
      <w:docPartBody>
        <w:p w14:paraId="7D4B6A49">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2"/>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40</Pages>
  <Words>11096</Words>
  <Characters>11312</Characters>
  <Lines>108</Lines>
  <Paragraphs>30</Paragraphs>
  <TotalTime>0</TotalTime>
  <ScaleCrop>false</ScaleCrop>
  <LinksUpToDate>false</LinksUpToDate>
  <CharactersWithSpaces>11426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2022-04-14T09:37:00Z</dcterms:created>
  <dc:creator>翁</dc:creator>
  <cp:lastModifiedBy>生</cp:lastModifiedBy>
  <dcterms:modified xsi:type="dcterms:W3CDTF">2025-08-15T03:15:10Z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8D3277D0D13C437AB85612587BE904B9</vt:lpwstr>
  </property>
  <property fmtid="{D5CDD505-2E9C-101B-9397-08002B2CF9AE}" pid="4" name="KSOTemplateDocerSaveRecord">
    <vt:lpwstr>eyJoZGlkIjoiZjgwMjA3YWVkZTAwZmNhMjU2OTlmMDc3ODM2YmVmODgiLCJ1c2VySWQiOiI5MDQxMDY0MDQifQ==</vt:lpwstr>
  </property>
</Properties>
</file>