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海口市2025年中小企业数字化转型城市试点实地评测项目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[HNZCGP]20250700002[GK]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海口市科学技术和工业信息化局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海口市科学技术和工业信息化局</w:t>
      </w:r>
      <w:r>
        <w:rPr>
          <w:rFonts w:ascii="仿宋_GB2312" w:hAnsi="仿宋_GB2312" w:cs="仿宋_GB2312" w:eastAsia="仿宋_GB2312"/>
        </w:rPr>
        <w:t xml:space="preserve"> 委托， </w:t>
      </w:r>
      <w:r>
        <w:rPr>
          <w:rFonts w:ascii="仿宋_GB2312" w:hAnsi="仿宋_GB2312" w:cs="仿宋_GB2312" w:eastAsia="仿宋_GB2312"/>
        </w:rPr>
        <w:t>海南政诚项目管理有限公司</w:t>
      </w:r>
      <w:r>
        <w:rPr>
          <w:rFonts w:ascii="仿宋_GB2312" w:hAnsi="仿宋_GB2312" w:cs="仿宋_GB2312" w:eastAsia="仿宋_GB2312"/>
        </w:rPr>
        <w:t xml:space="preserve"> 对 </w:t>
      </w:r>
      <w:r>
        <w:rPr>
          <w:rFonts w:ascii="仿宋_GB2312" w:hAnsi="仿宋_GB2312" w:cs="仿宋_GB2312" w:eastAsia="仿宋_GB2312"/>
        </w:rPr>
        <w:t>海口市2025年中小企业数字化转型城市试点实地评测项目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[HNZCGP]20250700002[GK]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海口市2025年中小企业数字化转型城市试点实地评测项目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3,250,000.00元</w:t>
      </w:r>
      <w:r>
        <w:rPr>
          <w:rFonts w:ascii="仿宋_GB2312" w:hAnsi="仿宋_GB2312" w:cs="仿宋_GB2312" w:eastAsia="仿宋_GB2312"/>
        </w:rPr>
        <w:t>叁佰贰拾伍万元整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自合同签订之日起一年，并通过采购人的项目验收。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采购包1：部分面向中小企业采购。</w:t>
      </w:r>
    </w:p>
    <w:p>
      <w:pPr>
        <w:pStyle w:val="null3"/>
        <w:jc w:val="left"/>
      </w:pPr>
      <w:r>
        <w:rPr>
          <w:rFonts w:ascii="仿宋_GB2312" w:hAnsi="仿宋_GB2312" w:cs="仿宋_GB2312" w:eastAsia="仿宋_GB2312"/>
        </w:rPr>
        <w:t>具有供应商以联合体形式参加本项目的，联合协议中中小微企业预留比例46%。（未组成联合体参加的，如未要求小微企业合同金额比例的，供应商应当为中小微企业；如要求小微企业合同金额比例的，供应商应当为小微企业）。</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1、无环保类行政处罚记录：参加政府采购活动前三年内（注册成立时间不足 3 年的，从注册时间起算）无环保类行政处罚记录（提供声明函并加盖公章）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 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海口市科学技术和工业信息化局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海口市秀英区长滨路东二街市政府行政办公区18栋北四楼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0898-68724679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海南省海口市美兰区人民路街道57号金融仕家1305室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0898-66267607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代理服务费收费标准：参照《海南省物价局关于降低部分招标代理服务收费标准的通知》（琼价费管[2011]225号）文件及本项目招标代理协议规定标准执行。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联系电话：联系电话：0898-66267607</w:t>
      </w:r>
    </w:p>
    <w:p>
      <w:pPr>
        <w:pStyle w:val="null3"/>
        <w:jc w:val="left"/>
      </w:pPr>
      <w:r>
        <w:rPr>
          <w:rFonts w:ascii="仿宋_GB2312" w:hAnsi="仿宋_GB2312" w:cs="仿宋_GB2312" w:eastAsia="仿宋_GB2312"/>
        </w:rPr>
        <w:t>地址：海南省海口市美兰区人民路街道57号金融仕家1305室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1、项目名称：海口市2025年中小企业数字化转型城市试点实地评测项目；</w:t>
      </w:r>
      <w:r>
        <w:br/>
      </w:r>
      <w:r>
        <w:rPr>
          <w:rFonts w:ascii="仿宋_GB2312" w:hAnsi="仿宋_GB2312" w:cs="仿宋_GB2312" w:eastAsia="仿宋_GB2312"/>
        </w:rPr>
        <w:t xml:space="preserve"> 2、采 购 人：海口市科学技术和工业信息化局；</w:t>
      </w:r>
      <w:r>
        <w:br/>
      </w:r>
      <w:r>
        <w:rPr>
          <w:rFonts w:ascii="仿宋_GB2312" w:hAnsi="仿宋_GB2312" w:cs="仿宋_GB2312" w:eastAsia="仿宋_GB2312"/>
        </w:rPr>
        <w:t xml:space="preserve"> 3、预算金额：3250000.00元（最高限价：3250000.00元），超过预算金额（最高限价）的投标文件按无效投标处理；</w:t>
      </w:r>
      <w:r>
        <w:br/>
      </w:r>
      <w:r>
        <w:rPr>
          <w:rFonts w:ascii="仿宋_GB2312" w:hAnsi="仿宋_GB2312" w:cs="仿宋_GB2312" w:eastAsia="仿宋_GB2312"/>
        </w:rPr>
        <w:t xml:space="preserve"> 4、合同履行期限（服务期限）：自合同签订之日起一年，并通过采购人的项目验收；</w:t>
      </w:r>
      <w:r>
        <w:br/>
      </w:r>
      <w:r>
        <w:rPr>
          <w:rFonts w:ascii="仿宋_GB2312" w:hAnsi="仿宋_GB2312" w:cs="仿宋_GB2312" w:eastAsia="仿宋_GB2312"/>
        </w:rPr>
        <w:t xml:space="preserve"> 5、服务地点：采购人指定地点。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3,250,000.00</w:t>
      </w:r>
    </w:p>
    <w:p>
      <w:pPr>
        <w:pStyle w:val="null3"/>
        <w:jc w:val="left"/>
      </w:pPr>
      <w:r>
        <w:rPr>
          <w:rFonts w:ascii="仿宋_GB2312" w:hAnsi="仿宋_GB2312" w:cs="仿宋_GB2312" w:eastAsia="仿宋_GB2312"/>
        </w:rPr>
        <w:t>采购包最高限价（元）: 3,250,000.00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一、项目背景</w:t>
            </w:r>
            <w:r>
              <w:br/>
            </w:r>
            <w:r>
              <w:rPr>
                <w:rFonts w:ascii="仿宋_GB2312" w:hAnsi="仿宋_GB2312" w:cs="仿宋_GB2312" w:eastAsia="仿宋_GB2312"/>
              </w:rPr>
              <w:t xml:space="preserve"> 为深入贯彻落实国家关于推动中小企业数字化转型的政策部署，全面评估试点企业数字化转型成效，现拟通过公开招标方式选聘第三方专业评测机构，完成不少于325家（含）试点企业数字化水平的实地评测工作。本次评测覆盖医药及医疗用品、食品饮料、汽车零部件及配件、输配电设备、建材等五大制造行业，旨在客观评价企业数字化转型进展，推动政策落地与持续优化。</w:t>
            </w:r>
            <w:r>
              <w:br/>
            </w: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二、服务范围与内容</w:t>
            </w:r>
            <w:r>
              <w:br/>
            </w:r>
            <w:r>
              <w:rPr>
                <w:rFonts w:ascii="仿宋_GB2312" w:hAnsi="仿宋_GB2312" w:cs="仿宋_GB2312" w:eastAsia="仿宋_GB2312"/>
              </w:rPr>
              <w:t xml:space="preserve"> （一）服务范围</w:t>
            </w:r>
            <w:r>
              <w:br/>
            </w:r>
            <w:r>
              <w:rPr>
                <w:rFonts w:ascii="仿宋_GB2312" w:hAnsi="仿宋_GB2312" w:cs="仿宋_GB2312" w:eastAsia="仿宋_GB2312"/>
              </w:rPr>
              <w:t xml:space="preserve"> 完成对全国范围内不少于325家（含）试点企业 的数字化转型成效实地评测工作。被评测企业分布于以下五个主要制造行业：</w:t>
            </w:r>
            <w:r>
              <w:br/>
            </w:r>
            <w:r>
              <w:rPr>
                <w:rFonts w:ascii="仿宋_GB2312" w:hAnsi="仿宋_GB2312" w:cs="仿宋_GB2312" w:eastAsia="仿宋_GB2312"/>
              </w:rPr>
              <w:t xml:space="preserve"> 1. 医药及医疗用品行业；</w:t>
            </w:r>
            <w:r>
              <w:br/>
            </w:r>
            <w:r>
              <w:rPr>
                <w:rFonts w:ascii="仿宋_GB2312" w:hAnsi="仿宋_GB2312" w:cs="仿宋_GB2312" w:eastAsia="仿宋_GB2312"/>
              </w:rPr>
              <w:t xml:space="preserve"> 2. 食品饮料行业；</w:t>
            </w:r>
            <w:r>
              <w:br/>
            </w:r>
            <w:r>
              <w:rPr>
                <w:rFonts w:ascii="仿宋_GB2312" w:hAnsi="仿宋_GB2312" w:cs="仿宋_GB2312" w:eastAsia="仿宋_GB2312"/>
              </w:rPr>
              <w:t xml:space="preserve"> 3. 汽车零部件及配件行业；</w:t>
            </w:r>
            <w:r>
              <w:br/>
            </w:r>
            <w:r>
              <w:rPr>
                <w:rFonts w:ascii="仿宋_GB2312" w:hAnsi="仿宋_GB2312" w:cs="仿宋_GB2312" w:eastAsia="仿宋_GB2312"/>
              </w:rPr>
              <w:t xml:space="preserve"> 4. 输配电设备行业；</w:t>
            </w:r>
            <w:r>
              <w:br/>
            </w:r>
            <w:r>
              <w:rPr>
                <w:rFonts w:ascii="仿宋_GB2312" w:hAnsi="仿宋_GB2312" w:cs="仿宋_GB2312" w:eastAsia="仿宋_GB2312"/>
              </w:rPr>
              <w:t xml:space="preserve"> 5. 建材行业。</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1.制定中小企业数字化水平评测工作方案</w:t>
            </w:r>
            <w:r>
              <w:br/>
            </w:r>
            <w:r>
              <w:rPr>
                <w:rFonts w:ascii="仿宋_GB2312" w:hAnsi="仿宋_GB2312" w:cs="仿宋_GB2312" w:eastAsia="仿宋_GB2312"/>
              </w:rPr>
              <w:t xml:space="preserve"> 评测机构应编制完整的中小企业数字化水平评测工作方案，系统明确评测工作的总体目标、实施思路、核心内容、评测标准、操作流程、人员保障机制及信息保密措施等内容。方案应对评测所需材料清单进行规范化设计，统一试点企业数字化水平评测报告的结构和内容要素，确保评测活动全过程有章可循、有据可依。工作方案须紧扣中小企业数字化水平评测的政策要求与实施规范，确保评测工作科学、合理、有序推进，并具有可操作性和可复制性。</w:t>
            </w:r>
            <w:r>
              <w:br/>
            </w:r>
            <w:r>
              <w:rPr>
                <w:rFonts w:ascii="仿宋_GB2312" w:hAnsi="仿宋_GB2312" w:cs="仿宋_GB2312" w:eastAsia="仿宋_GB2312"/>
              </w:rPr>
              <w:t xml:space="preserve"> 2.指导企业开展自评</w:t>
            </w:r>
            <w:r>
              <w:br/>
            </w:r>
            <w:r>
              <w:rPr>
                <w:rFonts w:ascii="仿宋_GB2312" w:hAnsi="仿宋_GB2312" w:cs="仿宋_GB2312" w:eastAsia="仿宋_GB2312"/>
              </w:rPr>
              <w:t xml:space="preserve"> 组织并指导试点企业通过“优质中小企业梯度培育平台”（https://zjtx.miit.gov.cn/zxqySy/main）数字化评测模块开展自评，协助其做好现场评测前的各项准备，包括但不限于：人员配合、材料整理等，确保评测工作顺利开展。</w:t>
            </w:r>
            <w:r>
              <w:br/>
            </w:r>
            <w:r>
              <w:rPr>
                <w:rFonts w:ascii="仿宋_GB2312" w:hAnsi="仿宋_GB2312" w:cs="仿宋_GB2312" w:eastAsia="仿宋_GB2312"/>
              </w:rPr>
              <w:t xml:space="preserve"> 3.组建并组织评测实施</w:t>
            </w:r>
            <w:r>
              <w:br/>
            </w:r>
            <w:r>
              <w:rPr>
                <w:rFonts w:ascii="仿宋_GB2312" w:hAnsi="仿宋_GB2312" w:cs="仿宋_GB2312" w:eastAsia="仿宋_GB2312"/>
              </w:rPr>
              <w:t xml:space="preserve"> 评测机构应根据本项目实际需要，组建具备数字化转型相关专业能力的技术团队，合理配置人员结构，确保具备开展实地评测的技术能力和服务保障。团队成员应熟悉中小企业数字化转型政策及城市试点验收工作要求，能够制定科学的评测实施方案，包括但不限于：评测计划、调研提纲、流程安排等，并做好企业调研前的准备工作，如了解企业主营业务、组织架构、生产流程、数字化改造项目等基本情况，同时开展政策宣贯和前期指导。</w:t>
            </w:r>
            <w:r>
              <w:br/>
            </w:r>
            <w:r>
              <w:rPr>
                <w:rFonts w:ascii="仿宋_GB2312" w:hAnsi="仿宋_GB2312" w:cs="仿宋_GB2312" w:eastAsia="仿宋_GB2312"/>
              </w:rPr>
              <w:t xml:space="preserve"> 4.开展实地评测工作</w:t>
            </w:r>
            <w:r>
              <w:br/>
            </w:r>
            <w:r>
              <w:rPr>
                <w:rFonts w:ascii="仿宋_GB2312" w:hAnsi="仿宋_GB2312" w:cs="仿宋_GB2312" w:eastAsia="仿宋_GB2312"/>
              </w:rPr>
              <w:t xml:space="preserve"> 评测团队到达企业现场后，应首先向被评测企业介绍本次评测的工作内容、时间安排、评测方式与相关要求，确保企业管理层及相关参与人员充分理解并积极配合。现场评测过程中，评测团队应围绕既定的评测目标、对象、指标体系及内容要求，通过人员访谈、材料审核、系统操作演示、实地查验等多种方式，全方位采集评测所需证据，获取具有验证价值的信息。同时，应通过调取后台运行数据、查看系统日志等方式，掌握企业数字化系统的实际应用情况。评测过程应同步做好材料收集与留存工作，确保数据真实、资料完整，并在此基础上初步形成企业数字化水平评测结论。     </w:t>
            </w:r>
            <w:r>
              <w:br/>
            </w:r>
            <w:r>
              <w:rPr>
                <w:rFonts w:ascii="仿宋_GB2312" w:hAnsi="仿宋_GB2312" w:cs="仿宋_GB2312" w:eastAsia="仿宋_GB2312"/>
              </w:rPr>
              <w:t xml:space="preserve"> 5.撰写并提交评测报告</w:t>
            </w:r>
            <w:r>
              <w:br/>
            </w:r>
            <w:r>
              <w:rPr>
                <w:rFonts w:ascii="仿宋_GB2312" w:hAnsi="仿宋_GB2312" w:cs="仿宋_GB2312" w:eastAsia="仿宋_GB2312"/>
              </w:rPr>
              <w:t xml:space="preserve"> 现场评测工作完成后，评测机构应及时对采集的支撑材料进行分类整理与汇总，并结合现场评测情况，对企业的数字化水平进行综合判定，明确其等级归属。依据评测结果，编制完整的评测报告。</w:t>
            </w:r>
            <w:r>
              <w:br/>
            </w:r>
            <w:r>
              <w:rPr>
                <w:rFonts w:ascii="仿宋_GB2312" w:hAnsi="仿宋_GB2312" w:cs="仿宋_GB2312" w:eastAsia="仿宋_GB2312"/>
              </w:rPr>
              <w:t xml:space="preserve"> 评测报告应包括但不限于以下内容：评测结论、各评定项的评分依据、相关制度和操作材料、系统运行截图、现场照片等证明材料，确保评测过程可追溯、结果可验证。</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三、服务周期要求</w:t>
            </w:r>
            <w:r>
              <w:br/>
            </w:r>
            <w:r>
              <w:rPr>
                <w:rFonts w:ascii="仿宋_GB2312" w:hAnsi="仿宋_GB2312" w:cs="仿宋_GB2312" w:eastAsia="仿宋_GB2312"/>
              </w:rPr>
              <w:t xml:space="preserve"> 评测机构应在合同签订后立即启动项目实施工作，并在采购人规定的时间范围内完成全部评测任务，具体起止时间以合同约定为准。如因不可抗力或采购人原因造成时间调整，双方应通过书面形式协商确认。</w:t>
            </w:r>
            <w:r>
              <w:br/>
            </w: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四、评测报告交付要求</w:t>
            </w:r>
            <w:r>
              <w:br/>
            </w:r>
            <w:r>
              <w:rPr>
                <w:rFonts w:ascii="仿宋_GB2312" w:hAnsi="仿宋_GB2312" w:cs="仿宋_GB2312" w:eastAsia="仿宋_GB2312"/>
              </w:rPr>
              <w:t xml:space="preserve"> 每家试点企业均应形成一份完整、规范的评测报告。报告应包含但不限于：企业信息、评测指标项评分、评测过程记录、主要数字化系统截图、现场照片、材料清单和综合评定结果等内容。报告格式应符合采购人统一规范，提交形式包括纸质版一份（加盖评测机构公章）及可编辑的电子文档（Word和PDF格式各一份）。</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五、服务质量保障要求</w:t>
            </w:r>
            <w:r>
              <w:br/>
            </w:r>
            <w:r>
              <w:rPr>
                <w:rFonts w:ascii="仿宋_GB2312" w:hAnsi="仿宋_GB2312" w:cs="仿宋_GB2312" w:eastAsia="仿宋_GB2312"/>
              </w:rPr>
              <w:t xml:space="preserve"> 评测机构应保证评测工作的客观性、独立性和专业性。评测活动应全过程留痕，评测数据和结论须可追溯、可验证。若在评测过程中或评测成果中发现质量问题、数据错误、内容缺失、结论不一致等情况，采购人有权要求在规定时间内限期整改或重新评测，由此产生的费用由评测机构承担。</w:t>
            </w:r>
            <w:r>
              <w:br/>
            </w: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六、材料收集与归档要求</w:t>
            </w:r>
            <w:r>
              <w:br/>
            </w:r>
            <w:r>
              <w:rPr>
                <w:rFonts w:ascii="仿宋_GB2312" w:hAnsi="仿宋_GB2312" w:cs="仿宋_GB2312" w:eastAsia="仿宋_GB2312"/>
              </w:rPr>
              <w:t xml:space="preserve"> 评测机构在实施过程中应同步做好评测支撑材料的收集、分类、整理和存档工作。包括但不限于：企业自评结果截图、系统使用记录、访谈纪要、实地照片、调研记录、原始表格、内部资料、评测打分依据等。所有支撑材料应统一编号、归档，并随评测报告一并提交，作为评测结果的重要佐证。</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七、主要服务标准要求</w:t>
            </w:r>
            <w:r>
              <w:br/>
            </w:r>
            <w:r>
              <w:rPr>
                <w:rFonts w:ascii="仿宋_GB2312" w:hAnsi="仿宋_GB2312" w:cs="仿宋_GB2312" w:eastAsia="仿宋_GB2312"/>
              </w:rPr>
              <w:t xml:space="preserve"> 1.项目经验要求</w:t>
            </w:r>
            <w:r>
              <w:br/>
            </w:r>
            <w:r>
              <w:rPr>
                <w:rFonts w:ascii="仿宋_GB2312" w:hAnsi="仿宋_GB2312" w:cs="仿宋_GB2312" w:eastAsia="仿宋_GB2312"/>
              </w:rPr>
              <w:t xml:space="preserve"> 要求供应商在行业企业数字化转型方面具有丰富经验和项目相关领域能力资质，具有中小企业数字化转型城市试点工作经验。具备高质高效完成现场评测、数据整理、咨询诊断的人员团队、专业能力及相关国家认证认可资质。</w:t>
            </w:r>
            <w:r>
              <w:br/>
            </w:r>
            <w:r>
              <w:rPr>
                <w:rFonts w:ascii="仿宋_GB2312" w:hAnsi="仿宋_GB2312" w:cs="仿宋_GB2312" w:eastAsia="仿宋_GB2312"/>
              </w:rPr>
              <w:t xml:space="preserve"> 2.项目技术要求</w:t>
            </w:r>
            <w:r>
              <w:br/>
            </w:r>
            <w:r>
              <w:rPr>
                <w:rFonts w:ascii="仿宋_GB2312" w:hAnsi="仿宋_GB2312" w:cs="仿宋_GB2312" w:eastAsia="仿宋_GB2312"/>
              </w:rPr>
              <w:t xml:space="preserve"> 供应商数字化水平诊断评测服务人员应理解并熟练运用《中小企业数字化水平评测指标（2024年版）》，能为企业开展水平评测等服务。应对项目工作流程有科学合理、清晰明确、可操行强的流程规划和实施路径。评测团队人员应具有数字化、智能化相关领域的专业技术能力、标准编制和项目经验。落实《关于做好2025年中小企业数字化转型城市试点工作的通知财办建〔2025〕20号》等文件精神。</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w:t>
            </w:r>
            <w:r>
              <w:br/>
            </w:r>
            <w:r>
              <w:rPr>
                <w:rFonts w:ascii="仿宋_GB2312" w:hAnsi="仿宋_GB2312" w:cs="仿宋_GB2312" w:eastAsia="仿宋_GB2312"/>
              </w:rPr>
              <w:t xml:space="preserve"> 1、合同条款与付款方式</w:t>
            </w:r>
            <w:r>
              <w:br/>
            </w:r>
            <w:r>
              <w:rPr>
                <w:rFonts w:ascii="仿宋_GB2312" w:hAnsi="仿宋_GB2312" w:cs="仿宋_GB2312" w:eastAsia="仿宋_GB2312"/>
              </w:rPr>
              <w:t xml:space="preserve"> （1）合同金额</w:t>
            </w:r>
            <w:r>
              <w:br/>
            </w:r>
            <w:r>
              <w:rPr>
                <w:rFonts w:ascii="仿宋_GB2312" w:hAnsi="仿宋_GB2312" w:cs="仿宋_GB2312" w:eastAsia="仿宋_GB2312"/>
              </w:rPr>
              <w:t xml:space="preserve"> 合同总价以中标价格为准，为固定总价合同。</w:t>
            </w:r>
            <w:r>
              <w:br/>
            </w:r>
            <w:r>
              <w:rPr>
                <w:rFonts w:ascii="仿宋_GB2312" w:hAnsi="仿宋_GB2312" w:cs="仿宋_GB2312" w:eastAsia="仿宋_GB2312"/>
              </w:rPr>
              <w:t xml:space="preserve"> （2）付款方式</w:t>
            </w:r>
            <w:r>
              <w:br/>
            </w:r>
            <w:r>
              <w:rPr>
                <w:rFonts w:ascii="仿宋_GB2312" w:hAnsi="仿宋_GB2312" w:cs="仿宋_GB2312" w:eastAsia="仿宋_GB2312"/>
              </w:rPr>
              <w:t xml:space="preserve"> 付款将按照以下节点分期支付：</w:t>
            </w:r>
            <w:r>
              <w:br/>
            </w:r>
            <w:r>
              <w:rPr>
                <w:rFonts w:ascii="仿宋_GB2312" w:hAnsi="仿宋_GB2312" w:cs="仿宋_GB2312" w:eastAsia="仿宋_GB2312"/>
              </w:rPr>
              <w:t xml:space="preserve"> ①计划分三期付款。</w:t>
            </w:r>
            <w:r>
              <w:br/>
            </w:r>
            <w:r>
              <w:rPr>
                <w:rFonts w:ascii="仿宋_GB2312" w:hAnsi="仿宋_GB2312" w:cs="仿宋_GB2312" w:eastAsia="仿宋_GB2312"/>
              </w:rPr>
              <w:t xml:space="preserve"> 第1期为（预付款）：签订合同生效并收到中标供应商开具的发票后的15个工作日内，采购人支付合同总金额的30%给中标供应商。若中标供应商最终完成实地评测的企业数量不足98家（含），则中标供应商须向采购人退还未完成部分的金额，退还金额=（98家-实际完成家数）*基准单价（基准单价=中标总价/325家）。</w:t>
            </w:r>
            <w:r>
              <w:br/>
            </w:r>
            <w:r>
              <w:rPr>
                <w:rFonts w:ascii="仿宋_GB2312" w:hAnsi="仿宋_GB2312" w:cs="仿宋_GB2312" w:eastAsia="仿宋_GB2312"/>
              </w:rPr>
              <w:t xml:space="preserve"> 第2期为（进度款）：195家企业改造完成并全部验收通过，按照采购人要求的定期项目服务成果交付完成，且收到中标供应商开具的发票后15个工作日内，采购人支付合同总金额的30%给中标供应商。若98家&lt;实际完成家数≤195家，本期支付金额为：（实际完成家数-98家）*基准单价。</w:t>
            </w:r>
            <w:r>
              <w:br/>
            </w:r>
            <w:r>
              <w:rPr>
                <w:rFonts w:ascii="仿宋_GB2312" w:hAnsi="仿宋_GB2312" w:cs="仿宋_GB2312" w:eastAsia="仿宋_GB2312"/>
              </w:rPr>
              <w:t xml:space="preserve"> 第3期为（尾款）：325家企业改造完成并全部验收通过，按照采购人要求的定期项目服务成果交付完成，且收到中标供应商开具的发票后15个工作日内，采购人支付合同总金额的40%给中标供应商。若195家&lt;实际完成家数≤325家，本期支付金额为：（实际完成家数-195家）*基准单价。</w:t>
            </w:r>
            <w:r>
              <w:br/>
            </w:r>
            <w:r>
              <w:rPr>
                <w:rFonts w:ascii="仿宋_GB2312" w:hAnsi="仿宋_GB2312" w:cs="仿宋_GB2312" w:eastAsia="仿宋_GB2312"/>
              </w:rPr>
              <w:t xml:space="preserve"> 2、验收要求</w:t>
            </w:r>
            <w:r>
              <w:br/>
            </w:r>
            <w:r>
              <w:rPr>
                <w:rFonts w:ascii="仿宋_GB2312" w:hAnsi="仿宋_GB2312" w:cs="仿宋_GB2312" w:eastAsia="仿宋_GB2312"/>
              </w:rPr>
              <w:t xml:space="preserve"> （1）验收标准：中标供应商根据招标文件要求及合同相关条款要求，提供完善的项目服务，以国家、省和市现行相关规范为验收标准，具体验收标准以采购人现场确认的要求为准。</w:t>
            </w:r>
            <w:r>
              <w:br/>
            </w:r>
            <w:r>
              <w:rPr>
                <w:rFonts w:ascii="仿宋_GB2312" w:hAnsi="仿宋_GB2312" w:cs="仿宋_GB2312" w:eastAsia="仿宋_GB2312"/>
              </w:rPr>
              <w:t xml:space="preserve"> （2）组织验收：中标供应商完成项目服务内容及指定成果交付后，由采购人组织验收。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投标人应承诺（承诺函格式自拟，加盖公章）按投标方案投入相应的技术人员和后续服务人员，并保持相对稳定，变更人员须经采购人同意，替换的人员要与投标方案人员资格及水平一致或优于。否则采购人有权要求投标人进行整改，整改不到位可按违约处理。</w:t>
      </w:r>
      <w:r>
        <w:br/>
      </w:r>
      <w:r>
        <w:rPr>
          <w:rFonts w:ascii="仿宋_GB2312" w:hAnsi="仿宋_GB2312" w:cs="仿宋_GB2312" w:eastAsia="仿宋_GB2312"/>
        </w:rPr>
        <w:t xml:space="preserve"> 2.为保障采购人权益，如投标人出现懈怠怠工情况，采购人有权单方面解除合约。</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参加政府采购活动前三年内（注册成立时间不足 3 年的，从注册时间起算）无环保类行政处罚记录（提供声明函并加盖公章）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符合法律、行政法规规定的其他条件资格承诺函 自觉抵制政府采购领域商业贿赂行为承诺书 封面 商业信誉、财务会计制度、缴纳税收和社保的承诺函 联合投标协议书（联合体适用） 具有独立承担民事责任的能力证明文件 投标人承诺函 投标人无不良信用记录 其他材料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符合法律、行政法规规定的其他条件资格承诺函 自觉抵制政府采购领域商业贿赂行为承诺书 封面 商业信誉、财务会计制度、缴纳税收和社保的承诺函 联合投标协议书（联合体适用） 具有独立承担民事责任的能力证明文件 投标人承诺函 投标人无不良信用记录 其他材料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项目整体理解与分析方案</w:t>
            </w:r>
          </w:p>
        </w:tc>
        <w:tc>
          <w:tcPr>
            <w:tcW w:type="dxa" w:w="2492"/>
          </w:tcPr>
          <w:p>
            <w:pPr>
              <w:pStyle w:val="null3"/>
              <w:jc w:val="both"/>
            </w:pPr>
            <w:r>
              <w:rPr>
                <w:rFonts w:ascii="仿宋_GB2312" w:hAnsi="仿宋_GB2312" w:cs="仿宋_GB2312" w:eastAsia="仿宋_GB2312"/>
              </w:rPr>
              <w:t>根据投标人针对本项目采购需求所提供的项目整体理解与分析方案进行评审，内容包括但不限于：①对项目背景的解读；②项目实施目标；③项目现状的整体认识与分析；④承接本项目的优势。评委对其进行综合评议，满分12分，每有一项缺项的扣3分；在投标人已提供上述各项内容的基础上，每项存在一处内容不完整或有缺陷的扣1.5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采购需求所提供的项目实施方案进行评审，内容包括但不限于：①整体实施方案；②各项服务的分项实施方案；③项目重点、难点分析；④重难点应对措施；⑤质量保障措施。评委对其进行综合评议，满分15分，每有一项缺项的扣3分；在投标人已提供上述各项内容的基础上，每项存在一处内容不完整或有缺陷的扣1.5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项目实施计划</w:t>
            </w:r>
          </w:p>
        </w:tc>
        <w:tc>
          <w:tcPr>
            <w:tcW w:type="dxa" w:w="2492"/>
          </w:tcPr>
          <w:p>
            <w:pPr>
              <w:pStyle w:val="null3"/>
              <w:jc w:val="both"/>
            </w:pPr>
            <w:r>
              <w:rPr>
                <w:rFonts w:ascii="仿宋_GB2312" w:hAnsi="仿宋_GB2312" w:cs="仿宋_GB2312" w:eastAsia="仿宋_GB2312"/>
              </w:rPr>
              <w:t>根据投标人针对本项目采购需求所提供的项目实施计划进行评审，内容包括但不限于：①总体计划；②单家企业评测计划；③实施流程；④实施计划进度保障措施；⑤实施计划监督与反馈机制。评委对其进行综合评议，满分10分，每有一项缺项的扣2分；在投标人已提供上述各项内容的基础上，每项存在一处内容不完整或有缺陷的扣1分，扣完为止；未提供不得分。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项目保障预案</w:t>
            </w:r>
          </w:p>
        </w:tc>
        <w:tc>
          <w:tcPr>
            <w:tcW w:type="dxa" w:w="2492"/>
          </w:tcPr>
          <w:p>
            <w:pPr>
              <w:pStyle w:val="null3"/>
              <w:jc w:val="both"/>
            </w:pPr>
            <w:r>
              <w:rPr>
                <w:rFonts w:ascii="仿宋_GB2312" w:hAnsi="仿宋_GB2312" w:cs="仿宋_GB2312" w:eastAsia="仿宋_GB2312"/>
              </w:rPr>
              <w:t>根据投标人针对本项目采购需求所提供的项目保障预案进行评审，内容包括但不限于：①项目保障响应机制；②针对项目的实施保障承诺；③项目保障应急预案。评委对其进行综合评议，满分9分，每有一项缺项的扣3分；在投标人已提供上述各项内容的基础上，每项存在一处内容不完整或有缺陷的扣1.5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投标人荣誉与资质</w:t>
            </w:r>
          </w:p>
        </w:tc>
        <w:tc>
          <w:tcPr>
            <w:tcW w:type="dxa" w:w="2492"/>
          </w:tcPr>
          <w:p>
            <w:pPr>
              <w:pStyle w:val="null3"/>
              <w:jc w:val="both"/>
            </w:pPr>
            <w:r>
              <w:rPr>
                <w:rFonts w:ascii="仿宋_GB2312" w:hAnsi="仿宋_GB2312" w:cs="仿宋_GB2312" w:eastAsia="仿宋_GB2312"/>
              </w:rPr>
              <w:t>1.具有省级及以上政府部门颁发的数字化、智能制造等相关领域的荣誉或奖项，每提供1项得2分，最高4分。 2.具备省级行政主管部门或国家部委认定的工程中心、重点实验室等创新平台资质，每提供1个得2分，本项最高得4分。 3.具备省级或国家级授权批准的资质资格，如资质认定授权（CAL）、检验机构资质认定（CMA）资格等，每提供1项得1分，最高2分。 注：需提供证明材料复印件加盖公章。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投标人2022年1月1日至今（以合同签订日期为准）承担过同类项目业绩的，每1个项目业绩得1.5分，未提供不得分；本项最高得分为6分。 注：需在投标文件中提供项目合同关键页（含合同双方单位名称、项目名称、项目内容、签订合同双方的落款盖章、签订日期的关键页）复印件，并加盖投标人单位公章，未提供不得分。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投标人相关研究基础及能力</w:t>
            </w:r>
          </w:p>
        </w:tc>
        <w:tc>
          <w:tcPr>
            <w:tcW w:type="dxa" w:w="2492"/>
          </w:tcPr>
          <w:p>
            <w:pPr>
              <w:pStyle w:val="null3"/>
              <w:jc w:val="both"/>
            </w:pPr>
            <w:r>
              <w:rPr>
                <w:rFonts w:ascii="仿宋_GB2312" w:hAnsi="仿宋_GB2312" w:cs="仿宋_GB2312" w:eastAsia="仿宋_GB2312"/>
              </w:rPr>
              <w:t>根据投标人2020年1月1日至今（以研究成果或报告公开发布日期为准）在数字经济、数字技术与产业（5G、人工智能、大数据、云计算、区块链等相关领域）、产业集群数字化转型、中小企业数字化转型、数据要素、企业数据资产、智能制造、制造业数字化转型等相关领域的研究基础进行综合评审：每具有一份对外公开发布的研究成果或报告（如白皮书、蓝皮书、行业报告等）的得2分；其他或未提供的不得分。本项最高得4分。 注：需在投标文件中提供相关研究成果或报告复印件，并加盖投标人单位公章，未提供不得分。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项目负责人（仅限1人）资质情况</w:t>
            </w:r>
          </w:p>
        </w:tc>
        <w:tc>
          <w:tcPr>
            <w:tcW w:type="dxa" w:w="2492"/>
          </w:tcPr>
          <w:p>
            <w:pPr>
              <w:pStyle w:val="null3"/>
              <w:jc w:val="both"/>
            </w:pPr>
            <w:r>
              <w:rPr>
                <w:rFonts w:ascii="仿宋_GB2312" w:hAnsi="仿宋_GB2312" w:cs="仿宋_GB2312" w:eastAsia="仿宋_GB2312"/>
              </w:rPr>
              <w:t>根据投标人拟投入的项目负责人（仅限1人）资质情况进行评审。 1.投标人拟投入的项目负责人具备信息与通信技术、通信工程、计算机、软件工程、自动化、智能制造、机械电子工程等数字化相关专业的正高级技术工程师职称的，得4分；具备信息与通信工程、计算机、软件工程、自动化、智能制造、机械电子工程等数字化相关专业的高级工程师技术职称的，得2分；其他或未提供不得分。此小项最高可得4分。 2.项目负责人具有智能制造、数字化转型等相关领域15年（含）以上的工作经验的，得3分； 具有智能制造、数字化转型等相关领域10年（含）-15年（不含）的工作经验的，得2分；具有智能制造、数字化转型等相关领域5年（含）-10年（不含）的工作经验的，得1分； 其他不得分。此小项最高可得3分。 本项最高得分为7分，若一人具备多个技术职称的，按得分较高的技术职称评审，不重复计分。 注：需在投标文件中提供上述人员的相应证书、与投标人签订的有效的劳动合同（或投标人为其缴纳的2025年1月以来任意一个月的社保证明）复印件，并加盖投标人单位公章，未提供不得分。 工作经验佐证材料： 须提供能够明确体现项目负责人在智能制造、数字化转型等相关领域工作年限的证明材料，包括但不限于以下任一项： 1.原工作单位出具的工作经验证明（注明起止时间、岗位及主要工作内容，并加盖原单位公章）； 2.任职文件或人事任命通知（注明任职岗位及时间）； 3.含工作起止时间的历年劳动合同或社保缴纳记录。 所有材料须加盖投标人单位公章，未提供或无法清晰反映工作年限的，不得分。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项目成员资质情况</w:t>
            </w:r>
          </w:p>
        </w:tc>
        <w:tc>
          <w:tcPr>
            <w:tcW w:type="dxa" w:w="2492"/>
          </w:tcPr>
          <w:p>
            <w:pPr>
              <w:pStyle w:val="null3"/>
              <w:jc w:val="both"/>
            </w:pPr>
            <w:r>
              <w:rPr>
                <w:rFonts w:ascii="仿宋_GB2312" w:hAnsi="仿宋_GB2312" w:cs="仿宋_GB2312" w:eastAsia="仿宋_GB2312"/>
              </w:rPr>
              <w:t>1.投标人拟投入的项目团队成员≥30人，得3分；15人≤团队成员＜30人，得1分；团队成员少于15人，不得分。最高得3分。 2.项目团队成员中具备信息与通信技术、通信工程、计算机、软件工程、自动化、智能制造、机械电子工程等相关专业的高级专业技术人员职业资格（或高级工程师技术职称）证书的，每提供1人得2分，最高得8分； 3.项目团队成员中具备信息与通信技术、通信工程、计算机、软件工程、自动化、智能制造、机械电子工程等相关专业的中级专业技术人员职业资格（或中级工程师技术职称）证书的，每提供1人得1分，最高得4分。 4.团队成员中具有信息与通信技术、通信工程、计算机、软件工程、自动化、智能制造、机械电子工程等制造业及数字化转型相关领域的理工专业本科或以上学历的，每个人得0.5分，最高可得2分。 5.其他或未提供不得分。本项最高得分为17分。若一人符合上述多项要求的，按得分较高的一项评审，不重复计分。 注：①需在投标文件中提供上述人员的相应证书、学历与投标人签订的有效的劳动合同（或投标人为其缴纳的2025年1月以来任意一个月的社保证明）复印件，并加盖投标人单位公章，未提供不得分。②上述职业资格证书或技术职称证书，证书专业需与项目服务内容相关，包括但不限于信息与通信技术、通信工程、软件工程、信息系统项目管理、系统规划与管理、系统集成项目管理等计算机、机电工程、自动化相关专业领域证书。</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[HNZCGP]20250700002[GK]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海口市2025年中小企业数字化转型城市试点实地评测项目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海口市2025年中小企业数字化转型城市试点实地评测项目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3250000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详见附件：符合法律、行政法规规定的其他条件资格承诺函</w:t>
      </w:r>
    </w:p>
    <w:p>
      <w:pPr>
        <w:pStyle w:val="null3"/>
        <w:ind w:firstLine="960"/>
        <w:jc w:val="left"/>
      </w:pPr>
      <w:r>
        <w:rPr>
          <w:rFonts w:ascii="仿宋_GB2312" w:hAnsi="仿宋_GB2312" w:cs="仿宋_GB2312" w:eastAsia="仿宋_GB2312"/>
        </w:rPr>
        <w:t>详见附件：联合投标协议书（联合体适用）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