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2025年度海口市环卫作业质量监督考评</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GZZB2025-013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海口市城市管理局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海南国政招标管理有限公司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海口市城市管理局</w:t>
      </w:r>
      <w:r>
        <w:rPr>
          <w:rFonts w:ascii="仿宋_GB2312" w:hAnsi="仿宋_GB2312" w:cs="仿宋_GB2312" w:eastAsia="仿宋_GB2312"/>
        </w:rPr>
        <w:t xml:space="preserve"> 的委托， </w:t>
      </w:r>
      <w:r>
        <w:rPr>
          <w:rFonts w:ascii="仿宋_GB2312" w:hAnsi="仿宋_GB2312" w:cs="仿宋_GB2312" w:eastAsia="仿宋_GB2312"/>
        </w:rPr>
        <w:t>海南国政招标管理有限公司</w:t>
      </w:r>
      <w:r>
        <w:rPr>
          <w:rFonts w:ascii="仿宋_GB2312" w:hAnsi="仿宋_GB2312" w:cs="仿宋_GB2312" w:eastAsia="仿宋_GB2312"/>
        </w:rPr>
        <w:t xml:space="preserve"> 对 </w:t>
      </w:r>
      <w:r>
        <w:rPr>
          <w:rFonts w:ascii="仿宋_GB2312" w:hAnsi="仿宋_GB2312" w:cs="仿宋_GB2312" w:eastAsia="仿宋_GB2312"/>
        </w:rPr>
        <w:t>2025年度海口市环卫作业质量监督考评</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GZZB2025-013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2025年度海口市环卫作业质量监督考评</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3,468,400.00元</w:t>
      </w:r>
      <w:r>
        <w:rPr>
          <w:rFonts w:ascii="仿宋_GB2312" w:hAnsi="仿宋_GB2312" w:cs="仿宋_GB2312" w:eastAsia="仿宋_GB2312"/>
        </w:rPr>
        <w:t>叁佰肆拾陆万捌仟肆佰元整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1年，自发放中标通知书日起算。</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投标人须在海南政府采购网 (https://ccgp-hainan.gov.cn/maincms-web/)中的海南省政府采购智慧云平台进行注册并完善信息，然后下载参与投标项目电子招标文件（数据包）及其他文件；</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海口市城市管理局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海口市政府第二行政办公区15栋北楼4楼2027室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符永队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68723520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海南国政招标管理有限公司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海南省海口市美兰区海府街道金坡路6号中鹏苑A幢第8层802房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0898-65226351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采购包1：3,468,400.00元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代理服务费收费标准：参考《海南省物价局关于降低部分招标代理服务收费标准的通知》（琼价费管[2011]225号）计算收取。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根据《关于在相关自由贸易试验区和自由贸易港开展推动解决政府采购异常低价问题试点工作的通知》(财办库(2024)265 号)的规定，海南省自由贸易港应当执行政府采购异常低价审查。政府采购评审中出现下列情形之一的，评审委员会应当启动异常低价投标（响应）审查程序：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 （二）投标（响应）报价低于通过符合性审查且报价次低供应商投标（响应）报价50%的，即投标（响应）报价&lt;通过符合性审查且报价次低供应商投标（响应）报价×50%； （三）投标（响应）报价低于采购项目最高限价45%的，即投标（响应）报价&lt;采购项目最高限价×45%；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联系电话：0898-65226351</w:t>
      </w:r>
    </w:p>
    <w:p>
      <w:pPr>
        <w:pStyle w:val="null3"/>
        <w:jc w:val="left"/>
      </w:pPr>
      <w:r>
        <w:rPr>
          <w:rFonts w:ascii="仿宋_GB2312" w:hAnsi="仿宋_GB2312" w:cs="仿宋_GB2312" w:eastAsia="仿宋_GB2312"/>
        </w:rPr>
        <w:t>地址：海南省海口市美兰区海府街道金坡路6号中鹏苑A幢第8层802房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1、项目名称：2025年度海口市环卫作业质量监督考评工作。</w:t>
      </w:r>
    </w:p>
    <w:p>
      <w:pPr>
        <w:pStyle w:val="null3"/>
        <w:jc w:val="left"/>
      </w:pPr>
      <w:r>
        <w:rPr>
          <w:rFonts w:ascii="仿宋_GB2312" w:hAnsi="仿宋_GB2312" w:cs="仿宋_GB2312" w:eastAsia="仿宋_GB2312"/>
          <w:sz w:val="21"/>
        </w:rPr>
        <w:t>2、项目地点：海口市辖区内城区和农村。</w:t>
      </w:r>
    </w:p>
    <w:p>
      <w:pPr>
        <w:pStyle w:val="null3"/>
        <w:jc w:val="left"/>
      </w:pPr>
      <w:r>
        <w:rPr>
          <w:rFonts w:ascii="仿宋_GB2312" w:hAnsi="仿宋_GB2312" w:cs="仿宋_GB2312" w:eastAsia="仿宋_GB2312"/>
          <w:sz w:val="21"/>
        </w:rPr>
        <w:t>3、本次采购服务期限：1年，自发放中标通知书日起算。</w:t>
      </w:r>
    </w:p>
    <w:p>
      <w:pPr>
        <w:pStyle w:val="null3"/>
        <w:jc w:val="left"/>
      </w:pPr>
      <w:r>
        <w:rPr>
          <w:rFonts w:ascii="仿宋_GB2312" w:hAnsi="仿宋_GB2312" w:cs="仿宋_GB2312" w:eastAsia="仿宋_GB2312"/>
          <w:sz w:val="21"/>
        </w:rPr>
        <w:t>4、项目考评对象：海口市建成区环卫作业质量及环卫PPP企业协议履约情况；海口市行政辖区范围内所有镇墟和村庄的环境卫生质量管理。督查考评范围包括全市四个行政区21个镇墟、桂林洋开发区（江东新区）、高新技术开发区、农场（居）等，覆盖全市272个行政村及2482个自然村。</w:t>
      </w:r>
    </w:p>
    <w:p>
      <w:pPr>
        <w:pStyle w:val="null3"/>
        <w:jc w:val="left"/>
      </w:pPr>
      <w:r>
        <w:rPr>
          <w:rFonts w:ascii="仿宋_GB2312" w:hAnsi="仿宋_GB2312" w:cs="仿宋_GB2312" w:eastAsia="仿宋_GB2312"/>
          <w:sz w:val="21"/>
        </w:rPr>
        <w:t>5、本次采购服务不允许中标人将本项目的非主体、非关键性工作进行分包。</w:t>
      </w:r>
    </w:p>
    <w:p>
      <w:pPr>
        <w:pStyle w:val="null3"/>
        <w:jc w:val="left"/>
      </w:pPr>
      <w:r>
        <w:rPr>
          <w:rFonts w:ascii="仿宋_GB2312" w:hAnsi="仿宋_GB2312" w:cs="仿宋_GB2312" w:eastAsia="仿宋_GB2312"/>
          <w:sz w:val="21"/>
        </w:rPr>
        <w:t>6、本次采购不接受联合体投标。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3,468,400.00</w:t>
      </w:r>
    </w:p>
    <w:p>
      <w:pPr>
        <w:pStyle w:val="null3"/>
        <w:jc w:val="left"/>
      </w:pPr>
      <w:r>
        <w:rPr>
          <w:rFonts w:ascii="仿宋_GB2312" w:hAnsi="仿宋_GB2312" w:cs="仿宋_GB2312" w:eastAsia="仿宋_GB2312"/>
        </w:rPr>
        <w:t>采购包最高限价（元）: 3,468,400.00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3,468,400.00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3,468,400.00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b/>
              </w:rPr>
              <w:t>一、项目背景</w:t>
            </w:r>
          </w:p>
          <w:p>
            <w:pPr>
              <w:pStyle w:val="null3"/>
              <w:ind w:firstLine="526"/>
              <w:jc w:val="both"/>
            </w:pPr>
            <w:r>
              <w:rPr>
                <w:rFonts w:ascii="仿宋_GB2312" w:hAnsi="仿宋_GB2312" w:cs="仿宋_GB2312" w:eastAsia="仿宋_GB2312"/>
                <w:sz w:val="28"/>
              </w:rPr>
              <w:t>为加强海口市城乡环境卫生作业质量的监督管理，严格落实环卫作业质量标准，进一步完善环卫作业质量评价体系，根据《海口市农村环境卫生管理办法》、《海口市园林和环境卫生管理局农村生活垃圾治理专项督查考评工作方案》及《海口市环卫作业质量考核办法</w:t>
            </w:r>
            <w:r>
              <w:rPr>
                <w:rFonts w:ascii="仿宋_GB2312" w:hAnsi="仿宋_GB2312" w:cs="仿宋_GB2312" w:eastAsia="仿宋_GB2312"/>
                <w:sz w:val="28"/>
              </w:rPr>
              <w:t>(202</w:t>
            </w:r>
            <w:r>
              <w:rPr>
                <w:rFonts w:ascii="仿宋_GB2312" w:hAnsi="仿宋_GB2312" w:cs="仿宋_GB2312" w:eastAsia="仿宋_GB2312"/>
                <w:sz w:val="28"/>
              </w:rPr>
              <w:t>3</w:t>
            </w:r>
            <w:r>
              <w:rPr>
                <w:rFonts w:ascii="仿宋_GB2312" w:hAnsi="仿宋_GB2312" w:cs="仿宋_GB2312" w:eastAsia="仿宋_GB2312"/>
                <w:sz w:val="28"/>
              </w:rPr>
              <w:t>年版</w:t>
            </w:r>
            <w:r>
              <w:rPr>
                <w:rFonts w:ascii="仿宋_GB2312" w:hAnsi="仿宋_GB2312" w:cs="仿宋_GB2312" w:eastAsia="仿宋_GB2312"/>
                <w:sz w:val="28"/>
              </w:rPr>
              <w:t>)》的要求，委托第三方考核单位对海口市2025年</w:t>
            </w:r>
            <w:r>
              <w:rPr>
                <w:rFonts w:ascii="仿宋_GB2312" w:hAnsi="仿宋_GB2312" w:cs="仿宋_GB2312" w:eastAsia="仿宋_GB2312"/>
                <w:sz w:val="28"/>
              </w:rPr>
              <w:t>6</w:t>
            </w:r>
            <w:r>
              <w:rPr>
                <w:rFonts w:ascii="仿宋_GB2312" w:hAnsi="仿宋_GB2312" w:cs="仿宋_GB2312" w:eastAsia="仿宋_GB2312"/>
                <w:sz w:val="28"/>
              </w:rPr>
              <w:t>月至</w:t>
            </w:r>
            <w:r>
              <w:rPr>
                <w:rFonts w:ascii="仿宋_GB2312" w:hAnsi="仿宋_GB2312" w:cs="仿宋_GB2312" w:eastAsia="仿宋_GB2312"/>
                <w:sz w:val="28"/>
              </w:rPr>
              <w:t>2026年</w:t>
            </w:r>
            <w:r>
              <w:rPr>
                <w:rFonts w:ascii="仿宋_GB2312" w:hAnsi="仿宋_GB2312" w:cs="仿宋_GB2312" w:eastAsia="仿宋_GB2312"/>
                <w:sz w:val="28"/>
              </w:rPr>
              <w:t>6</w:t>
            </w:r>
            <w:r>
              <w:rPr>
                <w:rFonts w:ascii="仿宋_GB2312" w:hAnsi="仿宋_GB2312" w:cs="仿宋_GB2312" w:eastAsia="仿宋_GB2312"/>
                <w:sz w:val="28"/>
              </w:rPr>
              <w:t>月环卫作业质量进行监督考核。</w:t>
            </w:r>
          </w:p>
          <w:p>
            <w:pPr>
              <w:pStyle w:val="null3"/>
              <w:ind w:firstLine="528"/>
              <w:jc w:val="both"/>
            </w:pPr>
            <w:r>
              <w:rPr>
                <w:rFonts w:ascii="仿宋_GB2312" w:hAnsi="仿宋_GB2312" w:cs="仿宋_GB2312" w:eastAsia="仿宋_GB2312"/>
                <w:sz w:val="28"/>
                <w:b/>
              </w:rPr>
              <w:t>二、项目内容及要求</w:t>
            </w:r>
          </w:p>
          <w:p>
            <w:pPr>
              <w:pStyle w:val="null3"/>
              <w:ind w:firstLine="526"/>
              <w:jc w:val="both"/>
            </w:pPr>
            <w:r>
              <w:rPr>
                <w:rFonts w:ascii="仿宋_GB2312" w:hAnsi="仿宋_GB2312" w:cs="仿宋_GB2312" w:eastAsia="仿宋_GB2312"/>
                <w:sz w:val="28"/>
              </w:rPr>
              <w:t>(一)监督考核目的</w:t>
            </w:r>
          </w:p>
          <w:p>
            <w:pPr>
              <w:pStyle w:val="null3"/>
              <w:ind w:firstLine="526"/>
              <w:jc w:val="both"/>
            </w:pPr>
            <w:r>
              <w:rPr>
                <w:rFonts w:ascii="仿宋_GB2312" w:hAnsi="仿宋_GB2312" w:cs="仿宋_GB2312" w:eastAsia="仿宋_GB2312"/>
                <w:sz w:val="28"/>
              </w:rPr>
              <w:t>严格落实海口市城乡环卫作业质量考核标准，促进我市城乡环境卫生规范化作业、标准化管理，提高城市和农村整体环境卫生水平，营造优美人居环境。</w:t>
            </w:r>
          </w:p>
          <w:p>
            <w:pPr>
              <w:pStyle w:val="null3"/>
              <w:ind w:firstLine="526"/>
              <w:jc w:val="both"/>
            </w:pPr>
            <w:r>
              <w:rPr>
                <w:rFonts w:ascii="仿宋_GB2312" w:hAnsi="仿宋_GB2312" w:cs="仿宋_GB2312" w:eastAsia="仿宋_GB2312"/>
                <w:sz w:val="28"/>
              </w:rPr>
              <w:t>(二)监督考评对象</w:t>
            </w:r>
          </w:p>
          <w:p>
            <w:pPr>
              <w:pStyle w:val="null3"/>
              <w:ind w:firstLine="526"/>
              <w:jc w:val="both"/>
            </w:pPr>
            <w:r>
              <w:rPr>
                <w:rFonts w:ascii="仿宋_GB2312" w:hAnsi="仿宋_GB2312" w:cs="仿宋_GB2312" w:eastAsia="仿宋_GB2312"/>
                <w:sz w:val="28"/>
              </w:rPr>
              <w:t>城区环卫：海口市建成区环卫作业质量及环卫</w:t>
            </w:r>
            <w:r>
              <w:rPr>
                <w:rFonts w:ascii="仿宋_GB2312" w:hAnsi="仿宋_GB2312" w:cs="仿宋_GB2312" w:eastAsia="仿宋_GB2312"/>
                <w:sz w:val="28"/>
              </w:rPr>
              <w:t>PPP企业协议履约情况。</w:t>
            </w:r>
          </w:p>
          <w:p>
            <w:pPr>
              <w:pStyle w:val="null3"/>
              <w:ind w:firstLine="526"/>
              <w:jc w:val="both"/>
            </w:pPr>
            <w:r>
              <w:rPr>
                <w:rFonts w:ascii="仿宋_GB2312" w:hAnsi="仿宋_GB2312" w:cs="仿宋_GB2312" w:eastAsia="仿宋_GB2312"/>
                <w:sz w:val="28"/>
              </w:rPr>
              <w:t>农村环卫：海口市行政辖区范围内所有镇墟和村庄的环境卫生质量管理。督查考评范围包括全市四个行政区</w:t>
            </w:r>
            <w:r>
              <w:rPr>
                <w:rFonts w:ascii="仿宋_GB2312" w:hAnsi="仿宋_GB2312" w:cs="仿宋_GB2312" w:eastAsia="仿宋_GB2312"/>
                <w:sz w:val="28"/>
              </w:rPr>
              <w:t>21个镇墟、桂林洋开发区（江东新区）、高新技术开发区、农场（居）等，覆盖全市272个行政村及2482个自然村。</w:t>
            </w:r>
          </w:p>
          <w:p>
            <w:pPr>
              <w:pStyle w:val="null3"/>
              <w:ind w:firstLine="526"/>
              <w:jc w:val="both"/>
            </w:pPr>
            <w:r>
              <w:rPr>
                <w:rFonts w:ascii="仿宋_GB2312" w:hAnsi="仿宋_GB2312" w:cs="仿宋_GB2312" w:eastAsia="仿宋_GB2312"/>
                <w:sz w:val="28"/>
              </w:rPr>
              <w:t>(三)监督考评原则和依据</w:t>
            </w:r>
          </w:p>
          <w:p>
            <w:pPr>
              <w:pStyle w:val="null3"/>
              <w:ind w:firstLine="526"/>
              <w:jc w:val="both"/>
            </w:pPr>
            <w:r>
              <w:rPr>
                <w:rFonts w:ascii="仿宋_GB2312" w:hAnsi="仿宋_GB2312" w:cs="仿宋_GB2312" w:eastAsia="仿宋_GB2312"/>
                <w:sz w:val="28"/>
              </w:rPr>
              <w:t>1、监督考评原则。严格按照相关的法律法规、标准规范，对全市环卫作业质量实施对标考评。考评工作强调环卫作业质量的日常监督检查，注重环卫作业过程的管控，真实反映环卫作业管理的整体水平和各区及所辖的镇、村环境卫生作业质量的管理状况。</w:t>
            </w:r>
          </w:p>
          <w:p>
            <w:pPr>
              <w:pStyle w:val="null3"/>
              <w:ind w:firstLine="526"/>
              <w:jc w:val="both"/>
            </w:pPr>
            <w:r>
              <w:rPr>
                <w:rFonts w:ascii="仿宋_GB2312" w:hAnsi="仿宋_GB2312" w:cs="仿宋_GB2312" w:eastAsia="仿宋_GB2312"/>
                <w:sz w:val="28"/>
              </w:rPr>
              <w:t>—坚持“公开、公平、公正”的原则。对各区及所辖的镇、村环境卫生作业监督考评标准统一，方式方法公开，严格按规定程序形成书面报告上报市政府最终审定。</w:t>
            </w:r>
          </w:p>
          <w:p>
            <w:pPr>
              <w:pStyle w:val="null3"/>
              <w:ind w:firstLine="526"/>
              <w:jc w:val="both"/>
            </w:pPr>
            <w:r>
              <w:rPr>
                <w:rFonts w:ascii="仿宋_GB2312" w:hAnsi="仿宋_GB2312" w:cs="仿宋_GB2312" w:eastAsia="仿宋_GB2312"/>
                <w:sz w:val="28"/>
              </w:rPr>
              <w:t>—坚持“日查、周查、月查及明查与暗访相结合”的原则。通过不同考核周期、多种检查方式，全方位、客观、真实反映环卫作业质量管理情况，最大限度保障政府与企业的权益。</w:t>
            </w:r>
          </w:p>
          <w:p>
            <w:pPr>
              <w:pStyle w:val="null3"/>
              <w:ind w:firstLine="526"/>
              <w:jc w:val="both"/>
            </w:pPr>
            <w:r>
              <w:rPr>
                <w:rFonts w:ascii="仿宋_GB2312" w:hAnsi="仿宋_GB2312" w:cs="仿宋_GB2312" w:eastAsia="仿宋_GB2312"/>
                <w:sz w:val="28"/>
              </w:rPr>
              <w:t>—坚持“责、权、利统一”的原则。根据市、区环卫部门、镇政府、服务企业以及相关人员在作业质量监督考核工作中的分工，明确工作内容，厘清责任边界，考核结果与付费挂钩，使责任、权利、利益三者有机结合。</w:t>
            </w:r>
          </w:p>
          <w:p>
            <w:pPr>
              <w:pStyle w:val="null3"/>
              <w:ind w:firstLine="526"/>
              <w:jc w:val="both"/>
            </w:pPr>
            <w:r>
              <w:rPr>
                <w:rFonts w:ascii="仿宋_GB2312" w:hAnsi="仿宋_GB2312" w:cs="仿宋_GB2312" w:eastAsia="仿宋_GB2312"/>
                <w:sz w:val="28"/>
              </w:rPr>
              <w:t>2、监督考评依据。</w:t>
            </w:r>
          </w:p>
          <w:p>
            <w:pPr>
              <w:pStyle w:val="null3"/>
              <w:ind w:firstLine="526"/>
              <w:jc w:val="both"/>
            </w:pPr>
            <w:r>
              <w:rPr>
                <w:rFonts w:ascii="仿宋_GB2312" w:hAnsi="仿宋_GB2312" w:cs="仿宋_GB2312" w:eastAsia="仿宋_GB2312"/>
                <w:sz w:val="28"/>
              </w:rPr>
              <w:t>(1)与各环卫服务企业签订的PPP项目特许经营协议；</w:t>
            </w:r>
          </w:p>
          <w:p>
            <w:pPr>
              <w:pStyle w:val="null3"/>
              <w:ind w:firstLine="526"/>
              <w:jc w:val="both"/>
            </w:pPr>
            <w:r>
              <w:rPr>
                <w:rFonts w:ascii="仿宋_GB2312" w:hAnsi="仿宋_GB2312" w:cs="仿宋_GB2312" w:eastAsia="仿宋_GB2312"/>
                <w:sz w:val="28"/>
              </w:rPr>
              <w:t>(2)《海口市环卫作业质量考核办法(202</w:t>
            </w:r>
            <w:r>
              <w:rPr>
                <w:rFonts w:ascii="仿宋_GB2312" w:hAnsi="仿宋_GB2312" w:cs="仿宋_GB2312" w:eastAsia="仿宋_GB2312"/>
                <w:sz w:val="28"/>
              </w:rPr>
              <w:t>3</w:t>
            </w:r>
            <w:r>
              <w:rPr>
                <w:rFonts w:ascii="仿宋_GB2312" w:hAnsi="仿宋_GB2312" w:cs="仿宋_GB2312" w:eastAsia="仿宋_GB2312"/>
                <w:sz w:val="28"/>
              </w:rPr>
              <w:t>年版</w:t>
            </w:r>
            <w:r>
              <w:rPr>
                <w:rFonts w:ascii="仿宋_GB2312" w:hAnsi="仿宋_GB2312" w:cs="仿宋_GB2312" w:eastAsia="仿宋_GB2312"/>
                <w:sz w:val="28"/>
              </w:rPr>
              <w:t>) 》 ；</w:t>
            </w:r>
          </w:p>
          <w:p>
            <w:pPr>
              <w:pStyle w:val="null3"/>
              <w:ind w:firstLine="526"/>
              <w:jc w:val="both"/>
            </w:pPr>
            <w:r>
              <w:rPr>
                <w:rFonts w:ascii="仿宋_GB2312" w:hAnsi="仿宋_GB2312" w:cs="仿宋_GB2312" w:eastAsia="仿宋_GB2312"/>
                <w:sz w:val="28"/>
              </w:rPr>
              <w:t>(3)《海口市环境卫生一体化作业质量标准》；</w:t>
            </w:r>
          </w:p>
          <w:p>
            <w:pPr>
              <w:pStyle w:val="null3"/>
              <w:ind w:firstLine="526"/>
              <w:jc w:val="both"/>
            </w:pPr>
            <w:r>
              <w:rPr>
                <w:rFonts w:ascii="仿宋_GB2312" w:hAnsi="仿宋_GB2312" w:cs="仿宋_GB2312" w:eastAsia="仿宋_GB2312"/>
                <w:sz w:val="28"/>
              </w:rPr>
              <w:t>(4)《海口市环境卫生一体化作业质量检查考核评分细则》 ；</w:t>
            </w:r>
          </w:p>
          <w:p>
            <w:pPr>
              <w:pStyle w:val="null3"/>
              <w:ind w:firstLine="526"/>
              <w:jc w:val="both"/>
            </w:pPr>
            <w:r>
              <w:rPr>
                <w:rFonts w:ascii="仿宋_GB2312" w:hAnsi="仿宋_GB2312" w:cs="仿宋_GB2312" w:eastAsia="仿宋_GB2312"/>
                <w:sz w:val="28"/>
              </w:rPr>
              <w:t>(5)《城镇市容环境卫生劳动定额》(HLD47-101-2008) ；</w:t>
            </w:r>
          </w:p>
          <w:p>
            <w:pPr>
              <w:pStyle w:val="null3"/>
              <w:ind w:firstLine="526"/>
              <w:jc w:val="both"/>
            </w:pPr>
            <w:r>
              <w:rPr>
                <w:rFonts w:ascii="仿宋_GB2312" w:hAnsi="仿宋_GB2312" w:cs="仿宋_GB2312" w:eastAsia="仿宋_GB2312"/>
                <w:sz w:val="28"/>
              </w:rPr>
              <w:t>(6)《环境卫生设施设置标准》(CJJ27-2012) ；</w:t>
            </w:r>
          </w:p>
          <w:p>
            <w:pPr>
              <w:pStyle w:val="null3"/>
              <w:ind w:firstLine="526"/>
              <w:jc w:val="both"/>
            </w:pPr>
            <w:r>
              <w:rPr>
                <w:rFonts w:ascii="仿宋_GB2312" w:hAnsi="仿宋_GB2312" w:cs="仿宋_GB2312" w:eastAsia="仿宋_GB2312"/>
                <w:sz w:val="28"/>
              </w:rPr>
              <w:t>(7)《海口市农村环境卫生管理办法》；</w:t>
            </w:r>
          </w:p>
          <w:p>
            <w:pPr>
              <w:pStyle w:val="null3"/>
              <w:ind w:firstLine="526"/>
              <w:jc w:val="both"/>
            </w:pPr>
            <w:r>
              <w:rPr>
                <w:rFonts w:ascii="仿宋_GB2312" w:hAnsi="仿宋_GB2312" w:cs="仿宋_GB2312" w:eastAsia="仿宋_GB2312"/>
                <w:sz w:val="28"/>
              </w:rPr>
              <w:t>(8)《海口市环境卫生管理局农村生活垃圾治理专项督查考评工作方案》；</w:t>
            </w:r>
          </w:p>
          <w:p>
            <w:pPr>
              <w:pStyle w:val="null3"/>
              <w:ind w:firstLine="526"/>
              <w:jc w:val="both"/>
            </w:pPr>
            <w:r>
              <w:rPr>
                <w:rFonts w:ascii="仿宋_GB2312" w:hAnsi="仿宋_GB2312" w:cs="仿宋_GB2312" w:eastAsia="仿宋_GB2312"/>
                <w:sz w:val="28"/>
              </w:rPr>
              <w:t>(9)《海南省农村垃圾治理考核验收办法》。</w:t>
            </w:r>
          </w:p>
          <w:p>
            <w:pPr>
              <w:pStyle w:val="null3"/>
              <w:ind w:firstLine="526"/>
              <w:jc w:val="both"/>
            </w:pPr>
            <w:r>
              <w:rPr>
                <w:rFonts w:ascii="仿宋_GB2312" w:hAnsi="仿宋_GB2312" w:cs="仿宋_GB2312" w:eastAsia="仿宋_GB2312"/>
                <w:sz w:val="28"/>
              </w:rPr>
              <w:t>(四)监督考评内容</w:t>
            </w:r>
          </w:p>
          <w:p>
            <w:pPr>
              <w:pStyle w:val="null3"/>
              <w:ind w:firstLine="526"/>
              <w:jc w:val="both"/>
            </w:pPr>
            <w:r>
              <w:rPr>
                <w:rFonts w:ascii="仿宋_GB2312" w:hAnsi="仿宋_GB2312" w:cs="仿宋_GB2312" w:eastAsia="仿宋_GB2312"/>
                <w:sz w:val="28"/>
              </w:rPr>
              <w:t>1、城区环卫：对海口市主城区各区环卫作业质量进行督查考评。主要包括：</w:t>
            </w:r>
          </w:p>
          <w:p>
            <w:pPr>
              <w:pStyle w:val="null3"/>
              <w:ind w:firstLine="526"/>
              <w:jc w:val="both"/>
            </w:pPr>
            <w:r>
              <w:rPr>
                <w:rFonts w:ascii="仿宋_GB2312" w:hAnsi="仿宋_GB2312" w:cs="仿宋_GB2312" w:eastAsia="仿宋_GB2312"/>
                <w:sz w:val="28"/>
              </w:rPr>
              <w:t>(1)城区道路、小街小巷、人行道、人行天桥、地下通道、公共广场、休闲慢行道的清扫保洁；</w:t>
            </w:r>
          </w:p>
          <w:p>
            <w:pPr>
              <w:pStyle w:val="null3"/>
              <w:ind w:firstLine="526"/>
              <w:jc w:val="both"/>
            </w:pPr>
            <w:r>
              <w:rPr>
                <w:rFonts w:ascii="仿宋_GB2312" w:hAnsi="仿宋_GB2312" w:cs="仿宋_GB2312" w:eastAsia="仿宋_GB2312"/>
                <w:sz w:val="28"/>
              </w:rPr>
              <w:t>(2)园林绿地、绿化带清扫保洁（与园林绿化考核专项不重复）；</w:t>
            </w:r>
          </w:p>
          <w:p>
            <w:pPr>
              <w:pStyle w:val="null3"/>
              <w:ind w:firstLine="526"/>
              <w:jc w:val="both"/>
            </w:pPr>
            <w:r>
              <w:rPr>
                <w:rFonts w:ascii="仿宋_GB2312" w:hAnsi="仿宋_GB2312" w:cs="仿宋_GB2312" w:eastAsia="仿宋_GB2312"/>
                <w:sz w:val="28"/>
              </w:rPr>
              <w:t>(3)道路名牌、交通护栏、路灯杆、交通指示牌杆和沿街构筑物等2米以下部分的乱涂写、乱张贴的清理及雨水篦子的清掏；</w:t>
            </w:r>
          </w:p>
          <w:p>
            <w:pPr>
              <w:pStyle w:val="null3"/>
              <w:ind w:firstLine="526"/>
              <w:jc w:val="both"/>
            </w:pPr>
            <w:r>
              <w:rPr>
                <w:rFonts w:ascii="仿宋_GB2312" w:hAnsi="仿宋_GB2312" w:cs="仿宋_GB2312" w:eastAsia="仿宋_GB2312"/>
                <w:sz w:val="28"/>
              </w:rPr>
              <w:t>(4)水域环境卫生管理（含海上环卫作业）；</w:t>
            </w:r>
          </w:p>
          <w:p>
            <w:pPr>
              <w:pStyle w:val="null3"/>
              <w:ind w:firstLine="526"/>
              <w:jc w:val="both"/>
            </w:pPr>
            <w:r>
              <w:rPr>
                <w:rFonts w:ascii="仿宋_GB2312" w:hAnsi="仿宋_GB2312" w:cs="仿宋_GB2312" w:eastAsia="仿宋_GB2312"/>
                <w:sz w:val="28"/>
              </w:rPr>
              <w:t>(5)生活垃圾收集箱、果皮箱的设置与管理；</w:t>
            </w:r>
          </w:p>
          <w:p>
            <w:pPr>
              <w:pStyle w:val="null3"/>
              <w:ind w:firstLine="526"/>
              <w:jc w:val="both"/>
            </w:pPr>
            <w:r>
              <w:rPr>
                <w:rFonts w:ascii="仿宋_GB2312" w:hAnsi="仿宋_GB2312" w:cs="仿宋_GB2312" w:eastAsia="仿宋_GB2312"/>
                <w:sz w:val="28"/>
              </w:rPr>
              <w:t>(6)生活垃圾的收集、运输；</w:t>
            </w:r>
          </w:p>
          <w:p>
            <w:pPr>
              <w:pStyle w:val="null3"/>
              <w:ind w:firstLine="526"/>
              <w:jc w:val="both"/>
            </w:pPr>
            <w:r>
              <w:rPr>
                <w:rFonts w:ascii="仿宋_GB2312" w:hAnsi="仿宋_GB2312" w:cs="仿宋_GB2312" w:eastAsia="仿宋_GB2312"/>
                <w:sz w:val="28"/>
              </w:rPr>
              <w:t>(7)生活垃圾转运站的管理与垃圾运转；</w:t>
            </w:r>
          </w:p>
          <w:p>
            <w:pPr>
              <w:pStyle w:val="null3"/>
              <w:ind w:firstLine="526"/>
              <w:jc w:val="both"/>
            </w:pPr>
            <w:r>
              <w:rPr>
                <w:rFonts w:ascii="仿宋_GB2312" w:hAnsi="仿宋_GB2312" w:cs="仿宋_GB2312" w:eastAsia="仿宋_GB2312"/>
                <w:sz w:val="28"/>
              </w:rPr>
              <w:t>(8)公共厕所的管理；</w:t>
            </w:r>
          </w:p>
          <w:p>
            <w:pPr>
              <w:pStyle w:val="null3"/>
              <w:ind w:firstLine="526"/>
              <w:jc w:val="both"/>
            </w:pPr>
            <w:r>
              <w:rPr>
                <w:rFonts w:ascii="仿宋_GB2312" w:hAnsi="仿宋_GB2312" w:cs="仿宋_GB2312" w:eastAsia="仿宋_GB2312"/>
                <w:sz w:val="28"/>
              </w:rPr>
              <w:t>(9)城乡结合部、空旷地的环境卫生管理和无主垃圾的清理；</w:t>
            </w:r>
          </w:p>
          <w:p>
            <w:pPr>
              <w:pStyle w:val="null3"/>
              <w:ind w:firstLine="526"/>
              <w:jc w:val="both"/>
            </w:pPr>
            <w:r>
              <w:rPr>
                <w:rFonts w:ascii="仿宋_GB2312" w:hAnsi="仿宋_GB2312" w:cs="仿宋_GB2312" w:eastAsia="仿宋_GB2312"/>
                <w:sz w:val="28"/>
              </w:rPr>
              <w:t>(10)环卫作业安全生产；</w:t>
            </w:r>
          </w:p>
          <w:p>
            <w:pPr>
              <w:pStyle w:val="null3"/>
              <w:ind w:firstLine="526"/>
              <w:jc w:val="both"/>
            </w:pPr>
            <w:r>
              <w:rPr>
                <w:rFonts w:ascii="仿宋_GB2312" w:hAnsi="仿宋_GB2312" w:cs="仿宋_GB2312" w:eastAsia="仿宋_GB2312"/>
                <w:sz w:val="28"/>
              </w:rPr>
              <w:t>(11)洒水降尘工作监管。</w:t>
            </w:r>
          </w:p>
          <w:p>
            <w:pPr>
              <w:pStyle w:val="null3"/>
              <w:ind w:firstLine="526"/>
              <w:jc w:val="both"/>
            </w:pPr>
            <w:r>
              <w:rPr>
                <w:rFonts w:ascii="仿宋_GB2312" w:hAnsi="仿宋_GB2312" w:cs="仿宋_GB2312" w:eastAsia="仿宋_GB2312"/>
                <w:sz w:val="28"/>
              </w:rPr>
              <w:t>2、农村环卫：对海口市行政辖区范围内所有镇墟和村庄的环卫作业质量进行督查考评。督查考评范围包括全市四个行政区22个镇墟、桂林洋、高新技术开发区及三江农场等，覆盖全市272个行政村及2482个自然村。主要包括：</w:t>
            </w:r>
          </w:p>
          <w:p>
            <w:pPr>
              <w:pStyle w:val="null3"/>
              <w:ind w:firstLine="526"/>
              <w:jc w:val="both"/>
            </w:pPr>
            <w:r>
              <w:rPr>
                <w:rFonts w:ascii="仿宋_GB2312" w:hAnsi="仿宋_GB2312" w:cs="仿宋_GB2312" w:eastAsia="仿宋_GB2312"/>
                <w:sz w:val="28"/>
              </w:rPr>
              <w:t>(1)镇墟环境卫生和农村的田间地头、镇村道路、空地等区域是否有陈年积存垃圾；</w:t>
            </w:r>
          </w:p>
          <w:p>
            <w:pPr>
              <w:pStyle w:val="null3"/>
              <w:ind w:firstLine="526"/>
              <w:jc w:val="both"/>
            </w:pPr>
            <w:r>
              <w:rPr>
                <w:rFonts w:ascii="仿宋_GB2312" w:hAnsi="仿宋_GB2312" w:cs="仿宋_GB2312" w:eastAsia="仿宋_GB2312"/>
                <w:sz w:val="28"/>
              </w:rPr>
              <w:t>(2)主要道路沿线是否有临时性垃圾堆放点；</w:t>
            </w:r>
          </w:p>
          <w:p>
            <w:pPr>
              <w:pStyle w:val="null3"/>
              <w:ind w:firstLine="526"/>
              <w:jc w:val="both"/>
            </w:pPr>
            <w:r>
              <w:rPr>
                <w:rFonts w:ascii="仿宋_GB2312" w:hAnsi="仿宋_GB2312" w:cs="仿宋_GB2312" w:eastAsia="仿宋_GB2312"/>
                <w:sz w:val="28"/>
              </w:rPr>
              <w:t>(3)坑塘沟渠是否有漂浮垃圾；</w:t>
            </w:r>
          </w:p>
          <w:p>
            <w:pPr>
              <w:pStyle w:val="null3"/>
              <w:ind w:firstLine="526"/>
              <w:jc w:val="both"/>
            </w:pPr>
            <w:r>
              <w:rPr>
                <w:rFonts w:ascii="仿宋_GB2312" w:hAnsi="仿宋_GB2312" w:cs="仿宋_GB2312" w:eastAsia="仿宋_GB2312"/>
                <w:sz w:val="28"/>
              </w:rPr>
              <w:t>(4)农户房前屋后是否有随意倾倒垃圾现象；</w:t>
            </w:r>
          </w:p>
          <w:p>
            <w:pPr>
              <w:pStyle w:val="null3"/>
              <w:ind w:firstLine="526"/>
              <w:jc w:val="both"/>
            </w:pPr>
            <w:r>
              <w:rPr>
                <w:rFonts w:ascii="仿宋_GB2312" w:hAnsi="仿宋_GB2312" w:cs="仿宋_GB2312" w:eastAsia="仿宋_GB2312"/>
                <w:sz w:val="28"/>
              </w:rPr>
              <w:t>(5)是否有垃圾直接焚烧现象；</w:t>
            </w:r>
          </w:p>
          <w:p>
            <w:pPr>
              <w:pStyle w:val="null3"/>
              <w:ind w:firstLine="526"/>
              <w:jc w:val="both"/>
            </w:pPr>
            <w:r>
              <w:rPr>
                <w:rFonts w:ascii="仿宋_GB2312" w:hAnsi="仿宋_GB2312" w:cs="仿宋_GB2312" w:eastAsia="仿宋_GB2312"/>
                <w:sz w:val="28"/>
              </w:rPr>
              <w:t>(6)是否有直接将垃圾倾倒于河、沟、塘现象；</w:t>
            </w:r>
          </w:p>
          <w:p>
            <w:pPr>
              <w:pStyle w:val="null3"/>
              <w:ind w:firstLine="526"/>
              <w:jc w:val="both"/>
            </w:pPr>
            <w:r>
              <w:rPr>
                <w:rFonts w:ascii="仿宋_GB2312" w:hAnsi="仿宋_GB2312" w:cs="仿宋_GB2312" w:eastAsia="仿宋_GB2312"/>
                <w:sz w:val="28"/>
              </w:rPr>
              <w:t>(7)保洁员配备及管理等情况。</w:t>
            </w:r>
          </w:p>
          <w:p>
            <w:pPr>
              <w:pStyle w:val="null3"/>
              <w:ind w:firstLine="526"/>
              <w:jc w:val="both"/>
            </w:pPr>
            <w:r>
              <w:rPr>
                <w:rFonts w:ascii="仿宋_GB2312" w:hAnsi="仿宋_GB2312" w:cs="仿宋_GB2312" w:eastAsia="仿宋_GB2312"/>
                <w:sz w:val="28"/>
              </w:rPr>
              <w:t>3、</w:t>
            </w:r>
            <w:r>
              <w:rPr>
                <w:rFonts w:ascii="仿宋_GB2312" w:hAnsi="仿宋_GB2312" w:cs="仿宋_GB2312" w:eastAsia="仿宋_GB2312"/>
                <w:sz w:val="28"/>
              </w:rPr>
              <w:t>接受、协助业主单位做好重大活动、重大节假日及临时应急、突发事件期间环卫（作业）督查保障工作。</w:t>
            </w:r>
          </w:p>
          <w:p>
            <w:pPr>
              <w:pStyle w:val="null3"/>
              <w:ind w:firstLine="526"/>
              <w:jc w:val="both"/>
            </w:pPr>
            <w:r>
              <w:rPr>
                <w:rFonts w:ascii="仿宋_GB2312" w:hAnsi="仿宋_GB2312" w:cs="仿宋_GB2312" w:eastAsia="仿宋_GB2312"/>
                <w:sz w:val="28"/>
              </w:rPr>
              <w:t>4、为发挥社会监督作用，把党代表、人大代表、政协委员、群众举报、新闻媒体曝光、重大活动保障、突发事件的应急处置、上级主管部门交办事项的响应等一并列入检查考核内容。</w:t>
            </w:r>
          </w:p>
          <w:p>
            <w:pPr>
              <w:pStyle w:val="null3"/>
              <w:ind w:firstLine="526"/>
              <w:jc w:val="both"/>
            </w:pPr>
            <w:r>
              <w:rPr>
                <w:rFonts w:ascii="仿宋_GB2312" w:hAnsi="仿宋_GB2312" w:cs="仿宋_GB2312" w:eastAsia="仿宋_GB2312"/>
                <w:sz w:val="28"/>
              </w:rPr>
              <w:t>5、完成业主单位有关考核工作交办的其他事项。</w:t>
            </w:r>
          </w:p>
          <w:p>
            <w:pPr>
              <w:pStyle w:val="null3"/>
              <w:ind w:firstLine="526"/>
              <w:jc w:val="both"/>
            </w:pPr>
            <w:r>
              <w:rPr>
                <w:rFonts w:ascii="仿宋_GB2312" w:hAnsi="仿宋_GB2312" w:cs="仿宋_GB2312" w:eastAsia="仿宋_GB2312"/>
                <w:sz w:val="28"/>
              </w:rPr>
              <w:t>五、监督考评组织实施</w:t>
            </w:r>
          </w:p>
          <w:p>
            <w:pPr>
              <w:pStyle w:val="null3"/>
              <w:ind w:firstLine="526"/>
              <w:jc w:val="both"/>
            </w:pPr>
            <w:r>
              <w:rPr>
                <w:rFonts w:ascii="仿宋_GB2312" w:hAnsi="仿宋_GB2312" w:cs="仿宋_GB2312" w:eastAsia="仿宋_GB2312"/>
                <w:sz w:val="28"/>
              </w:rPr>
              <w:t>在采购人指导下，由中标人组织开展市级质量检查考核工作。</w:t>
            </w:r>
          </w:p>
          <w:p>
            <w:pPr>
              <w:pStyle w:val="null3"/>
              <w:ind w:firstLine="526"/>
              <w:jc w:val="both"/>
            </w:pPr>
            <w:r>
              <w:rPr>
                <w:rFonts w:ascii="仿宋_GB2312" w:hAnsi="仿宋_GB2312" w:cs="仿宋_GB2312" w:eastAsia="仿宋_GB2312"/>
                <w:sz w:val="28"/>
              </w:rPr>
              <w:t>1、采购人职责</w:t>
            </w:r>
          </w:p>
          <w:p>
            <w:pPr>
              <w:pStyle w:val="null3"/>
              <w:ind w:firstLine="526"/>
              <w:jc w:val="both"/>
            </w:pPr>
            <w:r>
              <w:rPr>
                <w:rFonts w:ascii="仿宋_GB2312" w:hAnsi="仿宋_GB2312" w:cs="仿宋_GB2312" w:eastAsia="仿宋_GB2312"/>
                <w:sz w:val="28"/>
              </w:rPr>
              <w:t>(1)负责指导开展考核工作；</w:t>
            </w:r>
          </w:p>
          <w:p>
            <w:pPr>
              <w:pStyle w:val="null3"/>
              <w:ind w:firstLine="526"/>
              <w:jc w:val="both"/>
            </w:pPr>
            <w:r>
              <w:rPr>
                <w:rFonts w:ascii="仿宋_GB2312" w:hAnsi="仿宋_GB2312" w:cs="仿宋_GB2312" w:eastAsia="仿宋_GB2312"/>
                <w:sz w:val="28"/>
              </w:rPr>
              <w:t>(2)负责对考核人员技能进行抽检，考核人员掌握考核方法及要点后方可上岗；</w:t>
            </w:r>
          </w:p>
          <w:p>
            <w:pPr>
              <w:pStyle w:val="null3"/>
              <w:ind w:firstLine="526"/>
              <w:jc w:val="both"/>
            </w:pPr>
            <w:r>
              <w:rPr>
                <w:rFonts w:ascii="仿宋_GB2312" w:hAnsi="仿宋_GB2312" w:cs="仿宋_GB2312" w:eastAsia="仿宋_GB2312"/>
                <w:sz w:val="28"/>
              </w:rPr>
              <w:t>(3)负责对中标人提交的检查考核结果、考评报告进行审核。</w:t>
            </w:r>
          </w:p>
          <w:p>
            <w:pPr>
              <w:pStyle w:val="null3"/>
              <w:ind w:firstLine="526"/>
              <w:jc w:val="both"/>
            </w:pPr>
            <w:r>
              <w:rPr>
                <w:rFonts w:ascii="仿宋_GB2312" w:hAnsi="仿宋_GB2312" w:cs="仿宋_GB2312" w:eastAsia="仿宋_GB2312"/>
                <w:sz w:val="28"/>
              </w:rPr>
              <w:t>2、中标人职责</w:t>
            </w:r>
          </w:p>
          <w:p>
            <w:pPr>
              <w:pStyle w:val="null3"/>
              <w:ind w:firstLine="526"/>
              <w:jc w:val="both"/>
            </w:pPr>
            <w:r>
              <w:rPr>
                <w:rFonts w:ascii="仿宋_GB2312" w:hAnsi="仿宋_GB2312" w:cs="仿宋_GB2312" w:eastAsia="仿宋_GB2312"/>
                <w:sz w:val="28"/>
              </w:rPr>
              <w:t>(1)负责组织不少于36人组成的质量检查考核队伍，其中，项目经理1人，项目副经理2人，现场考核人员 28人，后台数据处理人员5人。</w:t>
            </w:r>
          </w:p>
          <w:p>
            <w:pPr>
              <w:pStyle w:val="null3"/>
              <w:ind w:firstLine="526"/>
              <w:jc w:val="both"/>
            </w:pPr>
            <w:r>
              <w:rPr>
                <w:rFonts w:ascii="仿宋_GB2312" w:hAnsi="仿宋_GB2312" w:cs="仿宋_GB2312" w:eastAsia="仿宋_GB2312"/>
                <w:sz w:val="28"/>
              </w:rPr>
              <w:t>城区环卫考核组，全员配备</w:t>
            </w:r>
            <w:r>
              <w:rPr>
                <w:rFonts w:ascii="仿宋_GB2312" w:hAnsi="仿宋_GB2312" w:cs="仿宋_GB2312" w:eastAsia="仿宋_GB2312"/>
                <w:sz w:val="28"/>
              </w:rPr>
              <w:t>“拍照或摄像”设备，负责各区的清扫保洁、垃圾收集清运、公厕管理、二级转运站及水域卫生等环卫质量的检查考核及量化评分。</w:t>
            </w:r>
          </w:p>
          <w:p>
            <w:pPr>
              <w:pStyle w:val="null3"/>
              <w:ind w:firstLine="526"/>
              <w:jc w:val="both"/>
            </w:pPr>
            <w:r>
              <w:rPr>
                <w:rFonts w:ascii="仿宋_GB2312" w:hAnsi="仿宋_GB2312" w:cs="仿宋_GB2312" w:eastAsia="仿宋_GB2312"/>
                <w:sz w:val="28"/>
              </w:rPr>
              <w:t>农村环卫考核组，全员配备</w:t>
            </w:r>
            <w:r>
              <w:rPr>
                <w:rFonts w:ascii="仿宋_GB2312" w:hAnsi="仿宋_GB2312" w:cs="仿宋_GB2312" w:eastAsia="仿宋_GB2312"/>
                <w:sz w:val="28"/>
              </w:rPr>
              <w:t>“拍照或摄像”设备，负责4个区、桂林洋开发区、高新技术产业开发区及三江农场的实地督查考核及量化评分。</w:t>
            </w:r>
          </w:p>
          <w:p>
            <w:pPr>
              <w:pStyle w:val="null3"/>
              <w:ind w:firstLine="526"/>
              <w:jc w:val="both"/>
            </w:pPr>
            <w:r>
              <w:rPr>
                <w:rFonts w:ascii="仿宋_GB2312" w:hAnsi="仿宋_GB2312" w:cs="仿宋_GB2312" w:eastAsia="仿宋_GB2312"/>
                <w:sz w:val="28"/>
              </w:rPr>
              <w:t>后台数据处理小组，负责报表统计及报告撰写。</w:t>
            </w:r>
          </w:p>
          <w:p>
            <w:pPr>
              <w:pStyle w:val="null3"/>
              <w:ind w:firstLine="526"/>
              <w:jc w:val="both"/>
            </w:pPr>
            <w:r>
              <w:rPr>
                <w:rFonts w:ascii="仿宋_GB2312" w:hAnsi="仿宋_GB2312" w:cs="仿宋_GB2312" w:eastAsia="仿宋_GB2312"/>
                <w:sz w:val="28"/>
              </w:rPr>
              <w:t>(2)城区环卫考核组对各区道路保洁作业（包括：清扫保洁、垃圾收集清运及公厕管理）质量实行日检查抽查制度，日检查样本及数量应达到或超过《作业质量考核评分表》（附表1-3）中的规定，并每周检查区域汇总后应对各区道路保洁作业范围进行全覆盖至少1轮。每周抽查1天作为量分考核检查，按照《作业质量考核评分表》（附表-3）进行考核评分。若发生12345投诉办件、市（含市级）以上领导点名或批示、采购人随机检查发现，问题点位在一周内未有过检查记录、问题报件和巡查痕迹，则采购人有权按照每发现一个问题点位扣减考核经费2万元人民币和问题点位数量对中标人进行处罚。</w:t>
            </w:r>
          </w:p>
          <w:p>
            <w:pPr>
              <w:pStyle w:val="null3"/>
              <w:ind w:firstLine="526"/>
              <w:jc w:val="both"/>
            </w:pPr>
            <w:r>
              <w:rPr>
                <w:rFonts w:ascii="仿宋_GB2312" w:hAnsi="仿宋_GB2312" w:cs="仿宋_GB2312" w:eastAsia="仿宋_GB2312"/>
                <w:sz w:val="28"/>
              </w:rPr>
              <w:t>城区环卫考核组对各区水域卫生作业质量实行日检查抽查制度，日检查样本及数量应达到或超过《作业质量考核评分表》（附表</w:t>
            </w:r>
            <w:r>
              <w:rPr>
                <w:rFonts w:ascii="仿宋_GB2312" w:hAnsi="仿宋_GB2312" w:cs="仿宋_GB2312" w:eastAsia="仿宋_GB2312"/>
                <w:sz w:val="28"/>
              </w:rPr>
              <w:t>4）中的规定，并每周检查区域汇总后应对各区水域卫生作业范围进行全覆盖至少1轮。每周抽查1天作为量分考核检查，按照《作业质量考核评分表》（附表4）进行考核评分。若发生12345投诉办件、市（含市级）以上领导点名或批示、采购人随机检查发现，问题点位在一周内未有过检查记录和巡查痕迹，则采购人有权按照每发现一个问题点位扣减考核经费2万元人民币和问题点位数量对中标人进行处罚。</w:t>
            </w:r>
          </w:p>
          <w:p>
            <w:pPr>
              <w:pStyle w:val="null3"/>
              <w:ind w:firstLine="526"/>
              <w:jc w:val="both"/>
            </w:pPr>
            <w:r>
              <w:rPr>
                <w:rFonts w:ascii="仿宋_GB2312" w:hAnsi="仿宋_GB2312" w:cs="仿宋_GB2312" w:eastAsia="仿宋_GB2312"/>
                <w:sz w:val="28"/>
              </w:rPr>
              <w:t>城区环卫考核组对白水塘、江东、长流</w:t>
            </w:r>
            <w:r>
              <w:rPr>
                <w:rFonts w:ascii="仿宋_GB2312" w:hAnsi="仿宋_GB2312" w:cs="仿宋_GB2312" w:eastAsia="仿宋_GB2312"/>
                <w:sz w:val="28"/>
              </w:rPr>
              <w:t>3座生活垃圾二级转运站实行日检查制度，每周抽查1天为量分考核检查，严格按照《生活垃圾二级转运作业质量考核评分表》（附表5) 进行考核评分。若发生12345投诉办件、市领导点名或批示、采购人随机检查发现，问题点位在一周内未有过检查记录和巡查痕迹，则采购人有权按照每发现一个问题点位扣减考核经费2万和问题点位数量对中标人进行处罚。</w:t>
            </w:r>
          </w:p>
          <w:p>
            <w:pPr>
              <w:pStyle w:val="null3"/>
              <w:ind w:firstLine="526"/>
              <w:jc w:val="both"/>
            </w:pPr>
            <w:r>
              <w:rPr>
                <w:rFonts w:ascii="仿宋_GB2312" w:hAnsi="仿宋_GB2312" w:cs="仿宋_GB2312" w:eastAsia="仿宋_GB2312"/>
                <w:sz w:val="28"/>
              </w:rPr>
              <w:t>日常督查、量分考核检查采取暗访随机抽查方式，考核过程中使用</w:t>
            </w:r>
            <w:r>
              <w:rPr>
                <w:rFonts w:ascii="仿宋_GB2312" w:hAnsi="仿宋_GB2312" w:cs="仿宋_GB2312" w:eastAsia="仿宋_GB2312"/>
                <w:sz w:val="28"/>
              </w:rPr>
              <w:t>“拍照或摄像”设备取证，对存在问题的扣分点拍照取证并上传考核系统登记备案和微信工作群，不能拍照取证扣分无效。</w:t>
            </w:r>
          </w:p>
          <w:p>
            <w:pPr>
              <w:pStyle w:val="null3"/>
              <w:ind w:firstLine="526"/>
              <w:jc w:val="both"/>
            </w:pPr>
            <w:r>
              <w:rPr>
                <w:rFonts w:ascii="仿宋_GB2312" w:hAnsi="仿宋_GB2312" w:cs="仿宋_GB2312" w:eastAsia="仿宋_GB2312"/>
                <w:sz w:val="28"/>
              </w:rPr>
              <w:t>(3)农村环卫考评小组对各区镇墟及农村生活垃圾治理专项工作实行月检查制度，每月考核1次。每月考核需覆盖全部镇墟及行政村（其中，各行政村的考核以随机抽取该行政村五分之一的自然村进行量分检查考核），严格按照《农村生活垃圾治理督查考评评分表》、《镇墟环境卫生考核评分表》（最终以采购人确认的表单为准)进行考核评分。对问题严重点位可重复进行量分考核。</w:t>
            </w:r>
          </w:p>
          <w:p>
            <w:pPr>
              <w:pStyle w:val="null3"/>
              <w:ind w:firstLine="526"/>
              <w:jc w:val="both"/>
            </w:pPr>
            <w:r>
              <w:rPr>
                <w:rFonts w:ascii="仿宋_GB2312" w:hAnsi="仿宋_GB2312" w:cs="仿宋_GB2312" w:eastAsia="仿宋_GB2312"/>
                <w:sz w:val="28"/>
              </w:rPr>
              <w:t>量分考核检查采取暗访随机抽查方式，考核过程中使用</w:t>
            </w:r>
            <w:r>
              <w:rPr>
                <w:rFonts w:ascii="仿宋_GB2312" w:hAnsi="仿宋_GB2312" w:cs="仿宋_GB2312" w:eastAsia="仿宋_GB2312"/>
                <w:sz w:val="28"/>
              </w:rPr>
              <w:t>“拍照或摄像”设备取证，对存在问题的扣分点拍照取证并上传考核系统登记备案和微信工作群，不能拍照取证扣分无效。</w:t>
            </w:r>
          </w:p>
          <w:p>
            <w:pPr>
              <w:pStyle w:val="null3"/>
              <w:ind w:firstLine="526"/>
              <w:jc w:val="both"/>
            </w:pPr>
            <w:r>
              <w:rPr>
                <w:rFonts w:ascii="仿宋_GB2312" w:hAnsi="仿宋_GB2312" w:cs="仿宋_GB2312" w:eastAsia="仿宋_GB2312"/>
                <w:sz w:val="28"/>
              </w:rPr>
              <w:t>(4)考评小组每次量分考核检查后，要及时整理考核记录，形成微文上报；后台数据处理小组根据考核组上报问题形成量分考核记录并于每周一前形成城区环卫考核周报，每月7日前形成上月城区及农村环卫考评月报，报送市城市管理局市容监督科。</w:t>
            </w:r>
          </w:p>
          <w:p>
            <w:pPr>
              <w:pStyle w:val="null3"/>
              <w:ind w:firstLine="526"/>
              <w:jc w:val="both"/>
            </w:pPr>
            <w:r>
              <w:rPr>
                <w:rFonts w:ascii="仿宋_GB2312" w:hAnsi="仿宋_GB2312" w:cs="仿宋_GB2312" w:eastAsia="仿宋_GB2312"/>
                <w:sz w:val="28"/>
              </w:rPr>
              <w:t>(5)协助采购人完成城区季度考评报告，（并提供至少2套纸件资料：月、季报告，每月工作微文汇编以及专项检查工作微文汇编成册）。</w:t>
            </w:r>
          </w:p>
          <w:p>
            <w:pPr>
              <w:pStyle w:val="null3"/>
              <w:ind w:firstLine="526"/>
              <w:jc w:val="both"/>
            </w:pPr>
            <w:r>
              <w:rPr>
                <w:rFonts w:ascii="仿宋_GB2312" w:hAnsi="仿宋_GB2312" w:cs="仿宋_GB2312" w:eastAsia="仿宋_GB2312"/>
                <w:sz w:val="28"/>
              </w:rPr>
              <w:t>(6)协助采购人对各区环卫局履行监管职责情况进行监督。此外，依据环卫PPP 项目特许经营协议、《城管市容环境卫生劳动定额》(HLD47-101-2008)、《环境卫生设施设置标准》(CJJ27-2012)和《海口市环境卫生一体化作业质量标准》的有关规定，对环卫服务企业的各类环卫作业人员、设施设备配置情况以及质量管控体系进行监督、检查、评估。</w:t>
            </w:r>
          </w:p>
          <w:p>
            <w:pPr>
              <w:pStyle w:val="null3"/>
              <w:ind w:firstLine="526"/>
              <w:jc w:val="both"/>
            </w:pPr>
            <w:r>
              <w:rPr>
                <w:rFonts w:ascii="仿宋_GB2312" w:hAnsi="仿宋_GB2312" w:cs="仿宋_GB2312" w:eastAsia="仿宋_GB2312"/>
                <w:sz w:val="28"/>
              </w:rPr>
              <w:t>(7)协助采购人做好重大活动及重大节假日期间环卫（作业）督查保障工作，并制作专项微文。</w:t>
            </w:r>
          </w:p>
          <w:p>
            <w:pPr>
              <w:pStyle w:val="null3"/>
              <w:ind w:firstLine="526"/>
              <w:jc w:val="both"/>
            </w:pPr>
            <w:r>
              <w:rPr>
                <w:rFonts w:ascii="仿宋_GB2312" w:hAnsi="仿宋_GB2312" w:cs="仿宋_GB2312" w:eastAsia="仿宋_GB2312"/>
                <w:sz w:val="28"/>
              </w:rPr>
              <w:t>(8)台风期间和灾后重建期间工作检查不扣分，但对灾后所采取的应对措施和处置能力视情给予量分。</w:t>
            </w:r>
          </w:p>
          <w:p>
            <w:pPr>
              <w:pStyle w:val="null3"/>
              <w:ind w:firstLine="526"/>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）完成采购人临时交办的其他排查督查工作。</w:t>
            </w:r>
          </w:p>
          <w:p>
            <w:pPr>
              <w:pStyle w:val="null3"/>
              <w:ind w:firstLine="526"/>
              <w:jc w:val="both"/>
            </w:pPr>
            <w:r>
              <w:rPr>
                <w:rFonts w:ascii="仿宋_GB2312" w:hAnsi="仿宋_GB2312" w:cs="仿宋_GB2312" w:eastAsia="仿宋_GB2312"/>
                <w:sz w:val="28"/>
              </w:rPr>
              <w:t>(六)质量控制</w:t>
            </w:r>
          </w:p>
          <w:p>
            <w:pPr>
              <w:pStyle w:val="null3"/>
              <w:ind w:firstLine="526"/>
              <w:jc w:val="both"/>
            </w:pPr>
            <w:r>
              <w:rPr>
                <w:rFonts w:ascii="仿宋_GB2312" w:hAnsi="仿宋_GB2312" w:cs="仿宋_GB2312" w:eastAsia="仿宋_GB2312"/>
                <w:sz w:val="28"/>
              </w:rPr>
              <w:t>1、所有参与城乡环卫作业质量检查考核工作的相关人员必须经过系统培训，掌握考核方法及要点后方可上岗；</w:t>
            </w:r>
          </w:p>
          <w:p>
            <w:pPr>
              <w:pStyle w:val="null3"/>
              <w:ind w:firstLine="526"/>
              <w:jc w:val="both"/>
            </w:pPr>
            <w:r>
              <w:rPr>
                <w:rFonts w:ascii="仿宋_GB2312" w:hAnsi="仿宋_GB2312" w:cs="仿宋_GB2312" w:eastAsia="仿宋_GB2312"/>
                <w:sz w:val="28"/>
              </w:rPr>
              <w:t>2、所有质量检查考核人员必须严格按照本方案规定的监督考评内容、方式方法及标准开展质量检查考核工作；</w:t>
            </w:r>
          </w:p>
          <w:p>
            <w:pPr>
              <w:pStyle w:val="null3"/>
              <w:ind w:firstLine="526"/>
              <w:jc w:val="both"/>
            </w:pPr>
            <w:r>
              <w:rPr>
                <w:rFonts w:ascii="仿宋_GB2312" w:hAnsi="仿宋_GB2312" w:cs="仿宋_GB2312" w:eastAsia="仿宋_GB2312"/>
                <w:sz w:val="28"/>
              </w:rPr>
              <w:t>3、为保证检查考核工作的公平公正，各考评小组及人员实行检查区域轮换制度，并将轮岗名册报市城市管理局市容监督科备案；</w:t>
            </w:r>
          </w:p>
          <w:p>
            <w:pPr>
              <w:pStyle w:val="null3"/>
              <w:ind w:firstLine="526"/>
              <w:jc w:val="both"/>
            </w:pPr>
            <w:r>
              <w:rPr>
                <w:rFonts w:ascii="仿宋_GB2312" w:hAnsi="仿宋_GB2312" w:cs="仿宋_GB2312" w:eastAsia="仿宋_GB2312"/>
                <w:sz w:val="28"/>
              </w:rPr>
              <w:t>4、中标人负责定期与采购人组成督查小组，对各考评小组进行质量抽查；</w:t>
            </w:r>
          </w:p>
          <w:p>
            <w:pPr>
              <w:pStyle w:val="null3"/>
              <w:ind w:firstLine="526"/>
              <w:jc w:val="both"/>
            </w:pPr>
            <w:r>
              <w:rPr>
                <w:rFonts w:ascii="仿宋_GB2312" w:hAnsi="仿宋_GB2312" w:cs="仿宋_GB2312" w:eastAsia="仿宋_GB2312"/>
                <w:sz w:val="28"/>
              </w:rPr>
              <w:t>5、中标人对所提供质量检查考核结果的真实性、完整性、可靠性负责。</w:t>
            </w:r>
          </w:p>
          <w:p>
            <w:pPr>
              <w:pStyle w:val="null3"/>
              <w:ind w:firstLine="528"/>
              <w:jc w:val="both"/>
            </w:pPr>
            <w:r>
              <w:rPr>
                <w:rFonts w:ascii="仿宋_GB2312" w:hAnsi="仿宋_GB2312" w:cs="仿宋_GB2312" w:eastAsia="仿宋_GB2312"/>
                <w:sz w:val="28"/>
                <w:b/>
              </w:rPr>
              <w:t>三、其他要求</w:t>
            </w:r>
          </w:p>
          <w:p>
            <w:pPr>
              <w:pStyle w:val="null3"/>
              <w:ind w:firstLine="526"/>
              <w:jc w:val="both"/>
            </w:pPr>
            <w:r>
              <w:rPr>
                <w:rFonts w:ascii="仿宋_GB2312" w:hAnsi="仿宋_GB2312" w:cs="仿宋_GB2312" w:eastAsia="仿宋_GB2312"/>
                <w:sz w:val="28"/>
              </w:rPr>
              <w:t>1、</w:t>
            </w:r>
            <w:r>
              <w:rPr>
                <w:rFonts w:ascii="仿宋_GB2312" w:hAnsi="仿宋_GB2312" w:cs="仿宋_GB2312" w:eastAsia="仿宋_GB2312"/>
              </w:rPr>
              <w:t>为监督考评工作的延续衔接，中标人须在发放中标通知书当天进场开展工作。</w:t>
            </w:r>
          </w:p>
          <w:p>
            <w:pPr>
              <w:pStyle w:val="null3"/>
              <w:ind w:firstLine="526"/>
              <w:jc w:val="both"/>
            </w:pPr>
            <w:r>
              <w:rPr>
                <w:rFonts w:ascii="仿宋_GB2312" w:hAnsi="仿宋_GB2312" w:cs="仿宋_GB2312" w:eastAsia="仿宋_GB2312"/>
                <w:sz w:val="28"/>
              </w:rPr>
              <w:t>2、投标人必须根据所投产品的技术参数、资质资料编写投标文件。在中标结果公示期间，采购人有权对中标候选人所投产品的资质证书等进行核查，如发现与其投标文件中的描述不一，代理机构将报政府采购主管部门严肃处理。</w:t>
            </w:r>
          </w:p>
          <w:p>
            <w:pPr>
              <w:pStyle w:val="null3"/>
              <w:ind w:firstLine="526"/>
              <w:jc w:val="both"/>
            </w:pPr>
            <w:r>
              <w:rPr>
                <w:rFonts w:ascii="仿宋_GB2312" w:hAnsi="仿宋_GB2312" w:cs="仿宋_GB2312" w:eastAsia="仿宋_GB2312"/>
                <w:sz w:val="28"/>
              </w:rPr>
              <w:t>3、中标人要保持同采购人的密切联系，遇有重大事项及时报告和反馈信息，尊重项目业主方的意见，接受项目业主方的提议、监督和指导。</w:t>
            </w:r>
          </w:p>
          <w:p>
            <w:pPr>
              <w:pStyle w:val="null3"/>
              <w:jc w:val="both"/>
            </w:pPr>
            <w:r>
              <w:rPr>
                <w:rFonts w:ascii="仿宋_GB2312" w:hAnsi="仿宋_GB2312" w:cs="仿宋_GB2312" w:eastAsia="仿宋_GB2312"/>
                <w:sz w:val="28"/>
              </w:rPr>
              <w:t>4、附表1至附表</w:t>
            </w:r>
            <w:r>
              <w:rPr>
                <w:rFonts w:ascii="仿宋_GB2312" w:hAnsi="仿宋_GB2312" w:cs="仿宋_GB2312" w:eastAsia="仿宋_GB2312"/>
                <w:sz w:val="28"/>
              </w:rPr>
              <w:t>5</w:t>
            </w:r>
            <w:r>
              <w:rPr>
                <w:rFonts w:ascii="仿宋_GB2312" w:hAnsi="仿宋_GB2312" w:cs="仿宋_GB2312" w:eastAsia="仿宋_GB2312"/>
                <w:sz w:val="28"/>
              </w:rPr>
              <w:t>内容为投标人必须全部完全响应内容，如出现负偏离或未响应均视为未完全响应附表</w:t>
            </w:r>
            <w:r>
              <w:rPr>
                <w:rFonts w:ascii="仿宋_GB2312" w:hAnsi="仿宋_GB2312" w:cs="仿宋_GB2312" w:eastAsia="仿宋_GB2312"/>
                <w:sz w:val="28"/>
              </w:rPr>
              <w:t>1至附表</w:t>
            </w:r>
            <w:r>
              <w:rPr>
                <w:rFonts w:ascii="仿宋_GB2312" w:hAnsi="仿宋_GB2312" w:cs="仿宋_GB2312" w:eastAsia="仿宋_GB2312"/>
                <w:sz w:val="28"/>
              </w:rPr>
              <w:t>5</w:t>
            </w:r>
            <w:r>
              <w:rPr>
                <w:rFonts w:ascii="仿宋_GB2312" w:hAnsi="仿宋_GB2312" w:cs="仿宋_GB2312" w:eastAsia="仿宋_GB2312"/>
                <w:sz w:val="28"/>
              </w:rPr>
              <w:t>内容。</w:t>
            </w:r>
          </w:p>
          <w:p>
            <w:pPr>
              <w:pStyle w:val="null3"/>
              <w:jc w:val="left"/>
            </w:pPr>
            <w:r>
              <w:rPr>
                <w:rFonts w:ascii="仿宋_GB2312" w:hAnsi="仿宋_GB2312" w:cs="仿宋_GB2312" w:eastAsia="仿宋_GB2312"/>
                <w:sz w:val="28"/>
              </w:rPr>
              <w:t>附</w:t>
            </w:r>
            <w:r>
              <w:rPr>
                <w:rFonts w:ascii="仿宋_GB2312" w:hAnsi="仿宋_GB2312" w:cs="仿宋_GB2312" w:eastAsia="仿宋_GB2312"/>
                <w:sz w:val="28"/>
              </w:rPr>
              <w:t>表</w:t>
            </w:r>
            <w:r>
              <w:rPr>
                <w:rFonts w:ascii="仿宋_GB2312" w:hAnsi="仿宋_GB2312" w:cs="仿宋_GB2312" w:eastAsia="仿宋_GB2312"/>
                <w:sz w:val="28"/>
              </w:rPr>
              <w:t>1</w:t>
            </w:r>
          </w:p>
          <w:p>
            <w:pPr>
              <w:pStyle w:val="null3"/>
              <w:spacing w:before="90"/>
              <w:jc w:val="center"/>
            </w:pPr>
            <w:r>
              <w:rPr>
                <w:rFonts w:ascii="仿宋_GB2312" w:hAnsi="仿宋_GB2312" w:cs="仿宋_GB2312" w:eastAsia="仿宋_GB2312"/>
                <w:sz w:val="28"/>
              </w:rPr>
              <w:t>海</w:t>
            </w:r>
            <w:r>
              <w:rPr>
                <w:rFonts w:ascii="仿宋_GB2312" w:hAnsi="仿宋_GB2312" w:cs="仿宋_GB2312" w:eastAsia="仿宋_GB2312"/>
                <w:sz w:val="28"/>
              </w:rPr>
              <w:t>口</w:t>
            </w:r>
            <w:r>
              <w:rPr>
                <w:rFonts w:ascii="仿宋_GB2312" w:hAnsi="仿宋_GB2312" w:cs="仿宋_GB2312" w:eastAsia="仿宋_GB2312"/>
                <w:sz w:val="28"/>
              </w:rPr>
              <w:t>市环卫作业质量检查考核评分细则</w:t>
            </w:r>
            <w:r>
              <w:rPr>
                <w:rFonts w:ascii="仿宋_GB2312" w:hAnsi="仿宋_GB2312" w:cs="仿宋_GB2312" w:eastAsia="仿宋_GB2312"/>
                <w:sz w:val="28"/>
              </w:rPr>
              <w:t>-清扫保洁(50分)</w:t>
            </w:r>
          </w:p>
          <w:tbl>
            <w:tblPr>
              <w:tblInd w:type="dxa" w:w="105"/>
              <w:tblBorders>
                <w:top w:val="none" w:color="000000" w:sz="4"/>
                <w:left w:val="none" w:color="000000" w:sz="4"/>
                <w:bottom w:val="none" w:color="000000" w:sz="4"/>
                <w:right w:val="none" w:color="000000" w:sz="4"/>
                <w:insideH w:val="none"/>
                <w:insideV w:val="none"/>
              </w:tblBorders>
            </w:tblPr>
            <w:tblGrid>
              <w:gridCol w:w="116"/>
              <w:gridCol w:w="334"/>
              <w:gridCol w:w="348"/>
              <w:gridCol w:w="943"/>
              <w:gridCol w:w="614"/>
              <w:gridCol w:w="184"/>
            </w:tblGrid>
            <w:tr>
              <w:tc>
                <w:tcPr>
                  <w:tcW w:type="dxa" w:w="1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序号</w:t>
                  </w:r>
                </w:p>
              </w:tc>
              <w:tc>
                <w:tcPr>
                  <w:tcW w:type="dxa" w:w="3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考核内容</w:t>
                  </w:r>
                </w:p>
              </w:tc>
              <w:tc>
                <w:tcPr>
                  <w:tcW w:type="dxa" w:w="3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样本及数量</w:t>
                  </w:r>
                </w:p>
              </w:tc>
              <w:tc>
                <w:tcPr>
                  <w:tcW w:type="dxa" w:w="9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管理要求</w:t>
                  </w:r>
                </w:p>
              </w:tc>
              <w:tc>
                <w:tcPr>
                  <w:tcW w:type="dxa" w:w="6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评分标准</w:t>
                  </w:r>
                </w:p>
              </w:tc>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得分</w:t>
                  </w: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道路清扫作业</w:t>
                  </w:r>
                </w:p>
              </w:tc>
              <w:tc>
                <w:tcPr>
                  <w:tcW w:type="dxa" w:w="3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一、二级道路</w:t>
                  </w:r>
                  <w:r>
                    <w:rPr>
                      <w:rFonts w:ascii="仿宋_GB2312" w:hAnsi="仿宋_GB2312" w:cs="仿宋_GB2312" w:eastAsia="仿宋_GB2312"/>
                      <w:sz w:val="20"/>
                    </w:rPr>
                    <w:t>20-35</w:t>
                  </w:r>
                </w:p>
                <w:p>
                  <w:pPr>
                    <w:pStyle w:val="null3"/>
                    <w:spacing w:before="60"/>
                    <w:ind w:left="90"/>
                    <w:jc w:val="both"/>
                  </w:pPr>
                  <w:r>
                    <w:rPr>
                      <w:rFonts w:ascii="仿宋_GB2312" w:hAnsi="仿宋_GB2312" w:cs="仿宋_GB2312" w:eastAsia="仿宋_GB2312"/>
                      <w:sz w:val="20"/>
                    </w:rPr>
                    <w:t>条，三、四级道路</w:t>
                  </w:r>
                </w:p>
                <w:p>
                  <w:pPr>
                    <w:pStyle w:val="null3"/>
                    <w:spacing w:before="60"/>
                    <w:ind w:left="90"/>
                    <w:jc w:val="both"/>
                  </w:pPr>
                  <w:r>
                    <w:rPr>
                      <w:rFonts w:ascii="仿宋_GB2312" w:hAnsi="仿宋_GB2312" w:cs="仿宋_GB2312" w:eastAsia="仿宋_GB2312"/>
                      <w:sz w:val="20"/>
                    </w:rPr>
                    <w:t>16-30条，背街小</w:t>
                  </w:r>
                </w:p>
                <w:p>
                  <w:pPr>
                    <w:pStyle w:val="null3"/>
                    <w:spacing w:before="60"/>
                    <w:ind w:left="90"/>
                    <w:jc w:val="both"/>
                  </w:pPr>
                  <w:r>
                    <w:rPr>
                      <w:rFonts w:ascii="仿宋_GB2312" w:hAnsi="仿宋_GB2312" w:cs="仿宋_GB2312" w:eastAsia="仿宋_GB2312"/>
                      <w:sz w:val="20"/>
                    </w:rPr>
                    <w:t>巷</w:t>
                  </w:r>
                  <w:r>
                    <w:rPr>
                      <w:rFonts w:ascii="仿宋_GB2312" w:hAnsi="仿宋_GB2312" w:cs="仿宋_GB2312" w:eastAsia="仿宋_GB2312"/>
                      <w:sz w:val="20"/>
                    </w:rPr>
                    <w:t>12-30条，人流</w:t>
                  </w:r>
                </w:p>
                <w:p>
                  <w:pPr>
                    <w:pStyle w:val="null3"/>
                    <w:spacing w:before="60"/>
                    <w:ind w:left="90"/>
                    <w:jc w:val="both"/>
                  </w:pPr>
                  <w:r>
                    <w:rPr>
                      <w:rFonts w:ascii="仿宋_GB2312" w:hAnsi="仿宋_GB2312" w:cs="仿宋_GB2312" w:eastAsia="仿宋_GB2312"/>
                      <w:sz w:val="20"/>
                    </w:rPr>
                    <w:t>量、车流量较大的</w:t>
                  </w:r>
                </w:p>
                <w:p>
                  <w:pPr>
                    <w:pStyle w:val="null3"/>
                    <w:spacing w:before="60"/>
                    <w:ind w:left="90"/>
                    <w:jc w:val="both"/>
                  </w:pPr>
                  <w:r>
                    <w:rPr>
                      <w:rFonts w:ascii="仿宋_GB2312" w:hAnsi="仿宋_GB2312" w:cs="仿宋_GB2312" w:eastAsia="仿宋_GB2312"/>
                      <w:sz w:val="20"/>
                    </w:rPr>
                    <w:t>路段随机</w:t>
                  </w: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每日</w:t>
                  </w:r>
                  <w:r>
                    <w:rPr>
                      <w:rFonts w:ascii="仿宋_GB2312" w:hAnsi="仿宋_GB2312" w:cs="仿宋_GB2312" w:eastAsia="仿宋_GB2312"/>
                      <w:sz w:val="20"/>
                    </w:rPr>
                    <w:t>00:00至6:30、13:00至17:00为普扫作业时间。</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未按规定完成普扫作业的道路，每条扣</w:t>
                  </w:r>
                  <w:r>
                    <w:rPr>
                      <w:rFonts w:ascii="仿宋_GB2312" w:hAnsi="仿宋_GB2312" w:cs="仿宋_GB2312" w:eastAsia="仿宋_GB2312"/>
                      <w:sz w:val="20"/>
                    </w:rPr>
                    <w:t>0.2分。</w:t>
                  </w:r>
                </w:p>
              </w:tc>
              <w:tc>
                <w:tcPr>
                  <w:tcW w:type="dxa" w:w="1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2</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道路保洁作业</w:t>
                  </w:r>
                </w:p>
              </w:tc>
              <w:tc>
                <w:tcPr>
                  <w:tcW w:type="dxa" w:w="348"/>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一、二级道路巡回保洁时间为每日</w:t>
                  </w:r>
                  <w:r>
                    <w:rPr>
                      <w:rFonts w:ascii="仿宋_GB2312" w:hAnsi="仿宋_GB2312" w:cs="仿宋_GB2312" w:eastAsia="仿宋_GB2312"/>
                      <w:sz w:val="20"/>
                    </w:rPr>
                    <w:t>6：30至24：00，三、四级道路巡回保洁时间为每日6：30至22：00。</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保洁作业达不到规定时间的道路，每条扣</w:t>
                  </w:r>
                  <w:r>
                    <w:rPr>
                      <w:rFonts w:ascii="仿宋_GB2312" w:hAnsi="仿宋_GB2312" w:cs="仿宋_GB2312" w:eastAsia="仿宋_GB2312"/>
                      <w:sz w:val="20"/>
                    </w:rPr>
                    <w:t>0.2分。</w:t>
                  </w:r>
                </w:p>
              </w:tc>
              <w:tc>
                <w:tcPr>
                  <w:tcW w:type="dxa" w:w="184"/>
                  <w:vMerge/>
                  <w:tcBorders>
                    <w:top w:val="none" w:color="000000" w:sz="4"/>
                    <w:left w:val="single" w:color="000000" w:sz="4"/>
                    <w:bottom w:val="single" w:color="000000" w:sz="4"/>
                    <w:right w:val="single" w:color="000000" w:sz="4"/>
                  </w:tcBorders>
                </w:tc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3</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道路冲洗和洒</w:t>
                  </w:r>
                </w:p>
                <w:p>
                  <w:pPr>
                    <w:pStyle w:val="null3"/>
                    <w:spacing w:before="60"/>
                    <w:ind w:left="90"/>
                    <w:jc w:val="both"/>
                  </w:pPr>
                  <w:r>
                    <w:rPr>
                      <w:rFonts w:ascii="仿宋_GB2312" w:hAnsi="仿宋_GB2312" w:cs="仿宋_GB2312" w:eastAsia="仿宋_GB2312"/>
                      <w:sz w:val="20"/>
                    </w:rPr>
                    <w:t>水作业</w:t>
                  </w:r>
                </w:p>
              </w:tc>
              <w:tc>
                <w:tcPr>
                  <w:tcW w:type="dxa" w:w="348"/>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主城区每日</w:t>
                  </w:r>
                  <w:r>
                    <w:rPr>
                      <w:rFonts w:ascii="仿宋_GB2312" w:hAnsi="仿宋_GB2312" w:cs="仿宋_GB2312" w:eastAsia="仿宋_GB2312"/>
                      <w:sz w:val="20"/>
                    </w:rPr>
                    <w:t>00:00-6:30、9:00-17:00、19:30-24:00（避开早、晚交通高峰时段，即：每日7:00-9:00、17:30-19:30）。</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未按作业时间要求进行道路冲洗和洒水作业的，每车次扣</w:t>
                  </w:r>
                  <w:r>
                    <w:rPr>
                      <w:rFonts w:ascii="仿宋_GB2312" w:hAnsi="仿宋_GB2312" w:cs="仿宋_GB2312" w:eastAsia="仿宋_GB2312"/>
                      <w:sz w:val="20"/>
                    </w:rPr>
                    <w:t>0.2分。未达作业要求频次的，每少1次扣0.5分。（注：路面污染应急作业除外）</w:t>
                  </w:r>
                </w:p>
              </w:tc>
              <w:tc>
                <w:tcPr>
                  <w:tcW w:type="dxa" w:w="184"/>
                  <w:vMerge/>
                  <w:tcBorders>
                    <w:top w:val="none" w:color="000000" w:sz="4"/>
                    <w:left w:val="single" w:color="000000" w:sz="4"/>
                    <w:bottom w:val="single" w:color="000000" w:sz="4"/>
                    <w:right w:val="single" w:color="000000" w:sz="4"/>
                  </w:tcBorders>
                </w:tc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4</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道路路面质量</w:t>
                  </w:r>
                </w:p>
              </w:tc>
              <w:tc>
                <w:tcPr>
                  <w:tcW w:type="dxa" w:w="348"/>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路面、人行道、排水沟、下水口、树穴、绿化带等干净整洁，路面无积尘积灰见本色。路面废弃物不得超过规定数量。即：一级保洁道路每</w:t>
                  </w:r>
                  <w:r>
                    <w:rPr>
                      <w:rFonts w:ascii="仿宋_GB2312" w:hAnsi="仿宋_GB2312" w:cs="仿宋_GB2312" w:eastAsia="仿宋_GB2312"/>
                      <w:sz w:val="20"/>
                    </w:rPr>
                    <w:t>1000平方米内果皮、纸屑、塑膜、烟蒂、痰迹等存量数分别少于3个（片），垃圾存留时间不超过15分钟。二级保洁道路每1000平方米内果皮、纸屑、塑膜、烟蒂、痰迹等存量数分别少于4个（片），垃圾存留时间不超过15分钟。三级保洁道路每1000平方米内果皮、纸屑、塑膜、烟蒂、痰迹等存量数分别少于6个（片），垃圾存留时间不超过20分钟。四级保洁道路每1000平方米内果皮、纸屑、塑膜、烟蒂、痰迹等存量数分别少于8（片），垃圾存留时间不超过30分钟。</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凡发现道路路面废弃物超过规定数量，每</w:t>
                  </w:r>
                  <w:r>
                    <w:rPr>
                      <w:rFonts w:ascii="仿宋_GB2312" w:hAnsi="仿宋_GB2312" w:cs="仿宋_GB2312" w:eastAsia="仿宋_GB2312"/>
                      <w:sz w:val="20"/>
                    </w:rPr>
                    <w:t>1000平方米扣0.05分。</w:t>
                  </w:r>
                </w:p>
              </w:tc>
              <w:tc>
                <w:tcPr>
                  <w:tcW w:type="dxa" w:w="184"/>
                  <w:vMerge/>
                  <w:tcBorders>
                    <w:top w:val="none" w:color="000000" w:sz="4"/>
                    <w:left w:val="single" w:color="000000" w:sz="4"/>
                    <w:bottom w:val="single" w:color="000000" w:sz="4"/>
                    <w:right w:val="single" w:color="000000" w:sz="4"/>
                  </w:tcBorders>
                </w:tc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5</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道路两侧建筑物外墙和构筑物</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道路两侧的建筑物外墙和构筑物两米以下部分无明显污迹（含粘贴残留胶痕），无乱张贴和乱涂写。</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凡发现任何一项不合格，每处扣</w:t>
                  </w:r>
                  <w:r>
                    <w:rPr>
                      <w:rFonts w:ascii="仿宋_GB2312" w:hAnsi="仿宋_GB2312" w:cs="仿宋_GB2312" w:eastAsia="仿宋_GB2312"/>
                      <w:sz w:val="20"/>
                    </w:rPr>
                    <w:t>0.05分。</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6</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道路公共设施清洗及维修</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道路两侧路名牌、指路牌、交通护栏以及路灯杆、交通指示牌杆等两米以下部分无污迹、无积尘、无乱张贴。</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凡发现任何一项不合格，每处扣</w:t>
                  </w:r>
                  <w:r>
                    <w:rPr>
                      <w:rFonts w:ascii="仿宋_GB2312" w:hAnsi="仿宋_GB2312" w:cs="仿宋_GB2312" w:eastAsia="仿宋_GB2312"/>
                      <w:sz w:val="20"/>
                    </w:rPr>
                    <w:t>0.05分。</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7</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人行天桥</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所有人行天桥</w:t>
                  </w: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桥面无垃圾，阶梯、扶手、栏杆、雨蓬、桥梁墩柱干净整洁，无乱张贴、乱涂写。</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凡发现任何一项不合格，该座人行天桥扣</w:t>
                  </w:r>
                  <w:r>
                    <w:rPr>
                      <w:rFonts w:ascii="仿宋_GB2312" w:hAnsi="仿宋_GB2312" w:cs="仿宋_GB2312" w:eastAsia="仿宋_GB2312"/>
                      <w:sz w:val="20"/>
                    </w:rPr>
                    <w:t>0.5分。</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8</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公交候车站</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公交车站</w:t>
                  </w:r>
                  <w:r>
                    <w:rPr>
                      <w:rFonts w:ascii="仿宋_GB2312" w:hAnsi="仿宋_GB2312" w:cs="仿宋_GB2312" w:eastAsia="仿宋_GB2312"/>
                      <w:sz w:val="20"/>
                    </w:rPr>
                    <w:t>30-40座</w:t>
                  </w: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公交候车站应保持整洁，其保洁质量应与所在道路保洁质量标准相同，无乱张贴、乱涂画。</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凡发现任何一项不合格，该处公交候车站扣</w:t>
                  </w:r>
                  <w:r>
                    <w:rPr>
                      <w:rFonts w:ascii="仿宋_GB2312" w:hAnsi="仿宋_GB2312" w:cs="仿宋_GB2312" w:eastAsia="仿宋_GB2312"/>
                      <w:sz w:val="20"/>
                    </w:rPr>
                    <w:t>0.05分。</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9</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公共绿地保洁</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各级道路</w:t>
                  </w:r>
                  <w:r>
                    <w:rPr>
                      <w:rFonts w:ascii="仿宋_GB2312" w:hAnsi="仿宋_GB2312" w:cs="仿宋_GB2312" w:eastAsia="仿宋_GB2312"/>
                      <w:sz w:val="20"/>
                    </w:rPr>
                    <w:t>10-15条的公共绿地</w:t>
                  </w: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绿地各部位整洁，无垃圾、土渣、污水、烟头、纸屑、瓜果皮核、人畜粪便及其他污物。</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凡发现任何一项不合格，该处绿地扣</w:t>
                  </w:r>
                  <w:r>
                    <w:rPr>
                      <w:rFonts w:ascii="仿宋_GB2312" w:hAnsi="仿宋_GB2312" w:cs="仿宋_GB2312" w:eastAsia="仿宋_GB2312"/>
                      <w:sz w:val="20"/>
                    </w:rPr>
                    <w:t>0.05分。</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10</w:t>
                  </w:r>
                </w:p>
              </w:tc>
              <w:tc>
                <w:tcPr>
                  <w:tcW w:type="dxa" w:w="3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车辆管理及维修</w:t>
                  </w:r>
                </w:p>
              </w:tc>
              <w:tc>
                <w:tcPr>
                  <w:tcW w:type="dxa" w:w="3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随机</w:t>
                  </w: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清扫保洁车辆作业完毕后车箱内无残留垃圾杂物，车容干净整洁，号牌清晰。</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凡发现任何车辆不合格，该作业车辆扣</w:t>
                  </w:r>
                  <w:r>
                    <w:rPr>
                      <w:rFonts w:ascii="仿宋_GB2312" w:hAnsi="仿宋_GB2312" w:cs="仿宋_GB2312" w:eastAsia="仿宋_GB2312"/>
                      <w:sz w:val="20"/>
                    </w:rPr>
                    <w:t>0.2分。</w:t>
                  </w:r>
                </w:p>
              </w:tc>
              <w:tc>
                <w:tcPr>
                  <w:tcW w:type="dxa" w:w="1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16"/>
                  <w:vMerge/>
                  <w:tcBorders>
                    <w:top w:val="none" w:color="000000" w:sz="4"/>
                    <w:left w:val="single" w:color="000000" w:sz="4"/>
                    <w:bottom w:val="single" w:color="000000" w:sz="4"/>
                    <w:right w:val="single" w:color="000000" w:sz="4"/>
                  </w:tcBorders>
                </w:tcPr>
                <w:p/>
              </w:tc>
              <w:tc>
                <w:tcPr>
                  <w:tcW w:type="dxa" w:w="334"/>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清扫保洁车辆定期油饰和维修，保持完好无损。</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凡发现任何车辆不合格，该作业车辆扣</w:t>
                  </w:r>
                  <w:r>
                    <w:rPr>
                      <w:rFonts w:ascii="仿宋_GB2312" w:hAnsi="仿宋_GB2312" w:cs="仿宋_GB2312" w:eastAsia="仿宋_GB2312"/>
                      <w:sz w:val="20"/>
                    </w:rPr>
                    <w:t>0.2分。</w:t>
                  </w:r>
                </w:p>
              </w:tc>
              <w:tc>
                <w:tcPr>
                  <w:tcW w:type="dxa" w:w="184"/>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334"/>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电动保洁三轮车应定期进行维护更新，保持车容整洁，车况良好，车牌（内部）号码清晰完整。</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凡发现任何车辆不合格，该作业车辆扣</w:t>
                  </w:r>
                  <w:r>
                    <w:rPr>
                      <w:rFonts w:ascii="仿宋_GB2312" w:hAnsi="仿宋_GB2312" w:cs="仿宋_GB2312" w:eastAsia="仿宋_GB2312"/>
                      <w:sz w:val="20"/>
                    </w:rPr>
                    <w:t>0.2分。</w:t>
                  </w:r>
                </w:p>
              </w:tc>
              <w:tc>
                <w:tcPr>
                  <w:tcW w:type="dxa" w:w="184"/>
                  <w:vMerge/>
                  <w:tcBorders>
                    <w:top w:val="none" w:color="000000" w:sz="4"/>
                    <w:left w:val="single" w:color="000000" w:sz="4"/>
                    <w:bottom w:val="single" w:color="000000" w:sz="4"/>
                    <w:right w:val="single" w:color="000000" w:sz="4"/>
                  </w:tcBorders>
                </w:tcPr>
                <w:p/>
              </w:tc>
            </w:tr>
            <w:tr>
              <w:tc>
                <w:tcPr>
                  <w:tcW w:type="dxa" w:w="116"/>
                  <w:vMerge/>
                  <w:tcBorders>
                    <w:top w:val="none" w:color="000000" w:sz="4"/>
                    <w:left w:val="single" w:color="000000" w:sz="4"/>
                    <w:bottom w:val="single" w:color="000000" w:sz="4"/>
                    <w:right w:val="single" w:color="000000" w:sz="4"/>
                  </w:tcBorders>
                </w:tcPr>
                <w:p/>
              </w:tc>
              <w:tc>
                <w:tcPr>
                  <w:tcW w:type="dxa" w:w="334"/>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机械化清扫、冲洗、洒水等作业车辆作业时应开警示灯。</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凡发现不按规定开警示灯的，该作业车辆扣</w:t>
                  </w:r>
                  <w:r>
                    <w:rPr>
                      <w:rFonts w:ascii="仿宋_GB2312" w:hAnsi="仿宋_GB2312" w:cs="仿宋_GB2312" w:eastAsia="仿宋_GB2312"/>
                      <w:sz w:val="20"/>
                    </w:rPr>
                    <w:t>0.2分。</w:t>
                  </w:r>
                </w:p>
              </w:tc>
              <w:tc>
                <w:tcPr>
                  <w:tcW w:type="dxa" w:w="184"/>
                  <w:vMerge/>
                  <w:tcBorders>
                    <w:top w:val="none" w:color="000000" w:sz="4"/>
                    <w:left w:val="single" w:color="000000" w:sz="4"/>
                    <w:bottom w:val="single" w:color="000000" w:sz="4"/>
                    <w:right w:val="single" w:color="000000" w:sz="4"/>
                  </w:tcBorders>
                </w:tcPr>
                <w:p/>
              </w:tc>
            </w:tr>
            <w:tr>
              <w:tc>
                <w:tcPr>
                  <w:tcW w:type="dxa" w:w="1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11</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安全生产</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随机</w:t>
                  </w:r>
                </w:p>
              </w:tc>
              <w:tc>
                <w:tcPr>
                  <w:tcW w:type="dxa" w:w="9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环卫工人作业时应规范穿着带反光条的工作制服。</w:t>
                  </w:r>
                </w:p>
              </w:tc>
              <w:tc>
                <w:tcPr>
                  <w:tcW w:type="dxa" w:w="6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凡发现工人不按规定穿着带反光条的工作制服或穿着不规范的，每人每次扣</w:t>
                  </w:r>
                  <w:r>
                    <w:rPr>
                      <w:rFonts w:ascii="仿宋_GB2312" w:hAnsi="仿宋_GB2312" w:cs="仿宋_GB2312" w:eastAsia="仿宋_GB2312"/>
                      <w:sz w:val="20"/>
                    </w:rPr>
                    <w:t>0.2分。</w:t>
                  </w:r>
                </w:p>
              </w:tc>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bl>
          <w:p>
            <w:pPr>
              <w:pStyle w:val="null3"/>
              <w:jc w:val="both"/>
            </w:pPr>
            <w:r>
              <w:rPr>
                <w:rFonts w:ascii="仿宋_GB2312" w:hAnsi="仿宋_GB2312" w:cs="仿宋_GB2312" w:eastAsia="仿宋_GB2312"/>
                <w:sz w:val="28"/>
              </w:rPr>
              <w:t>附表</w:t>
            </w:r>
            <w:r>
              <w:rPr>
                <w:rFonts w:ascii="仿宋_GB2312" w:hAnsi="仿宋_GB2312" w:cs="仿宋_GB2312" w:eastAsia="仿宋_GB2312"/>
                <w:sz w:val="28"/>
              </w:rPr>
              <w:t>2</w:t>
            </w:r>
          </w:p>
          <w:p>
            <w:pPr>
              <w:pStyle w:val="null3"/>
              <w:spacing w:before="90"/>
              <w:jc w:val="center"/>
            </w:pPr>
            <w:r>
              <w:rPr>
                <w:rFonts w:ascii="仿宋_GB2312" w:hAnsi="仿宋_GB2312" w:cs="仿宋_GB2312" w:eastAsia="仿宋_GB2312"/>
                <w:sz w:val="28"/>
              </w:rPr>
              <w:t>海口市环卫作业质量检查考核评分细则</w:t>
            </w:r>
            <w:r>
              <w:rPr>
                <w:rFonts w:ascii="仿宋_GB2312" w:hAnsi="仿宋_GB2312" w:cs="仿宋_GB2312" w:eastAsia="仿宋_GB2312"/>
                <w:sz w:val="28"/>
              </w:rPr>
              <w:t>-垃圾收集清运(30分)</w:t>
            </w:r>
          </w:p>
          <w:tbl>
            <w:tblPr>
              <w:tblInd w:type="dxa" w:w="105"/>
              <w:tblBorders>
                <w:top w:val="none" w:color="000000" w:sz="4"/>
                <w:left w:val="none" w:color="000000" w:sz="4"/>
                <w:bottom w:val="none" w:color="000000" w:sz="4"/>
                <w:right w:val="none" w:color="000000" w:sz="4"/>
                <w:insideH w:val="none"/>
                <w:insideV w:val="none"/>
              </w:tblBorders>
            </w:tblPr>
            <w:tblGrid>
              <w:gridCol w:w="139"/>
              <w:gridCol w:w="335"/>
              <w:gridCol w:w="353"/>
              <w:gridCol w:w="911"/>
              <w:gridCol w:w="603"/>
              <w:gridCol w:w="198"/>
            </w:tblGrid>
            <w:tr>
              <w:tc>
                <w:tcPr>
                  <w:tcW w:type="dxa" w:w="1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序号</w:t>
                  </w:r>
                </w:p>
              </w:tc>
              <w:tc>
                <w:tcPr>
                  <w:tcW w:type="dxa" w:w="3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考核内容</w:t>
                  </w:r>
                </w:p>
              </w:tc>
              <w:tc>
                <w:tcPr>
                  <w:tcW w:type="dxa" w:w="3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样本及数量</w:t>
                  </w:r>
                </w:p>
              </w:tc>
              <w:tc>
                <w:tcPr>
                  <w:tcW w:type="dxa" w:w="9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管理要求</w:t>
                  </w:r>
                </w:p>
              </w:tc>
              <w:tc>
                <w:tcPr>
                  <w:tcW w:type="dxa" w:w="6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评分标准</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得分</w:t>
                  </w: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w:t>
                  </w:r>
                </w:p>
              </w:tc>
              <w:tc>
                <w:tcPr>
                  <w:tcW w:type="dxa" w:w="33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果皮箱设置与管理</w:t>
                  </w:r>
                </w:p>
              </w:tc>
              <w:tc>
                <w:tcPr>
                  <w:tcW w:type="dxa" w:w="3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一、二级道路</w:t>
                  </w:r>
                  <w:r>
                    <w:rPr>
                      <w:rFonts w:ascii="仿宋_GB2312" w:hAnsi="仿宋_GB2312" w:cs="仿宋_GB2312" w:eastAsia="仿宋_GB2312"/>
                      <w:sz w:val="20"/>
                    </w:rPr>
                    <w:t>20-35</w:t>
                  </w:r>
                </w:p>
                <w:p>
                  <w:pPr>
                    <w:pStyle w:val="null3"/>
                    <w:spacing w:before="60"/>
                    <w:ind w:left="90"/>
                    <w:jc w:val="both"/>
                  </w:pPr>
                  <w:r>
                    <w:rPr>
                      <w:rFonts w:ascii="仿宋_GB2312" w:hAnsi="仿宋_GB2312" w:cs="仿宋_GB2312" w:eastAsia="仿宋_GB2312"/>
                      <w:sz w:val="20"/>
                    </w:rPr>
                    <w:t>条，三、四级道路</w:t>
                  </w:r>
                </w:p>
                <w:p>
                  <w:pPr>
                    <w:pStyle w:val="null3"/>
                    <w:spacing w:before="60"/>
                    <w:ind w:left="90"/>
                    <w:jc w:val="both"/>
                  </w:pPr>
                  <w:r>
                    <w:rPr>
                      <w:rFonts w:ascii="仿宋_GB2312" w:hAnsi="仿宋_GB2312" w:cs="仿宋_GB2312" w:eastAsia="仿宋_GB2312"/>
                      <w:sz w:val="20"/>
                    </w:rPr>
                    <w:t>16-30条，背街小巷</w:t>
                  </w:r>
                </w:p>
                <w:p>
                  <w:pPr>
                    <w:pStyle w:val="null3"/>
                    <w:spacing w:before="60"/>
                    <w:ind w:left="90"/>
                    <w:jc w:val="both"/>
                  </w:pPr>
                  <w:r>
                    <w:rPr>
                      <w:rFonts w:ascii="仿宋_GB2312" w:hAnsi="仿宋_GB2312" w:cs="仿宋_GB2312" w:eastAsia="仿宋_GB2312"/>
                      <w:sz w:val="20"/>
                    </w:rPr>
                    <w:t>12-30条，人流量、车</w:t>
                  </w:r>
                </w:p>
                <w:p>
                  <w:pPr>
                    <w:pStyle w:val="null3"/>
                    <w:spacing w:before="60"/>
                    <w:ind w:left="90"/>
                    <w:jc w:val="both"/>
                  </w:pPr>
                  <w:r>
                    <w:rPr>
                      <w:rFonts w:ascii="仿宋_GB2312" w:hAnsi="仿宋_GB2312" w:cs="仿宋_GB2312" w:eastAsia="仿宋_GB2312"/>
                      <w:sz w:val="20"/>
                    </w:rPr>
                    <w:t>流量较大的路段随机</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繁华重点路段果皮箱间隔按</w:t>
                  </w:r>
                  <w:r>
                    <w:rPr>
                      <w:rFonts w:ascii="仿宋_GB2312" w:hAnsi="仿宋_GB2312" w:cs="仿宋_GB2312" w:eastAsia="仿宋_GB2312"/>
                      <w:sz w:val="20"/>
                    </w:rPr>
                    <w:t>50－80m设置，一级保洁道路果皮箱按间隔50－100m设置，二、三保洁级道路按间隔100－200m设置，四级保洁道路根据实际情况设置。公交站点要单独设置果皮箱，人流量大的站点要设置两个果皮箱。</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不按照规定标准设置或无明显所属单位标志的，每处扣</w:t>
                  </w:r>
                  <w:r>
                    <w:rPr>
                      <w:rFonts w:ascii="仿宋_GB2312" w:hAnsi="仿宋_GB2312" w:cs="仿宋_GB2312" w:eastAsia="仿宋_GB2312"/>
                      <w:sz w:val="20"/>
                    </w:rPr>
                    <w:t>0.2分。</w:t>
                  </w:r>
                </w:p>
              </w:tc>
              <w:tc>
                <w:tcPr>
                  <w:tcW w:type="dxa" w:w="19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2</w:t>
                  </w:r>
                </w:p>
              </w:tc>
              <w:tc>
                <w:tcPr>
                  <w:tcW w:type="dxa" w:w="335"/>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⑴果皮箱标识清晰、整洁，不得有损坏、污垢或被覆盖。⑵果皮箱无残缺、破损，箱体周围地面无抛撒、暴露垃圾，箱内垃圾无满溢。</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凡发现任何一项不合格，该处果皮箱扣</w:t>
                  </w:r>
                  <w:r>
                    <w:rPr>
                      <w:rFonts w:ascii="仿宋_GB2312" w:hAnsi="仿宋_GB2312" w:cs="仿宋_GB2312" w:eastAsia="仿宋_GB2312"/>
                      <w:sz w:val="20"/>
                    </w:rPr>
                    <w:t>0.05分。</w:t>
                  </w:r>
                </w:p>
              </w:tc>
              <w:tc>
                <w:tcPr>
                  <w:tcW w:type="dxa" w:w="198"/>
                  <w:vMerge/>
                  <w:tcBorders>
                    <w:top w:val="none" w:color="000000" w:sz="4"/>
                    <w:left w:val="single" w:color="000000" w:sz="4"/>
                    <w:bottom w:val="singl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3</w:t>
                  </w:r>
                </w:p>
              </w:tc>
              <w:tc>
                <w:tcPr>
                  <w:tcW w:type="dxa" w:w="33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垃圾桶（箱）设置与管理</w:t>
                  </w:r>
                </w:p>
              </w:tc>
              <w:tc>
                <w:tcPr>
                  <w:tcW w:type="dxa" w:w="3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随机</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垃圾桶（箱）应定位设置，摆放整齐；一、二、三级道路不得摆放垃圾桶（箱）。</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不按规定设置或无明显所属单位标志的，每处扣</w:t>
                  </w:r>
                  <w:r>
                    <w:rPr>
                      <w:rFonts w:ascii="仿宋_GB2312" w:hAnsi="仿宋_GB2312" w:cs="仿宋_GB2312" w:eastAsia="仿宋_GB2312"/>
                      <w:sz w:val="20"/>
                    </w:rPr>
                    <w:t>0.2分。</w:t>
                  </w:r>
                </w:p>
              </w:tc>
              <w:tc>
                <w:tcPr>
                  <w:tcW w:type="dxa" w:w="198"/>
                  <w:vMerge/>
                  <w:tcBorders>
                    <w:top w:val="none" w:color="000000" w:sz="4"/>
                    <w:left w:val="single" w:color="000000" w:sz="4"/>
                    <w:bottom w:val="singl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4</w:t>
                  </w:r>
                </w:p>
              </w:tc>
              <w:tc>
                <w:tcPr>
                  <w:tcW w:type="dxa" w:w="335"/>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⑴垃圾桶（箱）标识清晰、整洁，不得有损坏、污垢或被覆盖。</w:t>
                  </w:r>
                </w:p>
                <w:p>
                  <w:pPr>
                    <w:pStyle w:val="null3"/>
                    <w:spacing w:before="60"/>
                    <w:ind w:left="90"/>
                    <w:jc w:val="both"/>
                  </w:pPr>
                  <w:r>
                    <w:rPr>
                      <w:rFonts w:ascii="仿宋_GB2312" w:hAnsi="仿宋_GB2312" w:cs="仿宋_GB2312" w:eastAsia="仿宋_GB2312"/>
                      <w:sz w:val="20"/>
                    </w:rPr>
                    <w:t>⑵桶（箱）体应无残缺、破损，封闭性好，外体干净。垃圾桶（箱）及周围2—3m内应整洁，无散落垃圾和污水。</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凡发现任何一项不合格，扣</w:t>
                  </w:r>
                  <w:r>
                    <w:rPr>
                      <w:rFonts w:ascii="仿宋_GB2312" w:hAnsi="仿宋_GB2312" w:cs="仿宋_GB2312" w:eastAsia="仿宋_GB2312"/>
                      <w:sz w:val="20"/>
                    </w:rPr>
                    <w:t>0.05分。</w:t>
                  </w:r>
                </w:p>
              </w:tc>
              <w:tc>
                <w:tcPr>
                  <w:tcW w:type="dxa" w:w="198"/>
                  <w:vMerge/>
                  <w:tcBorders>
                    <w:top w:val="none" w:color="000000" w:sz="4"/>
                    <w:left w:val="single" w:color="000000" w:sz="4"/>
                    <w:bottom w:val="singl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5</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垃圾收集</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随机</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定时定点收集，日产日清，不得堆积、滞留；无主生活垃圾应及时收集、清运。</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凡发现任何一项不合格，每个收集点扣</w:t>
                  </w:r>
                  <w:r>
                    <w:rPr>
                      <w:rFonts w:ascii="仿宋_GB2312" w:hAnsi="仿宋_GB2312" w:cs="仿宋_GB2312" w:eastAsia="仿宋_GB2312"/>
                      <w:sz w:val="20"/>
                    </w:rPr>
                    <w:t>0.2分。</w:t>
                  </w:r>
                </w:p>
              </w:tc>
              <w:tc>
                <w:tcPr>
                  <w:tcW w:type="dxa" w:w="198"/>
                  <w:vMerge/>
                  <w:tcBorders>
                    <w:top w:val="none" w:color="000000" w:sz="4"/>
                    <w:left w:val="single" w:color="000000" w:sz="4"/>
                    <w:bottom w:val="singl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6</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垃圾运输</w:t>
                  </w:r>
                </w:p>
              </w:tc>
              <w:tc>
                <w:tcPr>
                  <w:tcW w:type="dxa" w:w="3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随机</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⑴运送垃圾的过程应覆盖密闭，实行“垃圾不落地”作业，不得有滴冒撒漏及超载现象。</w:t>
                  </w:r>
                </w:p>
                <w:p>
                  <w:pPr>
                    <w:pStyle w:val="null3"/>
                    <w:spacing w:before="60"/>
                    <w:ind w:left="90"/>
                    <w:jc w:val="both"/>
                  </w:pPr>
                  <w:r>
                    <w:rPr>
                      <w:rFonts w:ascii="仿宋_GB2312" w:hAnsi="仿宋_GB2312" w:cs="仿宋_GB2312" w:eastAsia="仿宋_GB2312"/>
                      <w:sz w:val="20"/>
                    </w:rPr>
                    <w:t>⑵生活垃圾应分类转运（驳运），不得混装混运。</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凡发现任何车辆不合格，该作业车辆扣</w:t>
                  </w:r>
                  <w:r>
                    <w:rPr>
                      <w:rFonts w:ascii="仿宋_GB2312" w:hAnsi="仿宋_GB2312" w:cs="仿宋_GB2312" w:eastAsia="仿宋_GB2312"/>
                      <w:sz w:val="20"/>
                    </w:rPr>
                    <w:t>0.5分。</w:t>
                  </w:r>
                </w:p>
              </w:tc>
              <w:tc>
                <w:tcPr>
                  <w:tcW w:type="dxa" w:w="198"/>
                  <w:vMerge/>
                  <w:tcBorders>
                    <w:top w:val="none" w:color="000000" w:sz="4"/>
                    <w:left w:val="singl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7</w:t>
                  </w:r>
                </w:p>
              </w:tc>
              <w:tc>
                <w:tcPr>
                  <w:tcW w:type="dxa" w:w="33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垃圾清运车辆管理及维修</w:t>
                  </w:r>
                </w:p>
              </w:tc>
              <w:tc>
                <w:tcPr>
                  <w:tcW w:type="dxa" w:w="353"/>
                  <w:vMerge/>
                  <w:tcBorders>
                    <w:top w:val="none" w:color="000000" w:sz="4"/>
                    <w:left w:val="single" w:color="000000" w:sz="4"/>
                    <w:bottom w:val="single" w:color="000000" w:sz="4"/>
                    <w:right w:val="single" w:color="000000" w:sz="4"/>
                  </w:tcBorders>
                </w:tcP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垃圾清运车辆车容整洁，车况良好，车牌号码清晰、完整，不得遮挡。</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凡发现任何车辆不合格，该作业车辆扣</w:t>
                  </w:r>
                  <w:r>
                    <w:rPr>
                      <w:rFonts w:ascii="仿宋_GB2312" w:hAnsi="仿宋_GB2312" w:cs="仿宋_GB2312" w:eastAsia="仿宋_GB2312"/>
                      <w:sz w:val="20"/>
                    </w:rPr>
                    <w:t>0.5分。</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39"/>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垃圾清运车辆定期油饰和维修，保持完好无损。</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凡发现任何车辆不合格，该作业车辆扣</w:t>
                  </w:r>
                  <w:r>
                    <w:rPr>
                      <w:rFonts w:ascii="仿宋_GB2312" w:hAnsi="仿宋_GB2312" w:cs="仿宋_GB2312" w:eastAsia="仿宋_GB2312"/>
                      <w:sz w:val="20"/>
                    </w:rPr>
                    <w:t>0.2分。</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8</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小型垃圾转运站管理</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所有小型垃圾转运站</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小型垃圾转运站应定期清洗、喷洒消毒、灭蚊蝇药物，在可视范围内，苍蝇应少于</w:t>
                  </w:r>
                  <w:r>
                    <w:rPr>
                      <w:rFonts w:ascii="仿宋_GB2312" w:hAnsi="仿宋_GB2312" w:cs="仿宋_GB2312" w:eastAsia="仿宋_GB2312"/>
                      <w:sz w:val="20"/>
                    </w:rPr>
                    <w:t>3只/次，并无活鼠等；装运作业时应避免扰民。</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凡发现任何一项不合格，该站扣</w:t>
                  </w:r>
                  <w:r>
                    <w:rPr>
                      <w:rFonts w:ascii="仿宋_GB2312" w:hAnsi="仿宋_GB2312" w:cs="仿宋_GB2312" w:eastAsia="仿宋_GB2312"/>
                      <w:sz w:val="20"/>
                    </w:rPr>
                    <w:t>0.5分。</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9</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安全生产</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随机</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垃圾清运司机和操作工人应穿反光衣，车道作业设有安全防范设施。</w:t>
                  </w:r>
                </w:p>
              </w:tc>
              <w:tc>
                <w:tcPr>
                  <w:tcW w:type="dxa" w:w="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凡发现任何一项不合格，扣</w:t>
                  </w:r>
                  <w:r>
                    <w:rPr>
                      <w:rFonts w:ascii="仿宋_GB2312" w:hAnsi="仿宋_GB2312" w:cs="仿宋_GB2312" w:eastAsia="仿宋_GB2312"/>
                      <w:sz w:val="20"/>
                    </w:rPr>
                    <w:t>0.2分。</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rFonts w:ascii="仿宋_GB2312" w:hAnsi="仿宋_GB2312" w:cs="仿宋_GB2312" w:eastAsia="仿宋_GB2312"/>
                <w:sz w:val="28"/>
              </w:rPr>
              <w:t>附表</w:t>
            </w:r>
            <w:r>
              <w:rPr>
                <w:rFonts w:ascii="仿宋_GB2312" w:hAnsi="仿宋_GB2312" w:cs="仿宋_GB2312" w:eastAsia="仿宋_GB2312"/>
                <w:sz w:val="28"/>
              </w:rPr>
              <w:t>3</w:t>
            </w:r>
          </w:p>
          <w:p>
            <w:pPr>
              <w:pStyle w:val="null3"/>
              <w:spacing w:before="90"/>
              <w:jc w:val="center"/>
            </w:pPr>
            <w:r>
              <w:rPr>
                <w:rFonts w:ascii="仿宋_GB2312" w:hAnsi="仿宋_GB2312" w:cs="仿宋_GB2312" w:eastAsia="仿宋_GB2312"/>
                <w:sz w:val="28"/>
              </w:rPr>
              <w:t>海口市环卫作业质量检查考核评分细则</w:t>
            </w:r>
            <w:r>
              <w:rPr>
                <w:rFonts w:ascii="仿宋_GB2312" w:hAnsi="仿宋_GB2312" w:cs="仿宋_GB2312" w:eastAsia="仿宋_GB2312"/>
                <w:sz w:val="28"/>
              </w:rPr>
              <w:t>-公厕管理(20分)</w:t>
            </w:r>
          </w:p>
          <w:tbl>
            <w:tblPr>
              <w:tblInd w:type="dxa" w:w="105"/>
              <w:tblBorders>
                <w:top w:val="none" w:color="000000" w:sz="4"/>
                <w:left w:val="none" w:color="000000" w:sz="4"/>
                <w:bottom w:val="none" w:color="000000" w:sz="4"/>
                <w:right w:val="none" w:color="000000" w:sz="4"/>
                <w:insideH w:val="none"/>
                <w:insideV w:val="none"/>
              </w:tblBorders>
            </w:tblPr>
            <w:tblGrid>
              <w:gridCol w:w="186"/>
              <w:gridCol w:w="324"/>
              <w:gridCol w:w="361"/>
              <w:gridCol w:w="898"/>
              <w:gridCol w:w="571"/>
              <w:gridCol w:w="213"/>
            </w:tblGrid>
            <w:tr>
              <w:tc>
                <w:tcPr>
                  <w:tcW w:type="dxa" w:w="1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序号</w:t>
                  </w:r>
                </w:p>
              </w:tc>
              <w:tc>
                <w:tcPr>
                  <w:tcW w:type="dxa" w:w="3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考核内容</w:t>
                  </w:r>
                </w:p>
              </w:tc>
              <w:tc>
                <w:tcPr>
                  <w:tcW w:type="dxa" w:w="3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样本及数量</w:t>
                  </w:r>
                </w:p>
              </w:tc>
              <w:tc>
                <w:tcPr>
                  <w:tcW w:type="dxa" w:w="8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管理要求</w:t>
                  </w:r>
                </w:p>
              </w:tc>
              <w:tc>
                <w:tcPr>
                  <w:tcW w:type="dxa" w:w="5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评分标准</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得分</w:t>
                  </w:r>
                </w:p>
              </w:tc>
            </w:tr>
            <w:tr>
              <w:tc>
                <w:tcPr>
                  <w:tcW w:type="dxa" w:w="18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w:t>
                  </w:r>
                </w:p>
              </w:tc>
              <w:tc>
                <w:tcPr>
                  <w:tcW w:type="dxa" w:w="3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公厕保洁</w:t>
                  </w:r>
                </w:p>
              </w:tc>
              <w:tc>
                <w:tcPr>
                  <w:tcW w:type="dxa" w:w="36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15-20座环卫公共厕所（含移动环保公厕）</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公厕内应保持采光、照明、通风良好，无臭味、蚊蝇，地面光洁，无积水、痰迹、烟头、污物。</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0.3分。</w:t>
                  </w:r>
                </w:p>
              </w:tc>
              <w:tc>
                <w:tcPr>
                  <w:tcW w:type="dxa" w:w="2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8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厕内墙面、天花板、门窗、隔离板等洁净，无积尘、污迹、蛛网，无乱涂、乱画。</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0.3分。</w:t>
                  </w:r>
                </w:p>
              </w:tc>
              <w:tc>
                <w:tcPr>
                  <w:tcW w:type="dxa" w:w="213"/>
                  <w:vMerge/>
                  <w:tcBorders>
                    <w:top w:val="none" w:color="000000" w:sz="4"/>
                    <w:left w:val="single" w:color="000000" w:sz="4"/>
                    <w:bottom w:val="single" w:color="000000" w:sz="4"/>
                    <w:right w:val="single" w:color="000000" w:sz="4"/>
                  </w:tcBorders>
                </w:tcPr>
                <w:p/>
              </w:tc>
            </w:tr>
            <w:tr>
              <w:tc>
                <w:tcPr>
                  <w:tcW w:type="dxa" w:w="18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蹲位整洁，大便槽两侧无粪便污物，槽内无积粪，洁净见底；小便槽（斗）无水锈、尿垢、垃圾，沟眼管道保持畅通。</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0.3分。</w:t>
                  </w:r>
                </w:p>
              </w:tc>
              <w:tc>
                <w:tcPr>
                  <w:tcW w:type="dxa" w:w="213"/>
                  <w:vMerge/>
                  <w:tcBorders>
                    <w:top w:val="none" w:color="000000" w:sz="4"/>
                    <w:left w:val="single" w:color="000000" w:sz="4"/>
                    <w:bottom w:val="single" w:color="000000" w:sz="4"/>
                    <w:right w:val="single" w:color="000000" w:sz="4"/>
                  </w:tcBorders>
                </w:tcPr>
                <w:p/>
              </w:tc>
            </w:tr>
            <w:tr>
              <w:tc>
                <w:tcPr>
                  <w:tcW w:type="dxa" w:w="18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公厕外环境整洁，无乱堆建杂物；公厕四周</w:t>
                  </w:r>
                  <w:r>
                    <w:rPr>
                      <w:rFonts w:ascii="仿宋_GB2312" w:hAnsi="仿宋_GB2312" w:cs="仿宋_GB2312" w:eastAsia="仿宋_GB2312"/>
                      <w:sz w:val="20"/>
                    </w:rPr>
                    <w:t>3—5m范围内，应无垃圾、粪便、污水等。</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0.2分。</w:t>
                  </w:r>
                </w:p>
              </w:tc>
              <w:tc>
                <w:tcPr>
                  <w:tcW w:type="dxa" w:w="213"/>
                  <w:vMerge/>
                  <w:tcBorders>
                    <w:top w:val="none" w:color="000000" w:sz="4"/>
                    <w:left w:val="single" w:color="000000" w:sz="4"/>
                    <w:bottom w:val="single" w:color="000000" w:sz="4"/>
                    <w:right w:val="single" w:color="000000" w:sz="4"/>
                  </w:tcBorders>
                </w:tcPr>
                <w:p/>
              </w:tc>
            </w:tr>
            <w:tr>
              <w:tc>
                <w:tcPr>
                  <w:tcW w:type="dxa" w:w="18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公厕内照明灯具、洗手器具、镜子、挂衣钩、烘手器、冲水设备无积灰、污物。</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0.3分。</w:t>
                  </w:r>
                </w:p>
              </w:tc>
              <w:tc>
                <w:tcPr>
                  <w:tcW w:type="dxa" w:w="213"/>
                  <w:vMerge/>
                  <w:tcBorders>
                    <w:top w:val="none" w:color="000000" w:sz="4"/>
                    <w:left w:val="single" w:color="000000" w:sz="4"/>
                    <w:bottom w:val="single" w:color="000000" w:sz="4"/>
                    <w:right w:val="single" w:color="000000" w:sz="4"/>
                  </w:tcBorders>
                </w:tcPr>
                <w:p/>
              </w:tc>
            </w:tr>
            <w:tr>
              <w:tc>
                <w:tcPr>
                  <w:tcW w:type="dxa" w:w="18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公厕贮（化）粪池应即满即清，粪水无外溢，并建立日常粪便、粪渣管理和收运台账。吸粪车清吸作业后，及时盖好井盖，化粪井周围整洁无粪迹。</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0.2分。</w:t>
                  </w:r>
                </w:p>
              </w:tc>
              <w:tc>
                <w:tcPr>
                  <w:tcW w:type="dxa" w:w="213"/>
                  <w:vMerge/>
                  <w:tcBorders>
                    <w:top w:val="none" w:color="000000" w:sz="4"/>
                    <w:left w:val="single" w:color="000000" w:sz="4"/>
                    <w:bottom w:val="single" w:color="000000" w:sz="4"/>
                    <w:right w:val="single" w:color="000000" w:sz="4"/>
                  </w:tcBorders>
                </w:tcPr>
                <w:p/>
              </w:tc>
            </w:tr>
            <w:tr>
              <w:tc>
                <w:tcPr>
                  <w:tcW w:type="dxa" w:w="18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2</w:t>
                  </w:r>
                </w:p>
              </w:tc>
              <w:tc>
                <w:tcPr>
                  <w:tcW w:type="dxa" w:w="3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公厕设施的维护与文明服务</w:t>
                  </w: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公厕标识牌、导向牌设置规范、整洁、明显易找，有明显所属单位标志；在醒目位置张贴公厕管理制度、卫生质量标准、管理人员、开放时间、投诉电话等信息；保洁记录本完好，保洁记录及时、完整。</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0.3分。</w:t>
                  </w:r>
                </w:p>
              </w:tc>
              <w:tc>
                <w:tcPr>
                  <w:tcW w:type="dxa" w:w="213"/>
                  <w:vMerge/>
                  <w:tcBorders>
                    <w:top w:val="none" w:color="000000" w:sz="4"/>
                    <w:left w:val="single" w:color="000000" w:sz="4"/>
                    <w:bottom w:val="single" w:color="000000" w:sz="4"/>
                    <w:right w:val="single" w:color="000000" w:sz="4"/>
                  </w:tcBorders>
                </w:tcPr>
                <w:p/>
              </w:tc>
            </w:tr>
            <w:tr>
              <w:tc>
                <w:tcPr>
                  <w:tcW w:type="dxa" w:w="18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公厕内外墙应无剥落，地面、隔断、便器和管道等设施应无破损，水管、笼头、冲水器、厕内灯具、洗手盆（池）损坏，及时维修。</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0.3分。</w:t>
                  </w:r>
                </w:p>
              </w:tc>
              <w:tc>
                <w:tcPr>
                  <w:tcW w:type="dxa" w:w="213"/>
                  <w:vMerge/>
                  <w:tcBorders>
                    <w:top w:val="none" w:color="000000" w:sz="4"/>
                    <w:left w:val="single" w:color="000000" w:sz="4"/>
                    <w:bottom w:val="single" w:color="000000" w:sz="4"/>
                    <w:right w:val="single" w:color="000000" w:sz="4"/>
                  </w:tcBorders>
                </w:tcPr>
                <w:p/>
              </w:tc>
            </w:tr>
            <w:tr>
              <w:tc>
                <w:tcPr>
                  <w:tcW w:type="dxa" w:w="18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公厕需安排专人管理，管理人员穿着统一工作制服，有明显所属单位标志；保洁工具应整齐存放在不显眼的位置或工具间内，不得摆放在便器、洗水盆或楼梯旁；管理间、工具间整洁，无乱摆放；文明作业、礼貌服务。</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0.2分。</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8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361"/>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不得占用或妨碍无障碍厕位的正常使用。（</w:t>
                  </w:r>
                  <w:r>
                    <w:rPr>
                      <w:rFonts w:ascii="仿宋_GB2312" w:hAnsi="仿宋_GB2312" w:cs="仿宋_GB2312" w:eastAsia="仿宋_GB2312"/>
                      <w:sz w:val="20"/>
                    </w:rPr>
                    <w:t>2分）</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凡发现任何一项不合格，该座公厕扣</w:t>
                  </w:r>
                  <w:r>
                    <w:rPr>
                      <w:rFonts w:ascii="仿宋_GB2312" w:hAnsi="仿宋_GB2312" w:cs="仿宋_GB2312" w:eastAsia="仿宋_GB2312"/>
                      <w:sz w:val="20"/>
                    </w:rPr>
                    <w:t>0.2分。</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bl>
          <w:p>
            <w:pPr>
              <w:pStyle w:val="null3"/>
              <w:jc w:val="both"/>
            </w:pPr>
            <w:r>
              <w:rPr>
                <w:rFonts w:ascii="仿宋_GB2312" w:hAnsi="仿宋_GB2312" w:cs="仿宋_GB2312" w:eastAsia="仿宋_GB2312"/>
                <w:sz w:val="28"/>
              </w:rPr>
              <w:t>附表</w:t>
            </w:r>
            <w:r>
              <w:rPr>
                <w:rFonts w:ascii="仿宋_GB2312" w:hAnsi="仿宋_GB2312" w:cs="仿宋_GB2312" w:eastAsia="仿宋_GB2312"/>
                <w:sz w:val="28"/>
              </w:rPr>
              <w:t>4</w:t>
            </w:r>
          </w:p>
          <w:p>
            <w:pPr>
              <w:pStyle w:val="null3"/>
              <w:spacing w:before="90"/>
              <w:jc w:val="center"/>
            </w:pPr>
            <w:r>
              <w:rPr>
                <w:rFonts w:ascii="仿宋_GB2312" w:hAnsi="仿宋_GB2312" w:cs="仿宋_GB2312" w:eastAsia="仿宋_GB2312"/>
                <w:sz w:val="28"/>
              </w:rPr>
              <w:t>海口市环卫作业质量检查考核评分细则</w:t>
            </w:r>
            <w:r>
              <w:rPr>
                <w:rFonts w:ascii="仿宋_GB2312" w:hAnsi="仿宋_GB2312" w:cs="仿宋_GB2312" w:eastAsia="仿宋_GB2312"/>
                <w:sz w:val="28"/>
              </w:rPr>
              <w:t>-水域卫生(100分)</w:t>
            </w:r>
          </w:p>
          <w:tbl>
            <w:tblPr>
              <w:tblInd w:type="dxa" w:w="105"/>
              <w:tblBorders>
                <w:top w:val="none" w:color="000000" w:sz="4"/>
                <w:left w:val="none" w:color="000000" w:sz="4"/>
                <w:bottom w:val="none" w:color="000000" w:sz="4"/>
                <w:right w:val="none" w:color="000000" w:sz="4"/>
                <w:insideH w:val="none"/>
                <w:insideV w:val="none"/>
              </w:tblBorders>
            </w:tblPr>
            <w:tblGrid>
              <w:gridCol w:w="151"/>
              <w:gridCol w:w="270"/>
              <w:gridCol w:w="283"/>
              <w:gridCol w:w="1173"/>
              <w:gridCol w:w="470"/>
              <w:gridCol w:w="194"/>
            </w:tblGrid>
            <w:tr>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序号</w:t>
                  </w:r>
                </w:p>
              </w:tc>
              <w:tc>
                <w:tcPr>
                  <w:tcW w:type="dxa" w:w="2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考核内容</w:t>
                  </w:r>
                </w:p>
              </w:tc>
              <w:tc>
                <w:tcPr>
                  <w:tcW w:type="dxa" w:w="2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样本及数量</w:t>
                  </w:r>
                </w:p>
              </w:tc>
              <w:tc>
                <w:tcPr>
                  <w:tcW w:type="dxa" w:w="1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管理要求</w:t>
                  </w:r>
                </w:p>
              </w:tc>
              <w:tc>
                <w:tcPr>
                  <w:tcW w:type="dxa" w:w="4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评分标准</w:t>
                  </w:r>
                </w:p>
              </w:tc>
              <w:tc>
                <w:tcPr>
                  <w:tcW w:type="dxa" w:w="1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得分</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水域保洁</w:t>
                  </w:r>
                </w:p>
              </w:tc>
              <w:tc>
                <w:tcPr>
                  <w:tcW w:type="dxa" w:w="2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不低于辖区水域的</w:t>
                  </w:r>
                  <w:r>
                    <w:rPr>
                      <w:rFonts w:ascii="仿宋_GB2312" w:hAnsi="仿宋_GB2312" w:cs="仿宋_GB2312" w:eastAsia="仿宋_GB2312"/>
                      <w:sz w:val="20"/>
                    </w:rPr>
                    <w:t>50%</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在保洁作业期间内（</w:t>
                  </w:r>
                  <w:r>
                    <w:rPr>
                      <w:rFonts w:ascii="仿宋_GB2312" w:hAnsi="仿宋_GB2312" w:cs="仿宋_GB2312" w:eastAsia="仿宋_GB2312"/>
                      <w:sz w:val="20"/>
                    </w:rPr>
                    <w:t>6:30-18:00，如遇突发事件，须在30分钟内响应并处置），应保持沿海岸低潮线向海一侧200米海域及内河、湖泊等水域水面整洁；应无漂浮垃圾，无片状、带状的凤眼莲、浮萍等水生植物。</w:t>
                  </w: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零散垃圾每处扣</w:t>
                  </w:r>
                  <w:r>
                    <w:rPr>
                      <w:rFonts w:ascii="仿宋_GB2312" w:hAnsi="仿宋_GB2312" w:cs="仿宋_GB2312" w:eastAsia="仿宋_GB2312"/>
                      <w:sz w:val="20"/>
                    </w:rPr>
                    <w:t>1分，成片（垃圾面积合计超过10平方米）垃圾每处扣2分</w:t>
                  </w:r>
                </w:p>
              </w:tc>
              <w:tc>
                <w:tcPr>
                  <w:tcW w:type="dxa" w:w="1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2</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岸坡滩涂保洁</w:t>
                  </w:r>
                </w:p>
              </w:tc>
              <w:tc>
                <w:tcPr>
                  <w:tcW w:type="dxa" w:w="283"/>
                  <w:vMerge/>
                  <w:tcBorders>
                    <w:top w:val="none" w:color="000000" w:sz="4"/>
                    <w:left w:val="single" w:color="000000" w:sz="4"/>
                    <w:bottom w:val="single" w:color="000000" w:sz="4"/>
                    <w:right w:val="single" w:color="000000" w:sz="4"/>
                  </w:tcBorders>
                </w:tcP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⑴保洁作业期间，岸坡、近岸滩涂不得有明显生活垃圾和其他垃圾，不得堆放和处理生活垃圾、淤泥及渣土等；</w:t>
                  </w:r>
                </w:p>
                <w:p>
                  <w:pPr>
                    <w:pStyle w:val="null3"/>
                    <w:spacing w:before="60"/>
                    <w:ind w:left="90"/>
                    <w:jc w:val="both"/>
                  </w:pPr>
                  <w:r>
                    <w:rPr>
                      <w:rFonts w:ascii="仿宋_GB2312" w:hAnsi="仿宋_GB2312" w:cs="仿宋_GB2312" w:eastAsia="仿宋_GB2312"/>
                      <w:sz w:val="20"/>
                    </w:rPr>
                    <w:t>⑵堤坝（岸）立面无吊挂杂物；</w:t>
                  </w:r>
                </w:p>
                <w:p>
                  <w:pPr>
                    <w:pStyle w:val="null3"/>
                    <w:spacing w:before="60"/>
                    <w:ind w:left="90"/>
                    <w:jc w:val="both"/>
                  </w:pPr>
                  <w:r>
                    <w:rPr>
                      <w:rFonts w:ascii="仿宋_GB2312" w:hAnsi="仿宋_GB2312" w:cs="仿宋_GB2312" w:eastAsia="仿宋_GB2312"/>
                      <w:sz w:val="20"/>
                    </w:rPr>
                    <w:t>⑶垃圾应及时转运至指定地点，严禁裸露堆放岸边；⑷定期对海滩进行深度清理，确保海滩干净无异物；</w:t>
                  </w:r>
                </w:p>
                <w:p>
                  <w:pPr>
                    <w:pStyle w:val="null3"/>
                    <w:spacing w:before="60"/>
                    <w:ind w:left="90"/>
                    <w:jc w:val="both"/>
                  </w:pPr>
                  <w:r>
                    <w:rPr>
                      <w:rFonts w:ascii="仿宋_GB2312" w:hAnsi="仿宋_GB2312" w:cs="仿宋_GB2312" w:eastAsia="仿宋_GB2312"/>
                      <w:sz w:val="20"/>
                    </w:rPr>
                    <w:t>⑸苇地、滩涂、岸线与水面交界退潮露滩处，应根据潮汐、风向等自然条件，采用保洁设备或人工巡回保洁，清除沿岸、护坡枯枝落叶、废弃杂物和暴露垃圾；</w:t>
                  </w:r>
                </w:p>
                <w:p>
                  <w:pPr>
                    <w:pStyle w:val="null3"/>
                    <w:spacing w:before="60"/>
                    <w:ind w:left="90"/>
                    <w:jc w:val="both"/>
                  </w:pPr>
                  <w:r>
                    <w:rPr>
                      <w:rFonts w:ascii="仿宋_GB2312" w:hAnsi="仿宋_GB2312" w:cs="仿宋_GB2312" w:eastAsia="仿宋_GB2312"/>
                      <w:sz w:val="20"/>
                    </w:rPr>
                    <w:t>⑹内河湖泊、水库、排洪沟、灌溉渠等水域临界岸坡无明显生活垃圾和乱倾倒杂物等情况；</w:t>
                  </w:r>
                </w:p>
                <w:p>
                  <w:pPr>
                    <w:pStyle w:val="null3"/>
                    <w:spacing w:before="60"/>
                    <w:ind w:left="90"/>
                    <w:jc w:val="both"/>
                  </w:pPr>
                  <w:r>
                    <w:rPr>
                      <w:rFonts w:ascii="仿宋_GB2312" w:hAnsi="仿宋_GB2312" w:cs="仿宋_GB2312" w:eastAsia="仿宋_GB2312"/>
                      <w:sz w:val="20"/>
                    </w:rPr>
                    <w:t>⑺及时清理岸坡垃圾，发现重大水体污染事件应及时向主管部门报告。</w:t>
                  </w: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零散垃圾每处扣</w:t>
                  </w:r>
                  <w:r>
                    <w:rPr>
                      <w:rFonts w:ascii="仿宋_GB2312" w:hAnsi="仿宋_GB2312" w:cs="仿宋_GB2312" w:eastAsia="仿宋_GB2312"/>
                      <w:sz w:val="20"/>
                    </w:rPr>
                    <w:t>1分，成片（垃圾面积合计超过10平方米）垃圾每处扣2分</w:t>
                  </w:r>
                </w:p>
              </w:tc>
              <w:tc>
                <w:tcPr>
                  <w:tcW w:type="dxa" w:w="194"/>
                  <w:vMerge/>
                  <w:tcBorders>
                    <w:top w:val="none" w:color="000000" w:sz="4"/>
                    <w:left w:val="single" w:color="000000" w:sz="4"/>
                    <w:bottom w:val="singl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3</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水域公共设施</w:t>
                  </w:r>
                </w:p>
              </w:tc>
              <w:tc>
                <w:tcPr>
                  <w:tcW w:type="dxa" w:w="283"/>
                  <w:vMerge/>
                  <w:tcBorders>
                    <w:top w:val="none" w:color="000000" w:sz="4"/>
                    <w:left w:val="single" w:color="000000" w:sz="4"/>
                    <w:bottom w:val="single" w:color="000000" w:sz="4"/>
                    <w:right w:val="single" w:color="000000" w:sz="4"/>
                  </w:tcBorders>
                </w:tcP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⑴水上公共设施设备应巡回保洁，并及时清除外立面污染物、水线附着物。无吊挂垃圾或影响环境的水生植物；</w:t>
                  </w:r>
                </w:p>
                <w:p>
                  <w:pPr>
                    <w:pStyle w:val="null3"/>
                    <w:spacing w:before="60"/>
                    <w:ind w:left="90"/>
                    <w:jc w:val="both"/>
                  </w:pPr>
                  <w:r>
                    <w:rPr>
                      <w:rFonts w:ascii="仿宋_GB2312" w:hAnsi="仿宋_GB2312" w:cs="仿宋_GB2312" w:eastAsia="仿宋_GB2312"/>
                      <w:sz w:val="20"/>
                    </w:rPr>
                    <w:t>⑵水面保洁作业可根据水域特点在漂浮废弃物易聚集处设置漂浮物拦截设施。漂浮物废弃物拦截设施应保持外形完好，并宜采取遮盖措施；被拦截的废弃物应及时清除，不得满溢，应避免垃圾裸露；</w:t>
                  </w:r>
                </w:p>
                <w:p>
                  <w:pPr>
                    <w:pStyle w:val="null3"/>
                    <w:spacing w:before="60"/>
                    <w:ind w:left="90"/>
                    <w:jc w:val="both"/>
                  </w:pPr>
                  <w:r>
                    <w:rPr>
                      <w:rFonts w:ascii="仿宋_GB2312" w:hAnsi="仿宋_GB2312" w:cs="仿宋_GB2312" w:eastAsia="仿宋_GB2312"/>
                      <w:sz w:val="20"/>
                    </w:rPr>
                    <w:t>⑶作业船舶应保持船容整洁，无明显污渍和破损；</w:t>
                  </w:r>
                </w:p>
                <w:p>
                  <w:pPr>
                    <w:pStyle w:val="null3"/>
                    <w:spacing w:before="60"/>
                    <w:ind w:left="90"/>
                    <w:jc w:val="both"/>
                  </w:pPr>
                  <w:r>
                    <w:rPr>
                      <w:rFonts w:ascii="仿宋_GB2312" w:hAnsi="仿宋_GB2312" w:cs="仿宋_GB2312" w:eastAsia="仿宋_GB2312"/>
                      <w:sz w:val="20"/>
                    </w:rPr>
                    <w:t>⑷废弃物储存设施应整洁、完好，无残余物品吊挂。</w:t>
                  </w: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每发现一处（项）不合格扣</w:t>
                  </w:r>
                  <w:r>
                    <w:rPr>
                      <w:rFonts w:ascii="仿宋_GB2312" w:hAnsi="仿宋_GB2312" w:cs="仿宋_GB2312" w:eastAsia="仿宋_GB2312"/>
                      <w:sz w:val="20"/>
                    </w:rPr>
                    <w:t>2分。</w:t>
                  </w:r>
                </w:p>
              </w:tc>
              <w:tc>
                <w:tcPr>
                  <w:tcW w:type="dxa" w:w="194"/>
                  <w:vMerge/>
                  <w:tcBorders>
                    <w:top w:val="none" w:color="000000" w:sz="4"/>
                    <w:left w:val="single" w:color="000000" w:sz="4"/>
                    <w:bottom w:val="single" w:color="000000" w:sz="4"/>
                    <w:right w:val="single" w:color="000000" w:sz="4"/>
                  </w:tcBorders>
                </w:tc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4</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人员及设备配置</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⑴水域保洁作业应根据作业时间、作业区域合理配置设施、设备、人员；登船作业时，至少需要两人同船；</w:t>
                  </w:r>
                </w:p>
                <w:p>
                  <w:pPr>
                    <w:pStyle w:val="null3"/>
                    <w:spacing w:before="60"/>
                    <w:ind w:left="90"/>
                    <w:jc w:val="both"/>
                  </w:pPr>
                  <w:r>
                    <w:rPr>
                      <w:rFonts w:ascii="仿宋_GB2312" w:hAnsi="仿宋_GB2312" w:cs="仿宋_GB2312" w:eastAsia="仿宋_GB2312"/>
                      <w:sz w:val="20"/>
                    </w:rPr>
                    <w:t>⑵各类作业人员（含船舶驾驶员、保洁员等）应具备相应的专业技能，并应符合国家有关规定；海上各类作业人员应具备国家规定的相应技能，持证上岗；</w:t>
                  </w:r>
                </w:p>
                <w:p>
                  <w:pPr>
                    <w:pStyle w:val="null3"/>
                    <w:spacing w:before="60"/>
                    <w:ind w:left="90"/>
                    <w:jc w:val="both"/>
                  </w:pPr>
                  <w:r>
                    <w:rPr>
                      <w:rFonts w:ascii="仿宋_GB2312" w:hAnsi="仿宋_GB2312" w:cs="仿宋_GB2312" w:eastAsia="仿宋_GB2312"/>
                      <w:sz w:val="20"/>
                    </w:rPr>
                    <w:t>⑶实行巡回保洁制度，每天应合理安排作业时间，并根据人流量适当增加清扫频次，做到日收日清，定时定点，做好垃圾分类，装袋后由转运车辆运至中转站或垃圾终端处理设施；</w:t>
                  </w:r>
                </w:p>
                <w:p>
                  <w:pPr>
                    <w:pStyle w:val="null3"/>
                    <w:spacing w:before="60"/>
                    <w:ind w:left="90"/>
                    <w:jc w:val="both"/>
                  </w:pPr>
                  <w:r>
                    <w:rPr>
                      <w:rFonts w:ascii="仿宋_GB2312" w:hAnsi="仿宋_GB2312" w:cs="仿宋_GB2312" w:eastAsia="仿宋_GB2312"/>
                      <w:sz w:val="20"/>
                    </w:rPr>
                    <w:t>⑷岸线与水面交界露滩处应根据潮汐、风向等自然条件，采用保洁设备或人工巡回保洁；</w:t>
                  </w:r>
                </w:p>
                <w:p>
                  <w:pPr>
                    <w:pStyle w:val="null3"/>
                    <w:spacing w:before="60"/>
                    <w:ind w:left="90"/>
                    <w:jc w:val="both"/>
                  </w:pPr>
                  <w:r>
                    <w:rPr>
                      <w:rFonts w:ascii="仿宋_GB2312" w:hAnsi="仿宋_GB2312" w:cs="仿宋_GB2312" w:eastAsia="仿宋_GB2312"/>
                      <w:sz w:val="20"/>
                    </w:rPr>
                    <w:t>⑸建立信息通报制度。充分利用数字化城管平台，对近岸滩涂出现的建筑垃圾、病死畜禽、废弃船舶等问题及时上传至数字城管处理系统，再由数字城管分派到相关部门处置，实现信息共建共享、互联互动。</w:t>
                  </w: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每发现一处（项）不合格扣</w:t>
                  </w:r>
                  <w:r>
                    <w:rPr>
                      <w:rFonts w:ascii="仿宋_GB2312" w:hAnsi="仿宋_GB2312" w:cs="仿宋_GB2312" w:eastAsia="仿宋_GB2312"/>
                      <w:sz w:val="20"/>
                    </w:rPr>
                    <w:t>2分。</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5</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安全作业</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⑴水域作业人员应着标志统一的服装上岗，配备海上救生衣，严格遵守工作纪律和安全制度；</w:t>
                  </w:r>
                </w:p>
                <w:p>
                  <w:pPr>
                    <w:pStyle w:val="null3"/>
                    <w:spacing w:before="60"/>
                    <w:ind w:left="90"/>
                    <w:jc w:val="both"/>
                  </w:pPr>
                  <w:r>
                    <w:rPr>
                      <w:rFonts w:ascii="仿宋_GB2312" w:hAnsi="仿宋_GB2312" w:cs="仿宋_GB2312" w:eastAsia="仿宋_GB2312"/>
                      <w:sz w:val="20"/>
                    </w:rPr>
                    <w:t>⑵作业设备应设有安全警示标志，保持正常运作状态，并严格按规范标准进行操作；</w:t>
                  </w:r>
                </w:p>
                <w:p>
                  <w:pPr>
                    <w:pStyle w:val="null3"/>
                    <w:spacing w:before="60"/>
                    <w:ind w:left="90"/>
                    <w:jc w:val="both"/>
                  </w:pPr>
                  <w:r>
                    <w:rPr>
                      <w:rFonts w:ascii="仿宋_GB2312" w:hAnsi="仿宋_GB2312" w:cs="仿宋_GB2312" w:eastAsia="仿宋_GB2312"/>
                      <w:sz w:val="20"/>
                    </w:rPr>
                    <w:t>⑶在台风、雷暴雨、洪水、大雾、寒潮、高温等灾害性气候以及大潮汛期间，应按气象部门发布的预警时间，暂停水上作业与运输，并应采取相应的防护措施，待天气好转后再继续作业；</w:t>
                  </w:r>
                </w:p>
                <w:p>
                  <w:pPr>
                    <w:pStyle w:val="null3"/>
                    <w:spacing w:before="60"/>
                    <w:ind w:left="90"/>
                    <w:jc w:val="both"/>
                  </w:pPr>
                  <w:r>
                    <w:rPr>
                      <w:rFonts w:ascii="仿宋_GB2312" w:hAnsi="仿宋_GB2312" w:cs="仿宋_GB2312" w:eastAsia="仿宋_GB2312"/>
                      <w:sz w:val="20"/>
                    </w:rPr>
                    <w:t>⑷海上环卫船舶需配备有效的通信、消防、救生等安全设施设备；建立海上环卫作业日志（其中须有船舶出海的时间、路线、航速、风向级别等内容），详细记录当日航行及环卫作业情况；</w:t>
                  </w:r>
                </w:p>
                <w:p>
                  <w:pPr>
                    <w:pStyle w:val="null3"/>
                    <w:spacing w:before="60"/>
                    <w:ind w:left="90"/>
                    <w:jc w:val="both"/>
                  </w:pPr>
                  <w:r>
                    <w:rPr>
                      <w:rFonts w:ascii="仿宋_GB2312" w:hAnsi="仿宋_GB2312" w:cs="仿宋_GB2312" w:eastAsia="仿宋_GB2312"/>
                      <w:sz w:val="20"/>
                    </w:rPr>
                    <w:t>⑸泵站、水闸引排水与船闸运行期间，该水域不得进行保洁作业；</w:t>
                  </w:r>
                </w:p>
                <w:p>
                  <w:pPr>
                    <w:pStyle w:val="null3"/>
                    <w:spacing w:before="60"/>
                    <w:ind w:left="90"/>
                    <w:jc w:val="both"/>
                  </w:pPr>
                  <w:r>
                    <w:rPr>
                      <w:rFonts w:ascii="仿宋_GB2312" w:hAnsi="仿宋_GB2312" w:cs="仿宋_GB2312" w:eastAsia="仿宋_GB2312"/>
                      <w:sz w:val="20"/>
                    </w:rPr>
                    <w:t>⑹作业过程中，应控制船舶速度，当保洁作业设备出现故障时，应在确保人员及水上交通安全的前提下，进行检修与维护；定点作业时应系好缆绳；</w:t>
                  </w:r>
                </w:p>
                <w:p>
                  <w:pPr>
                    <w:pStyle w:val="null3"/>
                    <w:spacing w:before="60"/>
                    <w:ind w:left="90"/>
                    <w:jc w:val="both"/>
                  </w:pPr>
                  <w:r>
                    <w:rPr>
                      <w:rFonts w:ascii="仿宋_GB2312" w:hAnsi="仿宋_GB2312" w:cs="仿宋_GB2312" w:eastAsia="仿宋_GB2312"/>
                      <w:sz w:val="20"/>
                    </w:rPr>
                    <w:t>⑺建立信息通报制度。如发现海上赤潮、疑似危险物品时，应及时向环卫主管部门及市生态环境等部门通报；如发现无人管理船舶、浮尸等，应及时向环卫主管部门及当地公安或动植物检验检疫等相关部门报告；</w:t>
                  </w:r>
                </w:p>
                <w:p>
                  <w:pPr>
                    <w:pStyle w:val="null3"/>
                    <w:spacing w:before="60"/>
                    <w:ind w:left="90"/>
                    <w:jc w:val="both"/>
                  </w:pPr>
                  <w:r>
                    <w:rPr>
                      <w:rFonts w:ascii="仿宋_GB2312" w:hAnsi="仿宋_GB2312" w:cs="仿宋_GB2312" w:eastAsia="仿宋_GB2312"/>
                      <w:sz w:val="20"/>
                    </w:rPr>
                    <w:t>⑻保洁作业船内的打捞物不得超载、偏载。</w:t>
                  </w: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每发现一处（项）不合格扣</w:t>
                  </w:r>
                  <w:r>
                    <w:rPr>
                      <w:rFonts w:ascii="仿宋_GB2312" w:hAnsi="仿宋_GB2312" w:cs="仿宋_GB2312" w:eastAsia="仿宋_GB2312"/>
                      <w:sz w:val="20"/>
                    </w:rPr>
                    <w:t>5分。</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6</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应急保障</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⑴建立突发事件、重大自然灾害等应急保障机制，作业过程中发现疑似危险物品时，应及时向有关部门报告；</w:t>
                  </w:r>
                </w:p>
                <w:p>
                  <w:pPr>
                    <w:pStyle w:val="null3"/>
                    <w:spacing w:before="60"/>
                    <w:ind w:left="90"/>
                    <w:jc w:val="both"/>
                  </w:pPr>
                  <w:r>
                    <w:rPr>
                      <w:rFonts w:ascii="仿宋_GB2312" w:hAnsi="仿宋_GB2312" w:cs="仿宋_GB2312" w:eastAsia="仿宋_GB2312"/>
                      <w:sz w:val="20"/>
                    </w:rPr>
                    <w:t>⑵突发性事件中产生的漂浮废弃物，保洁作业单位应根据应急预案组织应急作业，并应在规定时间内及时处置；</w:t>
                  </w:r>
                </w:p>
                <w:p>
                  <w:pPr>
                    <w:pStyle w:val="null3"/>
                    <w:spacing w:before="60"/>
                    <w:ind w:left="90"/>
                    <w:jc w:val="both"/>
                  </w:pPr>
                  <w:r>
                    <w:rPr>
                      <w:rFonts w:ascii="仿宋_GB2312" w:hAnsi="仿宋_GB2312" w:cs="仿宋_GB2312" w:eastAsia="仿宋_GB2312"/>
                      <w:sz w:val="20"/>
                    </w:rPr>
                    <w:t>⑶灾害性天气结束后应及时组织力量进行应急保洁，及时清除各种漂浮废弃物。</w:t>
                  </w: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每发现一次（项）不合格扣</w:t>
                  </w:r>
                  <w:r>
                    <w:rPr>
                      <w:rFonts w:ascii="仿宋_GB2312" w:hAnsi="仿宋_GB2312" w:cs="仿宋_GB2312" w:eastAsia="仿宋_GB2312"/>
                      <w:sz w:val="20"/>
                    </w:rPr>
                    <w:t>5分。</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rFonts w:ascii="仿宋_GB2312" w:hAnsi="仿宋_GB2312" w:cs="仿宋_GB2312" w:eastAsia="仿宋_GB2312"/>
                <w:sz w:val="28"/>
              </w:rPr>
              <w:t>附表</w:t>
            </w:r>
            <w:r>
              <w:rPr>
                <w:rFonts w:ascii="仿宋_GB2312" w:hAnsi="仿宋_GB2312" w:cs="仿宋_GB2312" w:eastAsia="仿宋_GB2312"/>
                <w:sz w:val="28"/>
              </w:rPr>
              <w:t>5</w:t>
            </w:r>
          </w:p>
          <w:p>
            <w:pPr>
              <w:pStyle w:val="null3"/>
              <w:spacing w:before="90"/>
              <w:jc w:val="center"/>
            </w:pPr>
            <w:r>
              <w:rPr>
                <w:rFonts w:ascii="仿宋_GB2312" w:hAnsi="仿宋_GB2312" w:cs="仿宋_GB2312" w:eastAsia="仿宋_GB2312"/>
                <w:sz w:val="28"/>
              </w:rPr>
              <w:t>海口市环卫作业质量检查考核评分细则</w:t>
            </w:r>
            <w:r>
              <w:rPr>
                <w:rFonts w:ascii="仿宋_GB2312" w:hAnsi="仿宋_GB2312" w:cs="仿宋_GB2312" w:eastAsia="仿宋_GB2312"/>
                <w:sz w:val="28"/>
              </w:rPr>
              <w:t>-生活垃圾二级转运站(100分)</w:t>
            </w:r>
          </w:p>
          <w:tbl>
            <w:tblPr>
              <w:tblInd w:type="dxa" w:w="105"/>
              <w:tblBorders>
                <w:top w:val="none" w:color="000000" w:sz="4"/>
                <w:left w:val="none" w:color="000000" w:sz="4"/>
                <w:bottom w:val="none" w:color="000000" w:sz="4"/>
                <w:right w:val="none" w:color="000000" w:sz="4"/>
                <w:insideH w:val="none"/>
                <w:insideV w:val="none"/>
              </w:tblBorders>
            </w:tblPr>
            <w:tblGrid>
              <w:gridCol w:w="137"/>
              <w:gridCol w:w="303"/>
              <w:gridCol w:w="123"/>
              <w:gridCol w:w="257"/>
              <w:gridCol w:w="1170"/>
              <w:gridCol w:w="363"/>
              <w:gridCol w:w="200"/>
            </w:tblGrid>
            <w:tr>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序号</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考核内容</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分值</w:t>
                  </w:r>
                </w:p>
              </w:tc>
              <w:tc>
                <w:tcPr>
                  <w:tcW w:type="dxa" w:w="2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样本及数量</w:t>
                  </w:r>
                </w:p>
              </w:tc>
              <w:tc>
                <w:tcPr>
                  <w:tcW w:type="dxa" w:w="11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管理要求</w:t>
                  </w:r>
                </w:p>
              </w:tc>
              <w:tc>
                <w:tcPr>
                  <w:tcW w:type="dxa" w:w="3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评分标准</w:t>
                  </w:r>
                </w:p>
              </w:tc>
              <w:tc>
                <w:tcPr>
                  <w:tcW w:type="dxa" w:w="2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b/>
                    </w:rPr>
                    <w:t>得分</w:t>
                  </w:r>
                </w:p>
              </w:tc>
            </w:tr>
            <w:tr>
              <w:tc>
                <w:tcPr>
                  <w:tcW w:type="dxa" w:w="1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w:t>
                  </w:r>
                </w:p>
              </w:tc>
              <w:tc>
                <w:tcPr>
                  <w:tcW w:type="dxa" w:w="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转运作业</w:t>
                  </w:r>
                </w:p>
              </w:tc>
              <w:tc>
                <w:tcPr>
                  <w:tcW w:type="dxa" w:w="1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30</w:t>
                  </w:r>
                </w:p>
              </w:tc>
              <w:tc>
                <w:tcPr>
                  <w:tcW w:type="dxa" w:w="2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白水塘转运站、江东转运站、长流转运站</w:t>
                  </w: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进站垃圾每车次有计量，台账准确、完整、可随时调阅；计量系统每半年校对一次，保存检测报告，计量监控系统运转正常。</w:t>
                  </w:r>
                </w:p>
              </w:tc>
              <w:tc>
                <w:tcPr>
                  <w:tcW w:type="dxa" w:w="36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每发现一处（项）不合格扣</w:t>
                  </w:r>
                  <w:r>
                    <w:rPr>
                      <w:rFonts w:ascii="仿宋_GB2312" w:hAnsi="仿宋_GB2312" w:cs="仿宋_GB2312" w:eastAsia="仿宋_GB2312"/>
                      <w:sz w:val="20"/>
                    </w:rPr>
                    <w:t>1分；发现引桥上排队等候作业</w:t>
                  </w:r>
                </w:p>
                <w:p>
                  <w:pPr>
                    <w:pStyle w:val="null3"/>
                    <w:spacing w:before="60"/>
                    <w:ind w:left="90"/>
                    <w:jc w:val="both"/>
                  </w:pPr>
                  <w:r>
                    <w:rPr>
                      <w:rFonts w:ascii="仿宋_GB2312" w:hAnsi="仿宋_GB2312" w:cs="仿宋_GB2312" w:eastAsia="仿宋_GB2312"/>
                      <w:sz w:val="20"/>
                    </w:rPr>
                    <w:t>的，每车次扣</w:t>
                  </w:r>
                  <w:r>
                    <w:rPr>
                      <w:rFonts w:ascii="仿宋_GB2312" w:hAnsi="仿宋_GB2312" w:cs="仿宋_GB2312" w:eastAsia="仿宋_GB2312"/>
                      <w:sz w:val="20"/>
                    </w:rPr>
                    <w:t>2分。</w:t>
                  </w:r>
                </w:p>
              </w:tc>
              <w:tc>
                <w:tcPr>
                  <w:tcW w:type="dxa" w:w="2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进站垃圾应当日处理转运，站内不积存垃圾。</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垃圾转运全过程密闭，无渗滤液洒漏现象。垃圾转运车及垃圾容器应密闭运输、无垃圾飞扬、无渗滤液遗洒、无垃圾粘挂、无超载现象。</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垃圾转运量较多导致收集车的等候时间较长时，现场应有人指挥协调，采取措施尽可能缩短垃圾车等候、排队时间。引桥上严禁车辆排队等候作业。</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站内各种标志性指示牌齐全，并按规定设置。</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2</w:t>
                  </w:r>
                </w:p>
              </w:tc>
              <w:tc>
                <w:tcPr>
                  <w:tcW w:type="dxa" w:w="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转运车辆、站内设备维修</w:t>
                  </w:r>
                </w:p>
              </w:tc>
              <w:tc>
                <w:tcPr>
                  <w:tcW w:type="dxa" w:w="1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20</w:t>
                  </w: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垃圾转运车及集装箱应干净整洁，无破损、脱漆、锈蚀，无污水滴漏等现象。</w:t>
                  </w:r>
                </w:p>
              </w:tc>
              <w:tc>
                <w:tcPr>
                  <w:tcW w:type="dxa" w:w="36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每发现一处（项）不合格的扣</w:t>
                  </w:r>
                  <w:r>
                    <w:rPr>
                      <w:rFonts w:ascii="仿宋_GB2312" w:hAnsi="仿宋_GB2312" w:cs="仿宋_GB2312" w:eastAsia="仿宋_GB2312"/>
                      <w:sz w:val="20"/>
                    </w:rPr>
                    <w:t>1分，如遇到特殊情况，备用发电机无法正常启用并影响作业，扣5分。</w:t>
                  </w:r>
                </w:p>
              </w:tc>
              <w:tc>
                <w:tcPr>
                  <w:tcW w:type="dxa" w:w="2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泊位、料槽、侧边机构无破损、锈蚀。</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各种设施设备外观整洁，无破损、脱漆、锈蚀，性能完好，各项技术指标符合要求，维修车间隔卫生干净，各种机械设备放置整齐有序。</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备用发电机设备完好，垃圾转运站停电时，能使用备用发电机进行作业。</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定期对站内压缩设备进行维修，出现故障或需进行停产维修应先报告主管部门确认同意，并及时通知各区将垃圾直接转运至后端处理场。</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3</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健康保障</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10</w:t>
                  </w: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每年组织员工进行一次健康检查，并有记录。</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没有组织员工进行健康体检的扣</w:t>
                  </w:r>
                  <w:r>
                    <w:rPr>
                      <w:rFonts w:ascii="仿宋_GB2312" w:hAnsi="仿宋_GB2312" w:cs="仿宋_GB2312" w:eastAsia="仿宋_GB2312"/>
                      <w:sz w:val="20"/>
                    </w:rPr>
                    <w:t>10分；未组织全部人员体检的，每少1人扣0.5分，可倒扣分。</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4</w:t>
                  </w:r>
                </w:p>
              </w:tc>
              <w:tc>
                <w:tcPr>
                  <w:tcW w:type="dxa" w:w="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安全生产</w:t>
                  </w:r>
                </w:p>
              </w:tc>
              <w:tc>
                <w:tcPr>
                  <w:tcW w:type="dxa" w:w="1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15</w:t>
                  </w: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作业人员穿戴必要的劳保用品，平台作业人员戴安全帽，系安全绳、安全带。</w:t>
                  </w:r>
                </w:p>
              </w:tc>
              <w:tc>
                <w:tcPr>
                  <w:tcW w:type="dxa" w:w="36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每发现一处（项）不合格扣</w:t>
                  </w:r>
                  <w:r>
                    <w:rPr>
                      <w:rFonts w:ascii="仿宋_GB2312" w:hAnsi="仿宋_GB2312" w:cs="仿宋_GB2312" w:eastAsia="仿宋_GB2312"/>
                      <w:sz w:val="20"/>
                    </w:rPr>
                    <w:t>1分</w:t>
                  </w:r>
                </w:p>
              </w:tc>
              <w:tc>
                <w:tcPr>
                  <w:tcW w:type="dxa" w:w="2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司机及随车人员在垃圾转运车辆运输过程中时刻系好安全带，严禁穿拖鞋。</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卸料大厅配足消防器材，中控系统探头保持干净，画面清晰。</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平台作业结束后，应及时封闭电源设备箱。</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5</w:t>
                  </w:r>
                </w:p>
              </w:tc>
              <w:tc>
                <w:tcPr>
                  <w:tcW w:type="dxa" w:w="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站区管理</w:t>
                  </w:r>
                </w:p>
              </w:tc>
              <w:tc>
                <w:tcPr>
                  <w:tcW w:type="dxa" w:w="1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15</w:t>
                  </w: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定期对转运车辆进行药物消杀。磅房、引桥面干净整洁无污水积流。</w:t>
                  </w:r>
                </w:p>
              </w:tc>
              <w:tc>
                <w:tcPr>
                  <w:tcW w:type="dxa" w:w="36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每发现一处（项）不合格扣</w:t>
                  </w:r>
                  <w:r>
                    <w:rPr>
                      <w:rFonts w:ascii="仿宋_GB2312" w:hAnsi="仿宋_GB2312" w:cs="仿宋_GB2312" w:eastAsia="仿宋_GB2312"/>
                      <w:sz w:val="20"/>
                    </w:rPr>
                    <w:t>0.5分；未设置或作业期间未正常开启吸风除尘、除臭装置，每发现一处扣1分。</w:t>
                  </w:r>
                </w:p>
              </w:tc>
              <w:tc>
                <w:tcPr>
                  <w:tcW w:type="dxa" w:w="2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卸料大厅作业期间应开启吸风除尘、除臭装置。</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卸料大厅、有专人保洁，经常冲洗、地板光滑整洁，无坑洼；作业场地干净整洁；泊位地面无垃圾堆积，无淤泥积留，中控室卫生干净，设备运行正常。</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转运站方圆</w:t>
                  </w:r>
                  <w:r>
                    <w:rPr>
                      <w:rFonts w:ascii="仿宋_GB2312" w:hAnsi="仿宋_GB2312" w:cs="仿宋_GB2312" w:eastAsia="仿宋_GB2312"/>
                      <w:sz w:val="20"/>
                    </w:rPr>
                    <w:t>50米内无垃圾散发臭味。</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办公区、生活区管理井然有序，环境整洁优美，无脏乱差现象。</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30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定期开展除</w:t>
                  </w:r>
                  <w:r>
                    <w:rPr>
                      <w:rFonts w:ascii="仿宋_GB2312" w:hAnsi="仿宋_GB2312" w:cs="仿宋_GB2312" w:eastAsia="仿宋_GB2312"/>
                      <w:sz w:val="20"/>
                    </w:rPr>
                    <w:t>“四害”工作，并做好记录，在可视范围内基本无蝇、无活鼠等。</w:t>
                  </w:r>
                </w:p>
              </w:tc>
              <w:tc>
                <w:tcPr>
                  <w:tcW w:type="dxa" w:w="363"/>
                  <w:vMerge/>
                  <w:tcBorders>
                    <w:top w:val="none" w:color="000000" w:sz="4"/>
                    <w:left w:val="single" w:color="000000" w:sz="4"/>
                    <w:bottom w:val="single" w:color="000000" w:sz="4"/>
                    <w:right w:val="single" w:color="000000" w:sz="4"/>
                  </w:tcBorders>
                </w:tcPr>
                <w:p/>
              </w:tc>
              <w:tc>
                <w:tcPr>
                  <w:tcW w:type="dxa" w:w="200"/>
                  <w:vMerge/>
                  <w:tcBorders>
                    <w:top w:val="none" w:color="000000" w:sz="4"/>
                    <w:left w:val="single" w:color="000000" w:sz="4"/>
                    <w:bottom w:val="single" w:color="000000" w:sz="4"/>
                    <w:right w:val="single" w:color="000000" w:sz="4"/>
                  </w:tcBorders>
                </w:tcPr>
                <w:p/>
              </w:tc>
            </w:tr>
            <w:tr>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6</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其他</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10</w:t>
                  </w:r>
                </w:p>
              </w:tc>
              <w:tc>
                <w:tcPr>
                  <w:tcW w:type="dxa" w:w="257"/>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主要节假日期间，垃圾转运保障工作有力。</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r>
                    <w:rPr>
                      <w:rFonts w:ascii="仿宋_GB2312" w:hAnsi="仿宋_GB2312" w:cs="仿宋_GB2312" w:eastAsia="仿宋_GB2312"/>
                      <w:sz w:val="20"/>
                    </w:rPr>
                    <w:t>保障工作不力，一次扣</w:t>
                  </w:r>
                  <w:r>
                    <w:rPr>
                      <w:rFonts w:ascii="仿宋_GB2312" w:hAnsi="仿宋_GB2312" w:cs="仿宋_GB2312" w:eastAsia="仿宋_GB2312"/>
                      <w:sz w:val="20"/>
                    </w:rPr>
                    <w:t>3分；被媒体曝光的每一起扣2分；应对自然灾害反应迟缓，措施不力，不能完成任务的扣3分。</w:t>
                  </w:r>
                </w:p>
              </w:tc>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1.服务期限、服务地点和服务方式（履约时间、地点和方式）</w:t>
            </w:r>
          </w:p>
          <w:p>
            <w:pPr>
              <w:pStyle w:val="null3"/>
              <w:ind w:firstLine="560"/>
              <w:jc w:val="left"/>
            </w:pPr>
            <w:r>
              <w:rPr>
                <w:rFonts w:ascii="仿宋_GB2312" w:hAnsi="仿宋_GB2312" w:cs="仿宋_GB2312" w:eastAsia="仿宋_GB2312"/>
                <w:sz w:val="28"/>
              </w:rPr>
              <w:t>1.1.服务期限（履约时间）：1年，自</w:t>
            </w:r>
            <w:r>
              <w:rPr>
                <w:rFonts w:ascii="仿宋_GB2312" w:hAnsi="仿宋_GB2312" w:cs="仿宋_GB2312" w:eastAsia="仿宋_GB2312"/>
                <w:sz w:val="28"/>
              </w:rPr>
              <w:t>发放中标通知书</w:t>
            </w:r>
            <w:r>
              <w:rPr>
                <w:rFonts w:ascii="仿宋_GB2312" w:hAnsi="仿宋_GB2312" w:cs="仿宋_GB2312" w:eastAsia="仿宋_GB2312"/>
                <w:sz w:val="28"/>
              </w:rPr>
              <w:t>日起算。</w:t>
            </w:r>
          </w:p>
          <w:p>
            <w:pPr>
              <w:pStyle w:val="null3"/>
              <w:ind w:firstLine="560"/>
              <w:jc w:val="left"/>
            </w:pPr>
            <w:r>
              <w:rPr>
                <w:rFonts w:ascii="仿宋_GB2312" w:hAnsi="仿宋_GB2312" w:cs="仿宋_GB2312" w:eastAsia="仿宋_GB2312"/>
                <w:sz w:val="28"/>
              </w:rPr>
              <w:t>1.2.服务地点（履约地点）：</w:t>
            </w:r>
            <w:r>
              <w:rPr>
                <w:rFonts w:ascii="仿宋_GB2312" w:hAnsi="仿宋_GB2312" w:cs="仿宋_GB2312" w:eastAsia="仿宋_GB2312"/>
                <w:sz w:val="28"/>
              </w:rPr>
              <w:t>海口市辖区内城区和农村。</w:t>
            </w:r>
          </w:p>
          <w:p>
            <w:pPr>
              <w:pStyle w:val="null3"/>
              <w:ind w:firstLine="560"/>
              <w:jc w:val="left"/>
            </w:pPr>
            <w:r>
              <w:rPr>
                <w:rFonts w:ascii="仿宋_GB2312" w:hAnsi="仿宋_GB2312" w:cs="仿宋_GB2312" w:eastAsia="仿宋_GB2312"/>
                <w:sz w:val="28"/>
              </w:rPr>
              <w:t>1.3.服务方式（履约方式）：按招标文件和中标人投标文件的内容实施。</w:t>
            </w:r>
          </w:p>
          <w:p>
            <w:pPr>
              <w:pStyle w:val="null3"/>
              <w:ind w:firstLine="560"/>
              <w:jc w:val="left"/>
            </w:pPr>
            <w:r>
              <w:rPr>
                <w:rFonts w:ascii="仿宋_GB2312" w:hAnsi="仿宋_GB2312" w:cs="仿宋_GB2312" w:eastAsia="仿宋_GB2312"/>
                <w:sz w:val="28"/>
              </w:rPr>
              <w:t>2.付款时间、方式及条件：</w:t>
            </w:r>
          </w:p>
          <w:p>
            <w:pPr>
              <w:pStyle w:val="null3"/>
              <w:ind w:firstLine="560"/>
              <w:jc w:val="both"/>
            </w:pPr>
            <w:r>
              <w:rPr>
                <w:rFonts w:ascii="仿宋_GB2312" w:hAnsi="仿宋_GB2312" w:cs="仿宋_GB2312" w:eastAsia="仿宋_GB2312"/>
                <w:sz w:val="28"/>
              </w:rPr>
              <w:t>2.1.第一期付款：协议签订并且中标人提交完整的付款申请资料后10个工作日内，采购人向中标人指定账户支付本项目服务费总价的30%，作为本项目服务费的预付款，以便中标人顺利开展监督考评服务工作。</w:t>
            </w:r>
          </w:p>
          <w:p>
            <w:pPr>
              <w:pStyle w:val="null3"/>
              <w:ind w:firstLine="560"/>
              <w:jc w:val="both"/>
            </w:pPr>
            <w:r>
              <w:rPr>
                <w:rFonts w:ascii="仿宋_GB2312" w:hAnsi="仿宋_GB2312" w:cs="仿宋_GB2312" w:eastAsia="仿宋_GB2312"/>
                <w:sz w:val="28"/>
              </w:rPr>
              <w:t>2.2.第二期付款：</w:t>
            </w:r>
            <w:r>
              <w:rPr>
                <w:rFonts w:ascii="仿宋_GB2312" w:hAnsi="仿宋_GB2312" w:cs="仿宋_GB2312" w:eastAsia="仿宋_GB2312"/>
                <w:sz w:val="28"/>
              </w:rPr>
              <w:t>于</w:t>
            </w:r>
            <w:r>
              <w:rPr>
                <w:rFonts w:ascii="仿宋_GB2312" w:hAnsi="仿宋_GB2312" w:cs="仿宋_GB2312" w:eastAsia="仿宋_GB2312"/>
                <w:sz w:val="28"/>
              </w:rPr>
              <w:t>2025年</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10</w:t>
            </w:r>
            <w:r>
              <w:rPr>
                <w:rFonts w:ascii="仿宋_GB2312" w:hAnsi="仿宋_GB2312" w:cs="仿宋_GB2312" w:eastAsia="仿宋_GB2312"/>
                <w:sz w:val="28"/>
              </w:rPr>
              <w:t>日</w:t>
            </w:r>
            <w:r>
              <w:rPr>
                <w:rFonts w:ascii="仿宋_GB2312" w:hAnsi="仿宋_GB2312" w:cs="仿宋_GB2312" w:eastAsia="仿宋_GB2312"/>
                <w:sz w:val="28"/>
              </w:rPr>
              <w:t>前支付</w:t>
            </w:r>
            <w:r>
              <w:rPr>
                <w:rFonts w:ascii="仿宋_GB2312" w:hAnsi="仿宋_GB2312" w:cs="仿宋_GB2312" w:eastAsia="仿宋_GB2312"/>
                <w:sz w:val="28"/>
              </w:rPr>
              <w:t>，支付总服务费的</w:t>
            </w:r>
            <w:r>
              <w:rPr>
                <w:rFonts w:ascii="仿宋_GB2312" w:hAnsi="仿宋_GB2312" w:cs="仿宋_GB2312" w:eastAsia="仿宋_GB2312"/>
                <w:sz w:val="28"/>
              </w:rPr>
              <w:t>25%，中标人提交完整付款申请资料后5日内采购人向中标人指定账户支付服务费。</w:t>
            </w:r>
          </w:p>
          <w:p>
            <w:pPr>
              <w:pStyle w:val="null3"/>
              <w:ind w:firstLine="560"/>
              <w:jc w:val="both"/>
            </w:pPr>
            <w:r>
              <w:rPr>
                <w:rFonts w:ascii="仿宋_GB2312" w:hAnsi="仿宋_GB2312" w:cs="仿宋_GB2312" w:eastAsia="仿宋_GB2312"/>
                <w:sz w:val="28"/>
              </w:rPr>
              <w:t>2.3.第三期付款：</w:t>
            </w:r>
            <w:r>
              <w:rPr>
                <w:rFonts w:ascii="仿宋_GB2312" w:hAnsi="仿宋_GB2312" w:cs="仿宋_GB2312" w:eastAsia="仿宋_GB2312"/>
                <w:sz w:val="28"/>
              </w:rPr>
              <w:t>于</w:t>
            </w:r>
            <w:r>
              <w:rPr>
                <w:rFonts w:ascii="仿宋_GB2312" w:hAnsi="仿宋_GB2312" w:cs="仿宋_GB2312" w:eastAsia="仿宋_GB2312"/>
                <w:sz w:val="28"/>
              </w:rPr>
              <w:t>2026年</w:t>
            </w:r>
            <w:r>
              <w:rPr>
                <w:rFonts w:ascii="仿宋_GB2312" w:hAnsi="仿宋_GB2312" w:cs="仿宋_GB2312" w:eastAsia="仿宋_GB2312"/>
                <w:sz w:val="28"/>
              </w:rPr>
              <w:t>3</w:t>
            </w:r>
            <w:r>
              <w:rPr>
                <w:rFonts w:ascii="仿宋_GB2312" w:hAnsi="仿宋_GB2312" w:cs="仿宋_GB2312" w:eastAsia="仿宋_GB2312"/>
                <w:sz w:val="28"/>
              </w:rPr>
              <w:t>月</w:t>
            </w:r>
            <w:r>
              <w:rPr>
                <w:rFonts w:ascii="仿宋_GB2312" w:hAnsi="仿宋_GB2312" w:cs="仿宋_GB2312" w:eastAsia="仿宋_GB2312"/>
                <w:sz w:val="28"/>
              </w:rPr>
              <w:t>10</w:t>
            </w:r>
            <w:r>
              <w:rPr>
                <w:rFonts w:ascii="仿宋_GB2312" w:hAnsi="仿宋_GB2312" w:cs="仿宋_GB2312" w:eastAsia="仿宋_GB2312"/>
                <w:sz w:val="28"/>
              </w:rPr>
              <w:t>日</w:t>
            </w:r>
            <w:r>
              <w:rPr>
                <w:rFonts w:ascii="仿宋_GB2312" w:hAnsi="仿宋_GB2312" w:cs="仿宋_GB2312" w:eastAsia="仿宋_GB2312"/>
                <w:sz w:val="28"/>
              </w:rPr>
              <w:t>前支付</w:t>
            </w:r>
            <w:r>
              <w:rPr>
                <w:rFonts w:ascii="仿宋_GB2312" w:hAnsi="仿宋_GB2312" w:cs="仿宋_GB2312" w:eastAsia="仿宋_GB2312"/>
                <w:sz w:val="28"/>
              </w:rPr>
              <w:t>，支付总服务费的</w:t>
            </w:r>
            <w:r>
              <w:rPr>
                <w:rFonts w:ascii="仿宋_GB2312" w:hAnsi="仿宋_GB2312" w:cs="仿宋_GB2312" w:eastAsia="仿宋_GB2312"/>
                <w:sz w:val="28"/>
              </w:rPr>
              <w:t>25%，中标人提交完整付款申请资料后5日内采购人向中标人指定账户支付服务费。</w:t>
            </w:r>
          </w:p>
          <w:p>
            <w:pPr>
              <w:pStyle w:val="null3"/>
              <w:ind w:firstLine="560"/>
              <w:jc w:val="both"/>
            </w:pPr>
            <w:r>
              <w:rPr>
                <w:rFonts w:ascii="仿宋_GB2312" w:hAnsi="仿宋_GB2312" w:cs="仿宋_GB2312" w:eastAsia="仿宋_GB2312"/>
                <w:sz w:val="28"/>
              </w:rPr>
              <w:t>2.4.第四期付款：于本服务工作结束并履约验收后，中标人提交完整付款申请资料后10日内由采购人一次性支付给中标人指定账户。</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其他</w:t>
            </w:r>
          </w:p>
          <w:p>
            <w:pPr>
              <w:pStyle w:val="null3"/>
              <w:ind w:firstLine="560"/>
              <w:jc w:val="both"/>
            </w:pPr>
            <w:r>
              <w:rPr>
                <w:rFonts w:ascii="仿宋_GB2312" w:hAnsi="仿宋_GB2312" w:cs="仿宋_GB2312" w:eastAsia="仿宋_GB2312"/>
                <w:sz w:val="28"/>
              </w:rPr>
              <w:t>3.1.</w:t>
            </w:r>
            <w:r>
              <w:rPr>
                <w:rFonts w:ascii="仿宋_GB2312" w:hAnsi="仿宋_GB2312" w:cs="仿宋_GB2312" w:eastAsia="仿宋_GB2312"/>
                <w:sz w:val="28"/>
              </w:rPr>
              <w:t>项目的实质性要求：按招标文件要求和中标人投标文件内容实施。</w:t>
            </w:r>
          </w:p>
          <w:p>
            <w:pPr>
              <w:pStyle w:val="null3"/>
              <w:ind w:firstLine="560"/>
              <w:jc w:val="both"/>
            </w:pPr>
            <w:r>
              <w:rPr>
                <w:rFonts w:ascii="仿宋_GB2312" w:hAnsi="仿宋_GB2312" w:cs="仿宋_GB2312" w:eastAsia="仿宋_GB2312"/>
                <w:sz w:val="28"/>
              </w:rPr>
              <w:t>3.2.</w:t>
            </w:r>
            <w:r>
              <w:rPr>
                <w:rFonts w:ascii="仿宋_GB2312" w:hAnsi="仿宋_GB2312" w:cs="仿宋_GB2312" w:eastAsia="仿宋_GB2312"/>
                <w:sz w:val="28"/>
              </w:rPr>
              <w:t>合同的实质性条款：项目标的、数量、质量、价款、履行期限及地点和方式、验收要求、违约责任、解决争议的方法等内容。</w:t>
            </w:r>
          </w:p>
          <w:p>
            <w:pPr>
              <w:pStyle w:val="null3"/>
              <w:ind w:firstLine="560"/>
              <w:jc w:val="both"/>
            </w:pPr>
            <w:r>
              <w:rPr>
                <w:rFonts w:ascii="仿宋_GB2312" w:hAnsi="仿宋_GB2312" w:cs="仿宋_GB2312" w:eastAsia="仿宋_GB2312"/>
                <w:sz w:val="28"/>
              </w:rPr>
              <w:t>3.3.</w:t>
            </w:r>
            <w:r>
              <w:rPr>
                <w:rFonts w:ascii="仿宋_GB2312" w:hAnsi="仿宋_GB2312" w:cs="仿宋_GB2312" w:eastAsia="仿宋_GB2312"/>
                <w:sz w:val="28"/>
              </w:rPr>
              <w:t>安全标准：符合国家、地方和行业的相关政策、法规。</w:t>
            </w:r>
          </w:p>
          <w:p>
            <w:pPr>
              <w:pStyle w:val="null3"/>
              <w:ind w:firstLine="560"/>
              <w:jc w:val="both"/>
            </w:pPr>
            <w:r>
              <w:rPr>
                <w:rFonts w:ascii="仿宋_GB2312" w:hAnsi="仿宋_GB2312" w:cs="仿宋_GB2312" w:eastAsia="仿宋_GB2312"/>
                <w:sz w:val="28"/>
              </w:rPr>
              <w:t>3.4.</w:t>
            </w:r>
            <w:r>
              <w:rPr>
                <w:rFonts w:ascii="仿宋_GB2312" w:hAnsi="仿宋_GB2312" w:cs="仿宋_GB2312" w:eastAsia="仿宋_GB2312"/>
                <w:sz w:val="28"/>
              </w:rPr>
              <w:t>验收方法及标准：按招标文件和投标文件的内容及国家、地方和行业的相关政策、法规实施。</w:t>
            </w:r>
          </w:p>
          <w:p>
            <w:pPr>
              <w:pStyle w:val="null3"/>
              <w:ind w:firstLine="560"/>
              <w:jc w:val="both"/>
            </w:pPr>
            <w:r>
              <w:rPr>
                <w:rFonts w:ascii="仿宋_GB2312" w:hAnsi="仿宋_GB2312" w:cs="仿宋_GB2312" w:eastAsia="仿宋_GB2312"/>
                <w:sz w:val="28"/>
              </w:rPr>
              <w:t>3.5.</w:t>
            </w:r>
            <w:r>
              <w:rPr>
                <w:rFonts w:ascii="仿宋_GB2312" w:hAnsi="仿宋_GB2312" w:cs="仿宋_GB2312" w:eastAsia="仿宋_GB2312"/>
                <w:sz w:val="28"/>
              </w:rPr>
              <w:t>法律法规规定的强制性标准：无。</w:t>
            </w:r>
          </w:p>
          <w:p>
            <w:pPr>
              <w:pStyle w:val="null3"/>
              <w:ind w:firstLine="560"/>
              <w:jc w:val="left"/>
            </w:pPr>
            <w:r>
              <w:rPr>
                <w:rFonts w:ascii="仿宋_GB2312" w:hAnsi="仿宋_GB2312" w:cs="仿宋_GB2312" w:eastAsia="仿宋_GB2312"/>
                <w:sz w:val="28"/>
              </w:rPr>
              <w:t>4.本项目预算金额、最高限价均为346.84万元，投标报价超过预算金额或最高限价的均按无效投标处理。</w:t>
            </w:r>
          </w:p>
          <w:p>
            <w:pPr>
              <w:pStyle w:val="null3"/>
              <w:ind w:firstLine="560"/>
              <w:jc w:val="left"/>
            </w:pPr>
            <w:r>
              <w:rPr>
                <w:rFonts w:ascii="仿宋_GB2312" w:hAnsi="仿宋_GB2312" w:cs="仿宋_GB2312" w:eastAsia="仿宋_GB2312"/>
                <w:sz w:val="28"/>
              </w:rPr>
              <w:t>5.投标人并需针对本项目提供对工作保障的人员、硬件设备、项目方案、管理制度、服务承诺等内容。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其他材料 商务应答表 供应商应提交的相关证明材料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残疾人福利性单位声明函 商务应答表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技术部分57.00分</w:t>
            </w:r>
          </w:p>
          <w:p>
            <w:pPr>
              <w:pStyle w:val="null3"/>
              <w:jc w:val="left"/>
            </w:pPr>
            <w:r>
              <w:rPr>
                <w:rFonts w:ascii="仿宋_GB2312" w:hAnsi="仿宋_GB2312" w:cs="仿宋_GB2312" w:eastAsia="仿宋_GB2312"/>
              </w:rPr>
              <w:t>商务部分33.00分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管理服务方案</w:t>
            </w:r>
          </w:p>
        </w:tc>
        <w:tc>
          <w:tcPr>
            <w:tcW w:type="dxa" w:w="2492"/>
          </w:tcPr>
          <w:p>
            <w:pPr>
              <w:pStyle w:val="null3"/>
              <w:jc w:val="left"/>
            </w:pPr>
            <w:r>
              <w:rPr>
                <w:rFonts w:ascii="仿宋_GB2312" w:hAnsi="仿宋_GB2312" w:cs="仿宋_GB2312" w:eastAsia="仿宋_GB2312"/>
              </w:rPr>
              <w:t>根据供应商提供管理服务方案的条件进行赋分，内容包含但不限于①项目的理解与认知、②项目服务目标及定位、③项目组组织架构及岗位职责、④项目管理制度。供应商提供管理服务方案材料的得20分，如每缺少一项内容扣5分；内容每存在一处缺陷（缺陷是指分析不明确、描述不详细、前后互相矛盾、缺乏针对性、应对措施不合理等）扣2.5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实施方案的条件进行赋分，内容包含但不限于①实施进度计划、②实施任务分解、③实施保障计划、④各阶段人员分工等4项内容。供应商提供实施方案材料的得16分，如每缺少一项内容扣4分；内容每存在一处缺陷（缺陷是指分析不明确、描述不详细、前后互相矛盾、缺乏针对性、应对措施不合理等）扣2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应急管理方案</w:t>
            </w:r>
          </w:p>
        </w:tc>
        <w:tc>
          <w:tcPr>
            <w:tcW w:type="dxa" w:w="2492"/>
          </w:tcPr>
          <w:p>
            <w:pPr>
              <w:pStyle w:val="null3"/>
              <w:jc w:val="left"/>
            </w:pPr>
            <w:r>
              <w:rPr>
                <w:rFonts w:ascii="仿宋_GB2312" w:hAnsi="仿宋_GB2312" w:cs="仿宋_GB2312" w:eastAsia="仿宋_GB2312"/>
              </w:rPr>
              <w:t>根据供应商提供应急管理方案的条件进行赋分，内容包含但不限于①应急预案、②应急保障计划、③人员物资调配等3项内容。供应商提供应急管理方案材料的得9分，如每缺少一项内容扣3分；内容每存在一处缺陷（缺陷是指分析不明确、描述不详细、前后互相矛盾、缺乏针对性、应对措施不合理等）扣1.5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服务质量保障方案</w:t>
            </w:r>
          </w:p>
        </w:tc>
        <w:tc>
          <w:tcPr>
            <w:tcW w:type="dxa" w:w="2492"/>
          </w:tcPr>
          <w:p>
            <w:pPr>
              <w:pStyle w:val="null3"/>
              <w:jc w:val="left"/>
            </w:pPr>
            <w:r>
              <w:rPr>
                <w:rFonts w:ascii="仿宋_GB2312" w:hAnsi="仿宋_GB2312" w:cs="仿宋_GB2312" w:eastAsia="仿宋_GB2312"/>
              </w:rPr>
              <w:t>根据供应商提供服务质量保障方案的条件进行赋分，内容包含但不限于①质量保证措施、②项目进度控制措施，③人员规范化管理、④安全生产管理制度等4项内容。供应商提供服务质量保障方案材料的得12分，如每缺少一项内容扣3分；内容每存在一处缺陷（缺陷是指分析不明确、描述不详细、前后互相矛盾、缺乏针对性、应对措施不合理等）扣1.5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供应商提供2022年1月1日以来的类似项目业绩，每提供一个得2分，满分10分。 证明材料：提供业绩合同关键页或中标/成交通知书复印件加盖公章（时间以合同签订时间或中标/成交通知书时间为准），不提供证明材料不得分。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供应商拟配备本项目配置的团队成员中，具有与本项目相关专业中级以上职称证书，每提供一个得3分，满分9分。 证明材料：提供人员证书复印件、劳动合同复印件（或劳务合同复印件，适用于退休返聘人员）并加盖公章，不提供证明材料不得分。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硬件设备1</w:t>
            </w:r>
          </w:p>
        </w:tc>
        <w:tc>
          <w:tcPr>
            <w:tcW w:type="dxa" w:w="2492"/>
          </w:tcPr>
          <w:p>
            <w:pPr>
              <w:pStyle w:val="null3"/>
              <w:jc w:val="left"/>
            </w:pPr>
            <w:r>
              <w:rPr>
                <w:rFonts w:ascii="仿宋_GB2312" w:hAnsi="仿宋_GB2312" w:cs="仿宋_GB2312" w:eastAsia="仿宋_GB2312"/>
              </w:rPr>
              <w:t>供应商拥有自主研发的环卫项目考核系统软件的，或租用（购买）环卫项目考核系统软件，得3分。 证明材料：提供国家版权局颁发的软件著作权登记证书复印件并加盖公章，租用（购买）的须提供发票或租用（购买）合同复印件加盖公章，不提供不得分。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硬件设备2</w:t>
            </w:r>
          </w:p>
        </w:tc>
        <w:tc>
          <w:tcPr>
            <w:tcW w:type="dxa" w:w="2492"/>
          </w:tcPr>
          <w:p>
            <w:pPr>
              <w:pStyle w:val="null3"/>
              <w:jc w:val="left"/>
            </w:pPr>
            <w:r>
              <w:rPr>
                <w:rFonts w:ascii="仿宋_GB2312" w:hAnsi="仿宋_GB2312" w:cs="仿宋_GB2312" w:eastAsia="仿宋_GB2312"/>
              </w:rPr>
              <w:t>投入本项目机动车车辆设备(不含两轮电动车)的，每提供1辆机动车，得1分，满分4分。 证明材料：提供发票或租用（购买）合同复印件加盖公章，不提供不得分。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硬件设备3</w:t>
            </w:r>
          </w:p>
        </w:tc>
        <w:tc>
          <w:tcPr>
            <w:tcW w:type="dxa" w:w="2492"/>
          </w:tcPr>
          <w:p>
            <w:pPr>
              <w:pStyle w:val="null3"/>
              <w:jc w:val="left"/>
            </w:pPr>
            <w:r>
              <w:rPr>
                <w:rFonts w:ascii="仿宋_GB2312" w:hAnsi="仿宋_GB2312" w:cs="仿宋_GB2312" w:eastAsia="仿宋_GB2312"/>
              </w:rPr>
              <w:t>投入本项目两轮电动车车辆设备(不含机动车)的，每提供1辆电动车，得0.5分，满分5分。 证明材料：提供发票或租用（购买）合同复印件加盖公章，不提供不得分。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售后承诺</w:t>
            </w:r>
          </w:p>
        </w:tc>
        <w:tc>
          <w:tcPr>
            <w:tcW w:type="dxa" w:w="2492"/>
          </w:tcPr>
          <w:p>
            <w:pPr>
              <w:pStyle w:val="null3"/>
              <w:jc w:val="left"/>
            </w:pPr>
            <w:r>
              <w:rPr>
                <w:rFonts w:ascii="仿宋_GB2312" w:hAnsi="仿宋_GB2312" w:cs="仿宋_GB2312" w:eastAsia="仿宋_GB2312"/>
              </w:rPr>
              <w:t>供应商能够提供有效售后服务能力的，得2分。 证明材料：提供承诺函（格式自拟）加盖公章，不提供不得分。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详见附件：2025年度海口市环卫作业质量监督考评工作合同模板.docx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GZZB2025-013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2025年度海口市环卫作业质量监督考评</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2025年度海口市环卫作业质量监督考评工作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3468400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