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8A0CE">
      <w:pPr>
        <w:pBdr>
          <w:top w:val="none" w:color="auto" w:sz="0" w:space="1"/>
          <w:left w:val="none" w:color="auto" w:sz="0" w:space="4"/>
          <w:bottom w:val="none" w:color="auto" w:sz="0" w:space="1"/>
          <w:right w:val="none" w:color="auto" w:sz="0" w:space="4"/>
        </w:pBdr>
        <w:spacing w:line="360" w:lineRule="auto"/>
        <w:ind w:firstLine="480"/>
        <w:rPr>
          <w:rFonts w:hint="eastAsia" w:ascii="仿宋" w:hAnsi="仿宋" w:eastAsia="仿宋" w:cs="仿宋"/>
          <w:bCs/>
          <w:sz w:val="28"/>
          <w:szCs w:val="28"/>
        </w:rPr>
      </w:pPr>
    </w:p>
    <w:p w14:paraId="23F3A2DD">
      <w:pPr>
        <w:pBdr>
          <w:top w:val="none" w:color="auto" w:sz="0" w:space="1"/>
          <w:left w:val="none" w:color="auto" w:sz="0" w:space="4"/>
          <w:bottom w:val="none" w:color="auto" w:sz="0" w:space="1"/>
          <w:right w:val="none" w:color="auto" w:sz="0" w:space="4"/>
        </w:pBdr>
        <w:spacing w:line="600" w:lineRule="exact"/>
        <w:ind w:firstLine="720" w:firstLineChars="200"/>
        <w:rPr>
          <w:rFonts w:ascii="黑体" w:hAnsi="黑体" w:eastAsia="黑体" w:cs="黑体"/>
          <w:color w:val="000000"/>
          <w:sz w:val="36"/>
          <w:szCs w:val="36"/>
        </w:rPr>
      </w:pPr>
    </w:p>
    <w:p w14:paraId="70275246">
      <w:pPr>
        <w:pBdr>
          <w:top w:val="none" w:color="auto" w:sz="0" w:space="1"/>
          <w:left w:val="none" w:color="auto" w:sz="0" w:space="4"/>
          <w:bottom w:val="none" w:color="auto" w:sz="0" w:space="1"/>
          <w:right w:val="none" w:color="auto" w:sz="0" w:space="4"/>
        </w:pBdr>
        <w:spacing w:line="600" w:lineRule="exact"/>
        <w:jc w:val="center"/>
        <w:rPr>
          <w:rFonts w:hint="eastAsia" w:ascii="黑体" w:hAnsi="黑体" w:eastAsia="黑体" w:cs="黑体"/>
          <w:b/>
          <w:bCs/>
          <w:color w:val="000000"/>
          <w:sz w:val="44"/>
          <w:szCs w:val="44"/>
        </w:rPr>
      </w:pPr>
      <w:r>
        <w:rPr>
          <w:rFonts w:hint="eastAsia" w:ascii="黑体" w:hAnsi="黑体" w:eastAsia="黑体" w:cs="黑体"/>
          <w:b/>
          <w:bCs/>
          <w:color w:val="000000"/>
          <w:sz w:val="44"/>
          <w:szCs w:val="44"/>
        </w:rPr>
        <w:t>海口市环卫作业质量</w:t>
      </w:r>
    </w:p>
    <w:p w14:paraId="0CABA255">
      <w:pPr>
        <w:pBdr>
          <w:top w:val="none" w:color="auto" w:sz="0" w:space="1"/>
          <w:left w:val="none" w:color="auto" w:sz="0" w:space="4"/>
          <w:bottom w:val="none" w:color="auto" w:sz="0" w:space="1"/>
          <w:right w:val="none" w:color="auto" w:sz="0" w:space="4"/>
        </w:pBdr>
        <w:spacing w:line="600" w:lineRule="exact"/>
        <w:jc w:val="center"/>
        <w:rPr>
          <w:rFonts w:ascii="黑体" w:hAnsi="黑体" w:eastAsia="黑体" w:cs="黑体"/>
          <w:b/>
          <w:bCs/>
          <w:color w:val="000000"/>
          <w:sz w:val="44"/>
          <w:szCs w:val="44"/>
        </w:rPr>
      </w:pPr>
      <w:r>
        <w:rPr>
          <w:rFonts w:hint="eastAsia" w:ascii="黑体" w:hAnsi="黑体" w:eastAsia="黑体" w:cs="黑体"/>
          <w:b/>
          <w:bCs/>
          <w:color w:val="000000"/>
          <w:sz w:val="44"/>
          <w:szCs w:val="44"/>
        </w:rPr>
        <w:t>监督考评工作合同</w:t>
      </w:r>
    </w:p>
    <w:p w14:paraId="7BF6E691">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0F27F860">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151E59CC">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5C6F7020">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01ADBA8C">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42B93783">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19F60A54">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1B986BC1">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1B4116DA">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50296128">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768EFD1D">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0D0529A0">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p>
    <w:p w14:paraId="21A6D40D">
      <w:pPr>
        <w:pBdr>
          <w:top w:val="none" w:color="auto" w:sz="0" w:space="1"/>
          <w:left w:val="none" w:color="auto" w:sz="0" w:space="4"/>
          <w:bottom w:val="none" w:color="auto" w:sz="0" w:space="1"/>
          <w:right w:val="none" w:color="auto" w:sz="0" w:space="4"/>
        </w:pBdr>
        <w:spacing w:line="600" w:lineRule="exact"/>
        <w:ind w:firstLine="1606" w:firstLineChars="5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甲方:海口市城市管理局</w:t>
      </w:r>
    </w:p>
    <w:p w14:paraId="4E10F7C3">
      <w:pPr>
        <w:pBdr>
          <w:top w:val="none" w:color="auto" w:sz="0" w:space="1"/>
          <w:left w:val="none" w:color="auto" w:sz="0" w:space="4"/>
          <w:bottom w:val="none" w:color="auto" w:sz="0" w:space="1"/>
          <w:right w:val="none" w:color="auto" w:sz="0" w:space="4"/>
        </w:pBdr>
        <w:spacing w:line="600" w:lineRule="exact"/>
        <w:ind w:firstLine="643" w:firstLineChars="200"/>
        <w:rPr>
          <w:rFonts w:ascii="仿宋_GB2312" w:hAnsi="仿宋_GB2312" w:eastAsia="仿宋_GB2312" w:cs="仿宋_GB2312"/>
          <w:b/>
          <w:bCs/>
          <w:color w:val="000000"/>
          <w:sz w:val="32"/>
          <w:szCs w:val="32"/>
        </w:rPr>
      </w:pPr>
    </w:p>
    <w:p w14:paraId="38DBF3C1">
      <w:pPr>
        <w:pBdr>
          <w:top w:val="none" w:color="auto" w:sz="0" w:space="1"/>
          <w:left w:val="none" w:color="auto" w:sz="0" w:space="4"/>
          <w:bottom w:val="none" w:color="auto" w:sz="0" w:space="1"/>
          <w:right w:val="none" w:color="auto" w:sz="0" w:space="4"/>
        </w:pBdr>
        <w:spacing w:line="600" w:lineRule="exact"/>
        <w:ind w:firstLine="1606" w:firstLineChars="500"/>
        <w:rPr>
          <w:rFonts w:ascii="仿宋_GB2312" w:hAnsi="仿宋_GB2312" w:eastAsia="仿宋_GB2312" w:cs="仿宋_GB2312"/>
          <w:color w:val="000000"/>
          <w:sz w:val="28"/>
          <w:szCs w:val="28"/>
        </w:rPr>
      </w:pPr>
      <w:r>
        <w:rPr>
          <w:rFonts w:hint="eastAsia" w:ascii="仿宋_GB2312" w:hAnsi="仿宋_GB2312" w:eastAsia="仿宋_GB2312" w:cs="仿宋_GB2312"/>
          <w:b/>
          <w:bCs/>
          <w:color w:val="000000"/>
          <w:sz w:val="32"/>
          <w:szCs w:val="32"/>
        </w:rPr>
        <w:t>乙方:</w:t>
      </w:r>
      <w:r>
        <w:rPr>
          <w:rFonts w:hint="eastAsia" w:ascii="仿宋_GB2312" w:hAnsi="仿宋_GB2312" w:eastAsia="仿宋_GB2312" w:cs="仿宋_GB2312"/>
          <w:color w:val="000000"/>
          <w:sz w:val="28"/>
          <w:szCs w:val="28"/>
        </w:rPr>
        <w:t>【                 】</w:t>
      </w:r>
    </w:p>
    <w:p w14:paraId="7DDF30C0">
      <w:pPr>
        <w:pBdr>
          <w:top w:val="none" w:color="auto" w:sz="0" w:space="1"/>
          <w:left w:val="none" w:color="auto" w:sz="0" w:space="4"/>
          <w:bottom w:val="none" w:color="auto" w:sz="0" w:space="1"/>
          <w:right w:val="none" w:color="auto" w:sz="0" w:space="4"/>
        </w:pBdr>
        <w:rPr>
          <w:rFonts w:ascii="仿宋_GB2312" w:hAnsi="仿宋_GB2312" w:eastAsia="仿宋_GB2312" w:cs="仿宋_GB2312"/>
          <w:color w:val="000000"/>
          <w:sz w:val="28"/>
          <w:szCs w:val="28"/>
        </w:rPr>
      </w:pPr>
    </w:p>
    <w:p w14:paraId="0DFA873C">
      <w:pPr>
        <w:pBdr>
          <w:top w:val="none" w:color="auto" w:sz="0" w:space="1"/>
          <w:left w:val="none" w:color="auto" w:sz="0" w:space="4"/>
          <w:bottom w:val="none" w:color="auto" w:sz="0" w:space="1"/>
          <w:right w:val="none" w:color="auto" w:sz="0" w:space="4"/>
        </w:pBdr>
        <w:rPr>
          <w:rFonts w:ascii="仿宋_GB2312" w:hAnsi="仿宋_GB2312" w:eastAsia="仿宋_GB2312" w:cs="仿宋_GB2312"/>
          <w:color w:val="000000"/>
          <w:sz w:val="28"/>
          <w:szCs w:val="28"/>
        </w:rPr>
      </w:pPr>
    </w:p>
    <w:p w14:paraId="10A682B0">
      <w:pPr>
        <w:pBdr>
          <w:top w:val="none" w:color="auto" w:sz="0" w:space="1"/>
          <w:left w:val="none" w:color="auto" w:sz="0" w:space="4"/>
          <w:bottom w:val="none" w:color="auto" w:sz="0" w:space="1"/>
          <w:right w:val="none" w:color="auto" w:sz="0" w:space="4"/>
        </w:pBdr>
        <w:rPr>
          <w:rFonts w:ascii="仿宋_GB2312" w:hAnsi="仿宋_GB2312" w:eastAsia="仿宋_GB2312" w:cs="仿宋_GB2312"/>
          <w:color w:val="000000"/>
          <w:sz w:val="28"/>
          <w:szCs w:val="28"/>
        </w:rPr>
      </w:pPr>
    </w:p>
    <w:p w14:paraId="2B2B9660">
      <w:pPr>
        <w:pBdr>
          <w:top w:val="none" w:color="auto" w:sz="0" w:space="1"/>
          <w:left w:val="none" w:color="auto" w:sz="0" w:space="4"/>
          <w:bottom w:val="none" w:color="auto" w:sz="0" w:space="1"/>
          <w:right w:val="none" w:color="auto" w:sz="0" w:space="4"/>
        </w:pBdr>
        <w:rPr>
          <w:rFonts w:hint="eastAsia" w:ascii="仿宋_GB2312" w:hAnsi="仿宋_GB2312" w:eastAsia="仿宋_GB2312" w:cs="仿宋_GB2312"/>
          <w:color w:val="000000"/>
          <w:sz w:val="28"/>
          <w:szCs w:val="28"/>
        </w:rPr>
      </w:pPr>
    </w:p>
    <w:p w14:paraId="2F7909DF">
      <w:pPr>
        <w:pStyle w:val="8"/>
        <w:pBdr>
          <w:top w:val="none" w:color="auto" w:sz="0" w:space="1"/>
          <w:left w:val="none" w:color="auto" w:sz="0" w:space="4"/>
          <w:bottom w:val="none" w:color="auto" w:sz="0" w:space="1"/>
          <w:right w:val="none" w:color="auto" w:sz="0" w:space="4"/>
        </w:pBdr>
        <w:spacing w:line="580" w:lineRule="exact"/>
        <w:ind w:firstLine="596"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为加强我市城乡环境卫生作业质量的监督管理，严格落实环卫作业质量标准，进一步完善</w:t>
      </w:r>
      <w:r>
        <w:rPr>
          <w:rFonts w:hint="eastAsia" w:ascii="仿宋_GB2312" w:hAnsi="仿宋_GB2312" w:eastAsia="仿宋_GB2312" w:cs="仿宋_GB2312"/>
          <w:spacing w:val="14"/>
          <w:sz w:val="28"/>
          <w:szCs w:val="28"/>
        </w:rPr>
        <w:t>环</w:t>
      </w:r>
      <w:r>
        <w:rPr>
          <w:rFonts w:hint="eastAsia" w:ascii="仿宋_GB2312" w:hAnsi="仿宋_GB2312" w:eastAsia="仿宋_GB2312" w:cs="仿宋_GB2312"/>
          <w:spacing w:val="9"/>
          <w:sz w:val="28"/>
          <w:szCs w:val="28"/>
        </w:rPr>
        <w:t>卫作业质量评价体系，根据《海口市农村环境卫生管理办法》《海口市园林和环境卫生管理</w:t>
      </w:r>
      <w:r>
        <w:rPr>
          <w:rFonts w:hint="eastAsia" w:ascii="仿宋_GB2312" w:hAnsi="仿宋_GB2312" w:eastAsia="仿宋_GB2312" w:cs="仿宋_GB2312"/>
          <w:spacing w:val="10"/>
          <w:sz w:val="28"/>
          <w:szCs w:val="28"/>
        </w:rPr>
        <w:t>局农村</w:t>
      </w:r>
      <w:r>
        <w:rPr>
          <w:rFonts w:hint="eastAsia" w:ascii="仿宋_GB2312" w:hAnsi="仿宋_GB2312" w:eastAsia="仿宋_GB2312" w:cs="仿宋_GB2312"/>
          <w:spacing w:val="9"/>
          <w:sz w:val="28"/>
          <w:szCs w:val="28"/>
        </w:rPr>
        <w:t>生</w:t>
      </w:r>
      <w:r>
        <w:rPr>
          <w:rFonts w:hint="eastAsia" w:ascii="仿宋_GB2312" w:hAnsi="仿宋_GB2312" w:eastAsia="仿宋_GB2312" w:cs="仿宋_GB2312"/>
          <w:spacing w:val="5"/>
          <w:sz w:val="28"/>
          <w:szCs w:val="28"/>
        </w:rPr>
        <w:t>活垃圾治理专项督查考评工作方案》及《海口市环卫作业质量考核办法(2023年版)》</w:t>
      </w:r>
      <w:r>
        <w:rPr>
          <w:rFonts w:hint="eastAsia" w:ascii="仿宋_GB2312" w:hAnsi="仿宋_GB2312" w:eastAsia="仿宋_GB2312" w:cs="仿宋_GB2312"/>
          <w:spacing w:val="-1"/>
          <w:sz w:val="28"/>
          <w:szCs w:val="28"/>
        </w:rPr>
        <w:t>的要求，委托第三方对我市2025年【 】月至2026年【  】月</w:t>
      </w:r>
      <w:r>
        <w:rPr>
          <w:rFonts w:hint="eastAsia" w:ascii="仿宋_GB2312" w:hAnsi="仿宋_GB2312" w:eastAsia="仿宋_GB2312" w:cs="仿宋_GB2312"/>
          <w:sz w:val="28"/>
          <w:szCs w:val="28"/>
        </w:rPr>
        <w:t>环卫作业质量进行监督考核。</w:t>
      </w:r>
    </w:p>
    <w:p w14:paraId="33C0AAF3">
      <w:pPr>
        <w:pStyle w:val="9"/>
        <w:pBdr>
          <w:top w:val="none" w:color="auto" w:sz="0" w:space="1"/>
          <w:left w:val="none" w:color="auto" w:sz="0" w:space="4"/>
          <w:bottom w:val="none" w:color="auto" w:sz="0" w:space="1"/>
          <w:right w:val="none" w:color="auto" w:sz="0" w:space="4"/>
        </w:pBdr>
        <w:spacing w:beforeLines="0" w:afterLines="0" w:line="600" w:lineRule="exact"/>
        <w:ind w:firstLine="560"/>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通过公开招标，经评标委员会评定【           】（以下简称乙方）作为中标供应商为本次项目开展相关工作。按照《中华人民共和国民法典》及本项目</w:t>
      </w:r>
      <w:r>
        <w:rPr>
          <w:rFonts w:hint="eastAsia" w:ascii="仿宋_GB2312" w:hAnsi="仿宋_GB2312" w:eastAsia="仿宋_GB2312" w:cs="仿宋_GB2312"/>
          <w:sz w:val="28"/>
          <w:szCs w:val="28"/>
          <w:lang w:eastAsia="zh-CN"/>
        </w:rPr>
        <w:t>招标</w:t>
      </w:r>
      <w:r>
        <w:rPr>
          <w:rFonts w:hint="eastAsia" w:ascii="仿宋_GB2312" w:hAnsi="仿宋_GB2312" w:eastAsia="仿宋_GB2312" w:cs="仿宋_GB2312"/>
          <w:color w:val="000000"/>
          <w:sz w:val="28"/>
          <w:szCs w:val="28"/>
          <w:lang w:eastAsia="zh-CN"/>
        </w:rPr>
        <w:t>文件、响应文件和实施方案，经甲乙双方协商，就委托乙方开展</w:t>
      </w:r>
      <w:r>
        <w:rPr>
          <w:rFonts w:hint="eastAsia" w:ascii="仿宋_GB2312" w:hAnsi="仿宋_GB2312" w:eastAsia="仿宋_GB2312" w:cs="仿宋_GB2312"/>
          <w:color w:val="000000"/>
          <w:sz w:val="28"/>
          <w:szCs w:val="28"/>
          <w:lang w:val="en-GB" w:eastAsia="zh-CN"/>
        </w:rPr>
        <w:t>2025年度海口市环卫作业质量监督考评工作</w:t>
      </w:r>
      <w:r>
        <w:rPr>
          <w:rFonts w:hint="eastAsia" w:ascii="仿宋_GB2312" w:hAnsi="仿宋_GB2312" w:eastAsia="仿宋_GB2312" w:cs="仿宋_GB2312"/>
          <w:color w:val="000000"/>
          <w:sz w:val="28"/>
          <w:szCs w:val="28"/>
          <w:lang w:eastAsia="zh-CN"/>
        </w:rPr>
        <w:t>（项目编号：</w:t>
      </w:r>
      <w:r>
        <w:rPr>
          <w:rFonts w:hint="eastAsia" w:ascii="仿宋_GB2312" w:hAnsi="仿宋_GB2312" w:eastAsia="仿宋_GB2312" w:cs="仿宋_GB2312"/>
          <w:sz w:val="28"/>
          <w:szCs w:val="28"/>
          <w:lang w:eastAsia="zh-CN"/>
        </w:rPr>
        <w:t>【       】</w:t>
      </w:r>
      <w:r>
        <w:rPr>
          <w:rFonts w:hint="eastAsia" w:ascii="仿宋_GB2312" w:hAnsi="仿宋_GB2312" w:eastAsia="仿宋_GB2312" w:cs="仿宋_GB2312"/>
          <w:color w:val="000000"/>
          <w:sz w:val="28"/>
          <w:szCs w:val="28"/>
          <w:lang w:eastAsia="zh-CN"/>
        </w:rPr>
        <w:t>）达成以下协议。</w:t>
      </w:r>
    </w:p>
    <w:p w14:paraId="2A04A8EF">
      <w:pPr>
        <w:pBdr>
          <w:top w:val="none" w:color="auto" w:sz="0" w:space="1"/>
          <w:left w:val="none" w:color="auto" w:sz="0" w:space="4"/>
          <w:bottom w:val="none" w:color="auto" w:sz="0" w:space="1"/>
          <w:right w:val="none" w:color="auto" w:sz="0" w:space="4"/>
        </w:pBdr>
        <w:spacing w:line="600" w:lineRule="exact"/>
        <w:ind w:firstLine="600" w:firstLineChars="200"/>
        <w:outlineLvl w:val="0"/>
        <w:rPr>
          <w:rFonts w:ascii="黑体" w:hAnsi="黑体" w:eastAsia="黑体"/>
          <w:color w:val="000000"/>
          <w:sz w:val="30"/>
          <w:szCs w:val="30"/>
        </w:rPr>
      </w:pPr>
      <w:r>
        <w:rPr>
          <w:rFonts w:hint="eastAsia" w:ascii="黑体" w:hAnsi="黑体" w:eastAsia="黑体"/>
          <w:color w:val="000000"/>
          <w:sz w:val="30"/>
          <w:szCs w:val="30"/>
        </w:rPr>
        <w:t>一、合同标的及金额</w:t>
      </w:r>
    </w:p>
    <w:p w14:paraId="719B9072">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1.1项目名称：</w:t>
      </w:r>
      <w:r>
        <w:rPr>
          <w:rFonts w:hint="eastAsia" w:ascii="仿宋_GB2312" w:hAnsi="宋体" w:eastAsia="仿宋_GB2312"/>
          <w:color w:val="000000"/>
          <w:sz w:val="28"/>
          <w:szCs w:val="28"/>
          <w:lang w:val="en-GB" w:eastAsia="zh-CN"/>
        </w:rPr>
        <w:t>2025年度海口市环卫作业质量监督考评工作</w:t>
      </w:r>
      <w:r>
        <w:rPr>
          <w:rFonts w:hint="eastAsia" w:ascii="仿宋_GB2312" w:hAnsi="宋体" w:eastAsia="仿宋_GB2312"/>
          <w:color w:val="000000"/>
          <w:sz w:val="28"/>
          <w:szCs w:val="28"/>
        </w:rPr>
        <w:t>。</w:t>
      </w:r>
    </w:p>
    <w:p w14:paraId="0B00C5B4">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1.2项目编号：</w:t>
      </w:r>
      <w:r>
        <w:rPr>
          <w:rFonts w:hint="eastAsia" w:ascii="仿宋_GB2312" w:hAnsi="仿宋_GB2312" w:eastAsia="仿宋_GB2312" w:cs="仿宋_GB2312"/>
          <w:sz w:val="28"/>
          <w:szCs w:val="28"/>
        </w:rPr>
        <w:t>【         】</w:t>
      </w:r>
    </w:p>
    <w:p w14:paraId="1A8667F2">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1.3中标服务费用：¥【       】元(人民币：【     】)。</w:t>
      </w:r>
    </w:p>
    <w:p w14:paraId="309BB642">
      <w:pPr>
        <w:pBdr>
          <w:top w:val="none" w:color="auto" w:sz="0" w:space="1"/>
          <w:left w:val="none" w:color="auto" w:sz="0" w:space="4"/>
          <w:bottom w:val="none" w:color="auto" w:sz="0" w:space="1"/>
          <w:right w:val="none" w:color="auto" w:sz="0" w:space="4"/>
        </w:pBdr>
        <w:spacing w:line="600" w:lineRule="exact"/>
        <w:ind w:firstLine="600" w:firstLineChars="200"/>
        <w:outlineLvl w:val="0"/>
        <w:rPr>
          <w:rFonts w:ascii="黑体" w:hAnsi="黑体" w:eastAsia="黑体"/>
          <w:color w:val="000000"/>
          <w:sz w:val="30"/>
          <w:szCs w:val="30"/>
        </w:rPr>
      </w:pPr>
      <w:r>
        <w:rPr>
          <w:rFonts w:hint="eastAsia" w:ascii="黑体" w:hAnsi="黑体" w:eastAsia="黑体"/>
          <w:color w:val="000000"/>
          <w:sz w:val="30"/>
          <w:szCs w:val="30"/>
        </w:rPr>
        <w:t>二、委托事项</w:t>
      </w:r>
    </w:p>
    <w:p w14:paraId="75221A88">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2025年度</w:t>
      </w:r>
      <w:r>
        <w:rPr>
          <w:rFonts w:hint="eastAsia" w:ascii="仿宋_GB2312" w:hAnsi="宋体" w:eastAsia="仿宋_GB2312"/>
          <w:color w:val="000000"/>
          <w:sz w:val="28"/>
          <w:szCs w:val="28"/>
          <w:lang w:eastAsia="zh-CN"/>
        </w:rPr>
        <w:t>2025年度海口市环卫作业质量监督考评工作</w:t>
      </w:r>
      <w:r>
        <w:rPr>
          <w:rFonts w:hint="eastAsia" w:ascii="仿宋_GB2312" w:hAnsi="宋体" w:eastAsia="仿宋_GB2312"/>
          <w:color w:val="000000"/>
          <w:sz w:val="28"/>
          <w:szCs w:val="28"/>
        </w:rPr>
        <w:t>。</w:t>
      </w:r>
    </w:p>
    <w:p w14:paraId="50E879A1">
      <w:pPr>
        <w:pBdr>
          <w:top w:val="none" w:color="auto" w:sz="0" w:space="1"/>
          <w:left w:val="none" w:color="auto" w:sz="0" w:space="4"/>
          <w:bottom w:val="none" w:color="auto" w:sz="0" w:space="1"/>
          <w:right w:val="none" w:color="auto" w:sz="0" w:space="4"/>
        </w:pBdr>
        <w:spacing w:line="600" w:lineRule="exact"/>
        <w:ind w:firstLine="600" w:firstLineChars="200"/>
        <w:outlineLvl w:val="0"/>
        <w:rPr>
          <w:rFonts w:ascii="黑体" w:hAnsi="黑体" w:eastAsia="黑体"/>
          <w:color w:val="000000"/>
          <w:sz w:val="30"/>
          <w:szCs w:val="30"/>
        </w:rPr>
      </w:pPr>
      <w:r>
        <w:rPr>
          <w:rFonts w:hint="eastAsia" w:ascii="黑体" w:hAnsi="黑体" w:eastAsia="黑体"/>
          <w:color w:val="000000"/>
          <w:sz w:val="30"/>
          <w:szCs w:val="30"/>
        </w:rPr>
        <w:t>三、项目内容及要求</w:t>
      </w:r>
    </w:p>
    <w:p w14:paraId="16E1CAFE">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3.1监督考核目的</w:t>
      </w:r>
    </w:p>
    <w:p w14:paraId="2DA15BD5">
      <w:pPr>
        <w:spacing w:line="500" w:lineRule="exact"/>
        <w:ind w:firstLine="595"/>
        <w:rPr>
          <w:rFonts w:hint="eastAsia" w:ascii="仿宋_GB2312" w:hAnsi="仿宋_GB2312" w:eastAsia="仿宋_GB2312" w:cs="仿宋_GB2312"/>
          <w:spacing w:val="9"/>
          <w:position w:val="2"/>
          <w:sz w:val="28"/>
          <w:szCs w:val="28"/>
        </w:rPr>
      </w:pPr>
      <w:bookmarkStart w:id="0" w:name="_Hlk196233654"/>
      <w:r>
        <w:rPr>
          <w:rFonts w:hint="eastAsia" w:ascii="仿宋_GB2312" w:hAnsi="仿宋_GB2312" w:eastAsia="仿宋_GB2312" w:cs="仿宋_GB2312"/>
          <w:spacing w:val="9"/>
          <w:position w:val="2"/>
          <w:sz w:val="28"/>
        </w:rPr>
        <w:t>严格落实海口市城乡环卫作业质量考核标准，促进我市城乡环境卫生规范化作业、标准化管理，提高城市和农村整体环境卫生水平，营造优美人居环境。</w:t>
      </w:r>
    </w:p>
    <w:bookmarkEnd w:id="0"/>
    <w:p w14:paraId="397C5C21">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3.2监督考评对象</w:t>
      </w:r>
    </w:p>
    <w:p w14:paraId="353C435E">
      <w:pPr>
        <w:spacing w:line="560" w:lineRule="exact"/>
        <w:ind w:firstLine="596" w:firstLineChars="200"/>
        <w:rPr>
          <w:rFonts w:hint="eastAsia" w:ascii="仿宋_GB2312" w:hAnsi="仿宋_GB2312" w:eastAsia="仿宋_GB2312" w:cs="仿宋_GB2312"/>
          <w:spacing w:val="9"/>
          <w:position w:val="2"/>
          <w:sz w:val="28"/>
          <w:szCs w:val="28"/>
        </w:rPr>
      </w:pPr>
      <w:bookmarkStart w:id="1" w:name="_Hlk196233691"/>
      <w:r>
        <w:rPr>
          <w:rFonts w:hint="eastAsia" w:ascii="仿宋_GB2312" w:hAnsi="仿宋_GB2312" w:eastAsia="仿宋_GB2312" w:cs="仿宋_GB2312"/>
          <w:spacing w:val="9"/>
          <w:position w:val="2"/>
          <w:sz w:val="28"/>
          <w:szCs w:val="28"/>
        </w:rPr>
        <w:t>城区环卫：海口市建成区环卫作业质量及环卫PPP企业协议履约情况。</w:t>
      </w:r>
    </w:p>
    <w:p w14:paraId="7F32383D">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农村环卫：海口市行政辖区范围内所有镇墟和村庄的环境卫生质量管理。督查考评范围包括全市四个行政区21个镇墟、桂林洋开发区</w:t>
      </w:r>
      <w:r>
        <w:rPr>
          <w:rFonts w:hint="eastAsia" w:ascii="仿宋_GB2312" w:hAnsi="仿宋_GB2312" w:eastAsia="仿宋_GB2312" w:cs="仿宋_GB2312"/>
          <w:color w:val="000000"/>
          <w:spacing w:val="9"/>
          <w:position w:val="2"/>
          <w:sz w:val="28"/>
          <w:szCs w:val="28"/>
        </w:rPr>
        <w:t>（江东新区）</w:t>
      </w:r>
      <w:r>
        <w:rPr>
          <w:rFonts w:hint="eastAsia" w:ascii="仿宋_GB2312" w:hAnsi="仿宋_GB2312" w:eastAsia="仿宋_GB2312" w:cs="仿宋_GB2312"/>
          <w:spacing w:val="9"/>
          <w:position w:val="2"/>
          <w:sz w:val="28"/>
          <w:szCs w:val="28"/>
        </w:rPr>
        <w:t>、高新技术开发区、农场（居）等，覆盖全市272个行政村及2482个自然村。</w:t>
      </w:r>
    </w:p>
    <w:bookmarkEnd w:id="1"/>
    <w:p w14:paraId="0398DD48">
      <w:pPr>
        <w:pBdr>
          <w:top w:val="none" w:color="auto" w:sz="0" w:space="1"/>
          <w:left w:val="none" w:color="auto" w:sz="0" w:space="4"/>
          <w:bottom w:val="none" w:color="auto" w:sz="0" w:space="1"/>
          <w:right w:val="none" w:color="auto" w:sz="0" w:space="4"/>
        </w:pBdr>
        <w:spacing w:line="600"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3.3监督考评原则</w:t>
      </w:r>
      <w:r>
        <w:rPr>
          <w:rFonts w:hint="eastAsia" w:hAnsi="仿宋_GB2312" w:cs="仿宋_GB2312"/>
          <w:b/>
          <w:bCs/>
          <w:color w:val="000000"/>
          <w:sz w:val="28"/>
          <w:szCs w:val="28"/>
        </w:rPr>
        <w:t>和依据</w:t>
      </w:r>
    </w:p>
    <w:p w14:paraId="5B0ED8CD">
      <w:pPr>
        <w:spacing w:line="560" w:lineRule="exact"/>
        <w:ind w:firstLine="596" w:firstLineChars="200"/>
        <w:rPr>
          <w:rFonts w:hint="eastAsia" w:ascii="仿宋_GB2312" w:hAnsi="仿宋_GB2312" w:eastAsia="仿宋_GB2312" w:cs="仿宋_GB2312"/>
          <w:spacing w:val="9"/>
          <w:position w:val="2"/>
          <w:sz w:val="28"/>
          <w:szCs w:val="28"/>
        </w:rPr>
      </w:pPr>
      <w:bookmarkStart w:id="2" w:name="_Hlk196233721"/>
      <w:r>
        <w:rPr>
          <w:rFonts w:hint="eastAsia" w:ascii="仿宋_GB2312" w:hAnsi="仿宋_GB2312" w:eastAsia="仿宋_GB2312" w:cs="仿宋_GB2312"/>
          <w:spacing w:val="9"/>
          <w:position w:val="2"/>
          <w:sz w:val="28"/>
          <w:szCs w:val="28"/>
        </w:rPr>
        <w:t>1、监督考评原则。严格按照相关的法律法规、标准规范，对全市环卫作业质量实施对标考评。考评工作强调环卫作业质量的日常监督检查，注重环卫作业过程的</w:t>
      </w:r>
      <w:r>
        <w:rPr>
          <w:rFonts w:hint="eastAsia" w:ascii="仿宋_GB2312" w:hAnsi="仿宋_GB2312" w:eastAsia="仿宋_GB2312" w:cs="仿宋_GB2312"/>
          <w:color w:val="000000"/>
          <w:spacing w:val="9"/>
          <w:position w:val="2"/>
          <w:sz w:val="28"/>
          <w:szCs w:val="28"/>
        </w:rPr>
        <w:t>管控，真实</w:t>
      </w:r>
      <w:r>
        <w:rPr>
          <w:rFonts w:hint="eastAsia" w:ascii="仿宋_GB2312" w:hAnsi="仿宋_GB2312" w:eastAsia="仿宋_GB2312" w:cs="仿宋_GB2312"/>
          <w:spacing w:val="9"/>
          <w:position w:val="2"/>
          <w:sz w:val="28"/>
          <w:szCs w:val="28"/>
        </w:rPr>
        <w:t>反映环卫作业管理的整体水平和各区及所辖的镇、村环境卫生作业质量的管理状况。</w:t>
      </w:r>
    </w:p>
    <w:p w14:paraId="564840AB">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—坚持“公开、公平、公正”的原则。对各区及所辖的镇、村环境卫生作业监督考评标准统一，方式方法公开，严格按规定程序形成书面报告上报市政府最终审定。</w:t>
      </w:r>
    </w:p>
    <w:p w14:paraId="0CFBA858">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—坚持“日查、周查、月查及明查与暗访相结合”的原则。通过不同考核周期、多种检查方式，全方位、客观、真实反映环卫作业质量管理情况，最大限度保障政府与企业的权益。</w:t>
      </w:r>
    </w:p>
    <w:p w14:paraId="3DD0B772">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坚持“责、权、利统一”的原则。根据市、区环卫部门、镇政府、服务企业以及相关人员在作业质量监督考核工作中的分工，明确工作内容，厘清责任边界，考核结果与付费挂钩，使责任、权利、利益三者有机结合。</w:t>
      </w:r>
    </w:p>
    <w:p w14:paraId="458514FD">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hAnsi="宋体"/>
          <w:color w:val="000000"/>
          <w:sz w:val="28"/>
          <w:szCs w:val="28"/>
        </w:rPr>
      </w:pPr>
      <w:r>
        <w:rPr>
          <w:rFonts w:hint="eastAsia" w:ascii="仿宋_GB2312" w:hAnsi="宋体" w:eastAsia="仿宋_GB2312"/>
          <w:color w:val="000000"/>
          <w:sz w:val="28"/>
          <w:szCs w:val="28"/>
        </w:rPr>
        <w:t>2、监督考评依据。</w:t>
      </w:r>
    </w:p>
    <w:p w14:paraId="213BA7AD">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(1)与各环卫服务企业签订的PPP项目特许经营协议；</w:t>
      </w:r>
    </w:p>
    <w:p w14:paraId="4AE5723E">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(2)《海口市环卫作业质量考核办法(2023年版) 》</w:t>
      </w:r>
      <w:r>
        <w:rPr>
          <w:rFonts w:hint="eastAsia" w:ascii="仿宋_GB2312" w:hAnsi="宋体"/>
          <w:color w:val="000000"/>
          <w:sz w:val="28"/>
          <w:szCs w:val="28"/>
        </w:rPr>
        <w:t xml:space="preserve"> </w:t>
      </w:r>
      <w:r>
        <w:rPr>
          <w:rFonts w:hint="eastAsia" w:ascii="仿宋_GB2312" w:hAnsi="宋体" w:eastAsia="仿宋_GB2312"/>
          <w:color w:val="000000"/>
          <w:sz w:val="28"/>
          <w:szCs w:val="28"/>
        </w:rPr>
        <w:t>；</w:t>
      </w:r>
    </w:p>
    <w:p w14:paraId="23A555B1">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(3)《海口市环境卫生一体化作业质量标准》；</w:t>
      </w:r>
    </w:p>
    <w:p w14:paraId="7EB80AA9">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(4)《海口市环境卫生一体化作业质量检查考核评分细则》</w:t>
      </w:r>
      <w:r>
        <w:rPr>
          <w:rFonts w:hint="eastAsia" w:ascii="仿宋_GB2312" w:hAnsi="宋体"/>
          <w:color w:val="000000"/>
          <w:sz w:val="28"/>
          <w:szCs w:val="28"/>
        </w:rPr>
        <w:t xml:space="preserve"> </w:t>
      </w:r>
      <w:r>
        <w:rPr>
          <w:rFonts w:hint="eastAsia" w:ascii="仿宋_GB2312" w:hAnsi="宋体" w:eastAsia="仿宋_GB2312"/>
          <w:color w:val="000000"/>
          <w:sz w:val="28"/>
          <w:szCs w:val="28"/>
        </w:rPr>
        <w:t>；</w:t>
      </w:r>
    </w:p>
    <w:p w14:paraId="55D5E851">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(5)《城镇市容环境卫生劳动定额》(HLD47-101-2008) ；</w:t>
      </w:r>
    </w:p>
    <w:p w14:paraId="5C1FFBB7">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(6)《环境卫生设施设置标准》(CJJ27-2012) ；</w:t>
      </w:r>
    </w:p>
    <w:p w14:paraId="5DE29726">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(7)《海口市农村环境卫生管理办法》；</w:t>
      </w:r>
    </w:p>
    <w:p w14:paraId="54252BFF">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(8)《海口市环境卫生管理局农村生活垃圾治理专项督查考评工作方案》；</w:t>
      </w:r>
    </w:p>
    <w:p w14:paraId="38E85BD0">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(9)《海南省农村垃圾治理考核验收办法》。</w:t>
      </w:r>
    </w:p>
    <w:bookmarkEnd w:id="2"/>
    <w:p w14:paraId="411F757A">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四、 监督考评内容</w:t>
      </w:r>
    </w:p>
    <w:p w14:paraId="1B6CB04B">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bookmarkStart w:id="3" w:name="_Hlk196233771"/>
      <w:r>
        <w:rPr>
          <w:rFonts w:hint="eastAsia" w:ascii="仿宋_GB2312" w:hAnsi="宋体" w:eastAsia="仿宋_GB2312"/>
          <w:color w:val="000000"/>
          <w:sz w:val="28"/>
          <w:szCs w:val="28"/>
        </w:rPr>
        <w:t>1、城区环卫：对海口市主城区各区环卫作业质量进行督查考评。主要包括：</w:t>
      </w:r>
    </w:p>
    <w:p w14:paraId="5594E513">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(1)城区道路、小街小巷、人行道、人行天桥、地下通道、公共广场、休闲慢行道的清扫保洁；</w:t>
      </w:r>
    </w:p>
    <w:p w14:paraId="65F2C68E">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(2)园林绿地、绿化带清扫保洁（与园林绿化考核专项不重复）；</w:t>
      </w:r>
    </w:p>
    <w:p w14:paraId="16D4C61C">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(3)道路名牌、交通护栏、路灯杆、交通指示牌杆和沿街构筑物等2米以下部分的乱涂写、乱张贴的清理及雨水篦子的清掏；</w:t>
      </w:r>
    </w:p>
    <w:p w14:paraId="4E9CF1AC">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(4)水域环境卫生管理（含海上环卫作业）；</w:t>
      </w:r>
    </w:p>
    <w:p w14:paraId="32AE8C94">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(5)生活垃圾收集箱、果皮箱的设置与管理；</w:t>
      </w:r>
    </w:p>
    <w:p w14:paraId="7940DE2F">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(6)生活垃圾的收集、运输；</w:t>
      </w:r>
    </w:p>
    <w:p w14:paraId="26E1DCC6">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(7)生活垃圾转运站的管理与垃圾运转；</w:t>
      </w:r>
    </w:p>
    <w:p w14:paraId="626D28FE">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(8)公共厕所的管理；</w:t>
      </w:r>
    </w:p>
    <w:p w14:paraId="7C3914DB">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(9)城乡结合部、空旷地的环境卫生管理和无主垃圾的清理；</w:t>
      </w:r>
    </w:p>
    <w:p w14:paraId="1D3CDE84">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(10)环卫作业安全生产；</w:t>
      </w:r>
    </w:p>
    <w:p w14:paraId="6FBA1C48">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(11)洒水降尘工作监管。</w:t>
      </w:r>
    </w:p>
    <w:p w14:paraId="4DFA1986">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2、农村环卫：对海口市行政辖区范围内所有镇墟和村庄的环卫作业质量进行督查考评。督查考评范围包括全市四个行政区22个镇墟、桂林洋、高新技术开发区及三江农场等，覆盖全市272个行政村及2482个自然村。主要包括：</w:t>
      </w:r>
    </w:p>
    <w:p w14:paraId="1D403DEC">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(1)镇墟环境卫生和农村的田间地头、镇村道路、空地等区域是否有陈年积存垃圾；</w:t>
      </w:r>
    </w:p>
    <w:p w14:paraId="4B8A8211">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(2)主要道路沿线是否有临时性垃圾堆放点；</w:t>
      </w:r>
    </w:p>
    <w:p w14:paraId="6CE609F5">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(3)坑塘沟渠是否有漂浮垃圾；</w:t>
      </w:r>
    </w:p>
    <w:p w14:paraId="60448F67">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(4)农户房前屋后是否有随意倾倒垃圾现象；</w:t>
      </w:r>
    </w:p>
    <w:p w14:paraId="42745406">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(5)是否有垃圾直接焚烧现象；</w:t>
      </w:r>
    </w:p>
    <w:p w14:paraId="4452D105">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(6)是否有直接将垃圾倾倒于河、沟、塘现象；</w:t>
      </w:r>
    </w:p>
    <w:p w14:paraId="6F0D7E0E">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(7)保洁员配备及管理等情况。</w:t>
      </w:r>
    </w:p>
    <w:p w14:paraId="28F68A39">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3、农村人居环境整治：对海口市行政辖区范围内所有村庄村内的杂物乱堆乱放、违规建筑私搭乱建、污水直排、畜禽散养、卫生死角等情况进行督查考评。</w:t>
      </w:r>
    </w:p>
    <w:p w14:paraId="6D7E0F45">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4、对海口市行政辖区内建筑垃圾乱堆偷倒现象进行排查督查。</w:t>
      </w:r>
    </w:p>
    <w:p w14:paraId="7C8FFBB4">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5、对海口市行政辖区内环岛高铁高速及环岛旅游公路沿线环境卫生整治情况进行排查督查。</w:t>
      </w:r>
    </w:p>
    <w:p w14:paraId="2C279925">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6、对海口市行政辖区内液化燃气三级网点进行排查督查。</w:t>
      </w:r>
    </w:p>
    <w:p w14:paraId="238CF851">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7、对海口市行政辖区内各类市政设施的破损、缺失情况进行排查督查。</w:t>
      </w:r>
    </w:p>
    <w:p w14:paraId="08689F55">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8、对海口市行政辖区内各类商场室外公共区域、收费停车场等开放型物业的环境卫生、乱堆乱放等影响市容市貌的现象进行排查督查并通过城管通APP上报。</w:t>
      </w:r>
    </w:p>
    <w:p w14:paraId="2B04FBA9">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9、对海口市行政辖区内楼宇墙体广告、乱搭乱建等各类影响市容市貌的现象进行排查督查并通过城管通APP上报。</w:t>
      </w:r>
    </w:p>
    <w:p w14:paraId="77291CD5">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10、接受、协助业主单位做好重大活动、重大节假日及临时应急、突发事件期间环卫（作业）督查保障工作。</w:t>
      </w:r>
    </w:p>
    <w:p w14:paraId="5CAA201D">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11、为发挥社会监督作用，把党代表、人大代表、政协委员、群众举报、新闻媒体曝光、重大活动保障、突发事件的应急处置、上级主管部门交办事项的响应等一并列入检查考核内容。</w:t>
      </w:r>
    </w:p>
    <w:p w14:paraId="65DA39D6">
      <w:pPr>
        <w:pBdr>
          <w:top w:val="none" w:color="auto" w:sz="0" w:space="1"/>
          <w:left w:val="none" w:color="auto" w:sz="0" w:space="4"/>
          <w:bottom w:val="none" w:color="auto" w:sz="0" w:space="1"/>
          <w:right w:val="none" w:color="auto" w:sz="0" w:space="4"/>
        </w:pBdr>
        <w:snapToGrid w:val="0"/>
        <w:spacing w:before="19" w:line="6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12、完成业主单位有关考核工作交办的其他事项。</w:t>
      </w:r>
    </w:p>
    <w:p w14:paraId="58B4B400">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五、监督考评组织实施</w:t>
      </w:r>
    </w:p>
    <w:p w14:paraId="30AE05B8">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在甲方指导下，由乙方组织开展市级质量检查考核工作。</w:t>
      </w:r>
    </w:p>
    <w:p w14:paraId="608E68CC">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1、甲方职责</w:t>
      </w:r>
    </w:p>
    <w:p w14:paraId="473B13A8">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(1)负责指导开展考核工作；</w:t>
      </w:r>
    </w:p>
    <w:p w14:paraId="3A0013E4">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(2)负责对考核人员技能进行抽检，考核人员掌握考核方法及要点后方可上岗；</w:t>
      </w:r>
    </w:p>
    <w:p w14:paraId="3C6FE1B2">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(3)负责对乙方提交的检查考核结果、考评报告进行审核。</w:t>
      </w:r>
    </w:p>
    <w:p w14:paraId="07356271">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2、乙方职责</w:t>
      </w:r>
    </w:p>
    <w:p w14:paraId="5C26B370">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(1)负责组织不少于36人组成的质量检查考核队伍，其中，项目经理1人，项目副经理2人，现场考核人员 28人，后台数据处理人员5人。</w:t>
      </w:r>
    </w:p>
    <w:p w14:paraId="05689060">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城区环卫考核组，全员配备“拍照或摄像”设备，负责各区的清扫保洁、垃圾收集清运、公厕管理、二级转运站及水域卫生等环卫质量的检查考核及量化评分。</w:t>
      </w:r>
    </w:p>
    <w:p w14:paraId="2E691CB4">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农村环卫考核组，全员配备“拍照或摄像”设备，负责4个区、桂林洋开发区、高新技术产业开发区及三江农场的实地督查考核及量化评分。</w:t>
      </w:r>
    </w:p>
    <w:p w14:paraId="3A6E927E">
      <w:pPr>
        <w:spacing w:line="560" w:lineRule="exact"/>
        <w:ind w:firstLine="596" w:firstLineChars="200"/>
        <w:rPr>
          <w:rFonts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后台数据处理小组，负责报表统计及报告撰写。</w:t>
      </w:r>
    </w:p>
    <w:p w14:paraId="747D6EF6">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(2)城区环卫考核组对各区道路保洁作业（包括：清扫保洁、垃圾收集清运及公厕管理）质量实行日检查抽查制度，日检查样本及数量应达到或超过《作业质量考核评分表》（附件18.4-18.6）中的规定，并每周检查区域汇总后应对各区道路保洁作业范围进行全覆盖至少1轮。每周抽查1天作为量分考核检查，按照《作业质量考核评分表》（附件18.4-18.6）进行考核评分。若发生12345投诉办件、市（含市级）以上领导点名或批示、甲方随机检查发现，问题点位在一周内未有过检查记录、问题报件和巡查痕迹，则甲方有权按照每发现一个问题点位扣减考核经费2万元人民币和问题点位数量对乙方进行处罚。</w:t>
      </w:r>
    </w:p>
    <w:p w14:paraId="1DFC9337">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城区环卫考核组对各区水域卫生作业质量实行日检查抽查制度，日检查样本及数量应达到或超过《作业质量考核评分表》（附件18.7）中的规定，并每周检查区域汇总后应对各区水域卫生作业范围进行全覆盖至少1轮。每周抽查1天作为量分考核检查，按照《作业质量考核评分表》（附件18.7）进行考核评分。若发生12345投诉办件、市（含市级）以上领导点名或批示、甲方随机检查发现，问题点位在一周内未有过检查记录和巡查痕迹，则甲方有权按照每发现一个问题点位扣减考核经费2万元人民币和问题点位数量对乙方进行处罚。</w:t>
      </w:r>
    </w:p>
    <w:p w14:paraId="0675C279">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城区环卫考核组对白水塘、江东、长流3座生活垃圾二级转运站实行日检查制度，每周抽查1天为量分考核检查，严格按照《生活垃圾二级转运作业质量考核评分表》（附件18.8) 进行考核评分。若发生12345投诉办件、市领导点名或批示、甲方随机检查发现，问题点位在一周内未有过检查记录和巡查痕迹，则甲方有权按照每发现一个问题点位扣减考核经费2万和问题点位数量对乙方进行处罚。</w:t>
      </w:r>
    </w:p>
    <w:p w14:paraId="6ACB5189">
      <w:pPr>
        <w:pStyle w:val="4"/>
        <w:spacing w:line="560" w:lineRule="exact"/>
        <w:ind w:firstLine="596"/>
        <w:rPr>
          <w:rFonts w:hint="eastAsia" w:ascii="仿宋_GB2312" w:hAnsi="仿宋_GB2312" w:eastAsia="仿宋_GB2312" w:cs="仿宋_GB2312"/>
        </w:rPr>
      </w:pPr>
      <w:r>
        <w:rPr>
          <w:rFonts w:hint="eastAsia" w:ascii="仿宋_GB2312" w:hAnsi="仿宋_GB2312" w:eastAsia="仿宋_GB2312" w:cs="仿宋_GB2312"/>
          <w:spacing w:val="9"/>
          <w:position w:val="2"/>
          <w:sz w:val="28"/>
          <w:szCs w:val="28"/>
        </w:rPr>
        <w:t>日常督查、量分考核检查采取暗访随机抽查方式，考核过程中使用“拍照或摄像”设备取证，对存在问题的扣分点拍照取证并上传考核系统登记备案和微信工作群，不能拍照取证扣分无效。</w:t>
      </w:r>
    </w:p>
    <w:p w14:paraId="613ABA18">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(3)农村环卫考评小组对各区镇墟及农村生活垃圾治理专项工作实行月检查制度，每月考核1次。每月考核需覆盖全部镇墟及行政村（其中，各行政村的考核以随机抽取该行政村五分之一的自然村进行量分检查考核），严格按照《农村生活垃圾治理督查考评评分表》、《镇墟环境卫生考核评分表》（</w:t>
      </w:r>
      <w:r>
        <w:rPr>
          <w:rFonts w:hint="eastAsia" w:ascii="仿宋_GB2312" w:hAnsi="仿宋_GB2312" w:eastAsia="仿宋_GB2312" w:cs="仿宋_GB2312"/>
          <w:bCs/>
          <w:spacing w:val="9"/>
          <w:position w:val="2"/>
          <w:sz w:val="28"/>
          <w:szCs w:val="28"/>
        </w:rPr>
        <w:t>最终以甲方确认的表单为准</w:t>
      </w:r>
      <w:r>
        <w:rPr>
          <w:rFonts w:hint="eastAsia" w:ascii="仿宋_GB2312" w:hAnsi="仿宋_GB2312" w:eastAsia="仿宋_GB2312" w:cs="仿宋_GB2312"/>
          <w:spacing w:val="9"/>
          <w:position w:val="2"/>
          <w:sz w:val="28"/>
          <w:szCs w:val="28"/>
        </w:rPr>
        <w:t>) 进行考核评分。对问题严重点位可重复进行量分考核。</w:t>
      </w:r>
    </w:p>
    <w:p w14:paraId="09B2F202">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量分考核检查采取暗访随机抽查方式，考核过程中使用“拍照或摄像”设备取证，对存在问题的扣分点拍照取证并上传考核系统登记备案和微信工作群，不能拍照取证扣分无效。</w:t>
      </w:r>
    </w:p>
    <w:p w14:paraId="105BF477">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(4)考评小组每次量分考核检查后，要及时整理考核记录，形成微文上报；后台数据处理小组根据考核组上报问题形成量分考核记录并于每周一前形成城区环卫考核周报，每月7日前形成上月城区及农村环卫考评月报，报送市城市管理局市容监督科。</w:t>
      </w:r>
    </w:p>
    <w:p w14:paraId="5ABF745E">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(5)协助甲方完成城区季度考评报告，并提供至少2套纸件资料：月、季报告，每月工作微文汇编以及专项检查工作微文汇编成册。</w:t>
      </w:r>
    </w:p>
    <w:p w14:paraId="22E6D46E">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(6)协助甲方对各区环卫局履行监管职责情况进行监督。此外，依据环卫PPP 项目特许经营协议、《城管市容环境卫生劳动定额》(HLD47-101-2008)、《环境卫生设施设置标准》(CJJ27-2012)和《海口市环境卫生一体化作业质量标准》的有关规定，对环卫服务企业的各类环卫作业人员、设施设备配置情况以及质量管控体系进行监督、检查、评估。</w:t>
      </w:r>
    </w:p>
    <w:p w14:paraId="0CD6D192">
      <w:pPr>
        <w:spacing w:line="560" w:lineRule="exact"/>
        <w:ind w:firstLine="596" w:firstLineChars="200"/>
        <w:rPr>
          <w:rFonts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(7)协助甲方做好重大活动及重大节假日期间环卫（作业）督查保障工作，并制作专项微文。</w:t>
      </w:r>
    </w:p>
    <w:p w14:paraId="2EB5EA31">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(8)台风期间和灾后重建期间工作检查不扣分，但对灾后所采取的应对措施和处置能力视情给予量分。</w:t>
      </w:r>
    </w:p>
    <w:bookmarkEnd w:id="3"/>
    <w:p w14:paraId="5FB2AAB8">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六、质量控制</w:t>
      </w:r>
    </w:p>
    <w:p w14:paraId="672D541A">
      <w:pPr>
        <w:spacing w:line="560" w:lineRule="exact"/>
        <w:ind w:firstLine="596" w:firstLineChars="200"/>
        <w:rPr>
          <w:rFonts w:hint="eastAsia" w:ascii="仿宋_GB2312" w:hAnsi="仿宋_GB2312" w:eastAsia="仿宋_GB2312" w:cs="仿宋_GB2312"/>
          <w:spacing w:val="9"/>
          <w:position w:val="2"/>
          <w:sz w:val="28"/>
          <w:szCs w:val="28"/>
        </w:rPr>
      </w:pPr>
      <w:bookmarkStart w:id="4" w:name="_Hlk196233944"/>
      <w:r>
        <w:rPr>
          <w:rFonts w:hint="eastAsia" w:ascii="仿宋_GB2312" w:hAnsi="仿宋_GB2312" w:eastAsia="仿宋_GB2312" w:cs="仿宋_GB2312"/>
          <w:spacing w:val="9"/>
          <w:position w:val="2"/>
          <w:sz w:val="28"/>
          <w:szCs w:val="28"/>
        </w:rPr>
        <w:t>1、所有参与城乡环卫作业质量检查考核工作的相关人员必须经过系统培训，掌握考核方法及要点后方可上岗；</w:t>
      </w:r>
    </w:p>
    <w:p w14:paraId="2E6D55A3">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2、所有质量检查考核人员必须严格按照本方案规定的监督考评内容、方式方法及标准开展质量检查考核工作；</w:t>
      </w:r>
    </w:p>
    <w:p w14:paraId="37407CC1">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3、为保证检查考核工作的公平公正，各考评小组及人员实行检查区域轮换制度，并将轮岗名册报市城市管理局市容监督科备案；</w:t>
      </w:r>
    </w:p>
    <w:p w14:paraId="39FF0A6A">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4、乙方负责定期与甲方组成督查小组，对各考评小组进行质量抽查；</w:t>
      </w:r>
    </w:p>
    <w:p w14:paraId="2224C4E1">
      <w:pPr>
        <w:spacing w:line="560" w:lineRule="exact"/>
        <w:ind w:firstLine="596" w:firstLineChars="200"/>
        <w:rPr>
          <w:rFonts w:hint="eastAsia" w:ascii="仿宋_GB2312" w:hAnsi="仿宋_GB2312" w:eastAsia="仿宋_GB2312" w:cs="仿宋_GB2312"/>
          <w:spacing w:val="9"/>
          <w:position w:val="2"/>
          <w:sz w:val="28"/>
          <w:szCs w:val="28"/>
        </w:rPr>
      </w:pPr>
      <w:r>
        <w:rPr>
          <w:rFonts w:hint="eastAsia" w:ascii="仿宋_GB2312" w:hAnsi="仿宋_GB2312" w:eastAsia="仿宋_GB2312" w:cs="仿宋_GB2312"/>
          <w:spacing w:val="9"/>
          <w:position w:val="2"/>
          <w:sz w:val="28"/>
          <w:szCs w:val="28"/>
        </w:rPr>
        <w:t>5、乙方对所提供质量检查考核结果的真实性、完整性、可靠性负责。</w:t>
      </w:r>
    </w:p>
    <w:bookmarkEnd w:id="4"/>
    <w:p w14:paraId="040DD375">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七、委托期限及进度计划</w:t>
      </w:r>
    </w:p>
    <w:p w14:paraId="58DC5392">
      <w:pPr>
        <w:pStyle w:val="5"/>
        <w:spacing w:line="60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委托服务工作时间为1年，自发放成交通知书时间起，即：2025年【  】月【  】日至2026年【  】月【  】日止。</w:t>
      </w:r>
    </w:p>
    <w:p w14:paraId="0708A372">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八、甲方权利、义务及责任</w:t>
      </w:r>
    </w:p>
    <w:p w14:paraId="7DD24D35">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1、甲方有权依照本合同约定监督乙方项目的实施及随时质询乙方在本项工作中的操作方法。</w:t>
      </w:r>
    </w:p>
    <w:p w14:paraId="550C9747">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2、甲方明确提出具体工作要求，并对乙方整个监督考评过程进行质量管控，每季度对乙方工作情况进行考核。</w:t>
      </w:r>
    </w:p>
    <w:p w14:paraId="074A1CAD">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3、甲方按本合同约定支付督查考核费用。</w:t>
      </w:r>
    </w:p>
    <w:p w14:paraId="5C77F23A">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4、甲方拥有考核资料的所有权，未经甲方同意，乙方不能使用考核资料和结果。</w:t>
      </w:r>
    </w:p>
    <w:p w14:paraId="0DC64FBA">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4、甲方负责办理监督考核工作的有关证件。</w:t>
      </w:r>
    </w:p>
    <w:p w14:paraId="1C45980E">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九、乙方权利、义务及责任</w:t>
      </w:r>
    </w:p>
    <w:p w14:paraId="68DB78B4">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1、乙方按照本合同约定内容，按时、按质、按量完成项目监督考评工作。</w:t>
      </w:r>
    </w:p>
    <w:p w14:paraId="1C3ABB53">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2、乙方所受委托的权利仅限于完成本项目监督考评工作的相关活动，不得以甲方名义从事其他任何民事经济行为。</w:t>
      </w:r>
    </w:p>
    <w:p w14:paraId="4915EF0B">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3、乙方有责任为本项目监督考评工作所涉及的所有考评对象及考评资料、项目成果等内容保密，如无甲方授权，乙方不得向第三方提供或使用调查结果。</w:t>
      </w:r>
    </w:p>
    <w:p w14:paraId="1F5A6D32">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4、甲方发现数据及报告内容失真，可立即终止本合同，未支付的考核费用不再支付，已支付的考核费用有权要求乙方全部退回，乙方因此造成的损失由其自行承担。</w:t>
      </w:r>
    </w:p>
    <w:p w14:paraId="4BE6A90B">
      <w:pPr>
        <w:pStyle w:val="5"/>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5、乙方应给本项目监督考评人员购买人身意外保险，乙方监督考评的车辆（含一切作业工具）、人员发生的一切安全事故和经济责任，由乙方全部负责承担。</w:t>
      </w:r>
    </w:p>
    <w:p w14:paraId="375DDAAA">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十、付款</w:t>
      </w:r>
    </w:p>
    <w:p w14:paraId="6DC1C4D7">
      <w:pPr>
        <w:pBdr>
          <w:top w:val="none" w:color="auto" w:sz="0" w:space="1"/>
          <w:left w:val="none" w:color="auto" w:sz="0" w:space="4"/>
          <w:bottom w:val="none" w:color="auto" w:sz="0" w:space="1"/>
          <w:right w:val="none" w:color="auto" w:sz="0" w:space="4"/>
        </w:pBdr>
        <w:spacing w:line="60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1、本服务费用为：人民币【         】（即</w:t>
      </w:r>
      <w:r>
        <w:rPr>
          <w:rFonts w:hint="eastAsia" w:ascii="仿宋_GB2312" w:hAnsi="Arial" w:eastAsia="仿宋_GB2312" w:cs="Arial"/>
          <w:color w:val="000000"/>
          <w:sz w:val="28"/>
          <w:szCs w:val="28"/>
        </w:rPr>
        <w:t>【        】</w:t>
      </w:r>
      <w:r>
        <w:rPr>
          <w:rFonts w:hint="eastAsia" w:ascii="仿宋_GB2312" w:hAnsi="仿宋_GB2312" w:eastAsia="仿宋_GB2312" w:cs="仿宋_GB2312"/>
          <w:color w:val="000000"/>
          <w:sz w:val="28"/>
          <w:szCs w:val="28"/>
        </w:rPr>
        <w:t>）。</w:t>
      </w:r>
    </w:p>
    <w:p w14:paraId="7C081643">
      <w:pPr>
        <w:pBdr>
          <w:top w:val="none" w:color="auto" w:sz="0" w:space="1"/>
          <w:left w:val="none" w:color="auto" w:sz="0" w:space="4"/>
          <w:bottom w:val="none" w:color="auto" w:sz="0" w:space="1"/>
          <w:right w:val="none" w:color="auto" w:sz="0" w:space="4"/>
        </w:pBdr>
        <w:spacing w:line="60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2、工作费用由甲方根据乙方工作完成情况分期支付，具体支付方式和时间如下：</w:t>
      </w:r>
    </w:p>
    <w:p w14:paraId="4EE921AA">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第一期付款：协议签订并且乙方提交完整的付款申请资料后10个工作日内，甲方向乙方指定账户支付本项目服务费总价的30%，作为本项目服务费的预付款，以便乙方顺利开展监督考评服务工作。</w:t>
      </w:r>
    </w:p>
    <w:p w14:paraId="7B96317A">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第二期付款：于</w:t>
      </w:r>
      <w:bookmarkStart w:id="5" w:name="_Hlk196227932"/>
      <w:r>
        <w:rPr>
          <w:rFonts w:hint="eastAsia" w:ascii="仿宋_GB2312" w:hAnsi="仿宋" w:eastAsia="仿宋_GB2312" w:cs="仿宋"/>
          <w:sz w:val="28"/>
          <w:szCs w:val="28"/>
        </w:rPr>
        <w:t>2025年【  】月【  】日</w:t>
      </w:r>
      <w:bookmarkEnd w:id="5"/>
      <w:r>
        <w:rPr>
          <w:rFonts w:hint="eastAsia" w:ascii="仿宋_GB2312" w:hAnsi="仿宋" w:eastAsia="仿宋_GB2312" w:cs="仿宋"/>
          <w:sz w:val="28"/>
          <w:szCs w:val="28"/>
        </w:rPr>
        <w:t>前支付，支付总服务费的25%，乙方提交完整付款申请资料后5日内甲方向乙方指定账户支付服务费。</w:t>
      </w:r>
    </w:p>
    <w:p w14:paraId="363C2D0B">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第三期付款：于</w:t>
      </w:r>
      <w:bookmarkStart w:id="6" w:name="_Hlk196227953"/>
      <w:r>
        <w:rPr>
          <w:rFonts w:hint="eastAsia" w:ascii="仿宋_GB2312" w:hAnsi="仿宋" w:eastAsia="仿宋_GB2312" w:cs="仿宋"/>
          <w:sz w:val="28"/>
          <w:szCs w:val="28"/>
        </w:rPr>
        <w:t>2026年【  】月【  】日</w:t>
      </w:r>
      <w:bookmarkEnd w:id="6"/>
      <w:r>
        <w:rPr>
          <w:rFonts w:hint="eastAsia" w:ascii="仿宋_GB2312" w:hAnsi="仿宋" w:eastAsia="仿宋_GB2312" w:cs="仿宋"/>
          <w:sz w:val="28"/>
          <w:szCs w:val="28"/>
        </w:rPr>
        <w:t>支付，支付总服务费的25%，乙方提交完整付款申请资料后5日内甲方向乙方指定账户支付服务费。</w:t>
      </w:r>
    </w:p>
    <w:p w14:paraId="070C83A9">
      <w:pPr>
        <w:spacing w:line="560" w:lineRule="exact"/>
        <w:ind w:firstLine="560" w:firstLineChars="200"/>
        <w:rPr>
          <w:rFonts w:hint="eastAsia" w:ascii="仿宋_GB2312" w:hAnsi="仿宋" w:eastAsia="仿宋_GB2312" w:cs="仿宋"/>
          <w:sz w:val="28"/>
          <w:szCs w:val="28"/>
        </w:rPr>
      </w:pPr>
      <w:r>
        <w:rPr>
          <w:rFonts w:hint="eastAsia" w:ascii="仿宋_GB2312" w:hAnsi="仿宋" w:eastAsia="仿宋_GB2312" w:cs="仿宋"/>
          <w:sz w:val="28"/>
          <w:szCs w:val="28"/>
        </w:rPr>
        <w:t>第四期付款：于本服务工作结束并履约验收结算完成后按实际结算余款，乙方提交完整付款申请资料后10日内由甲方一次性向乙方指定账户支付服务费。</w:t>
      </w:r>
    </w:p>
    <w:p w14:paraId="3EA2F3F6">
      <w:pPr>
        <w:pBdr>
          <w:top w:val="none" w:color="auto" w:sz="0" w:space="1"/>
          <w:left w:val="none" w:color="auto" w:sz="0" w:space="4"/>
          <w:bottom w:val="none" w:color="auto" w:sz="0" w:space="1"/>
          <w:right w:val="none" w:color="auto" w:sz="0" w:space="4"/>
        </w:pBd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3、乙方开户名称、开户行和账号为：</w:t>
      </w:r>
    </w:p>
    <w:p w14:paraId="4187216E">
      <w:pPr>
        <w:pBdr>
          <w:top w:val="none" w:color="auto" w:sz="0" w:space="1"/>
          <w:left w:val="none" w:color="auto" w:sz="0" w:space="4"/>
          <w:bottom w:val="none" w:color="auto" w:sz="0" w:space="1"/>
          <w:right w:val="none" w:color="auto" w:sz="0" w:space="4"/>
        </w:pBd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开户名：【            】</w:t>
      </w:r>
      <w:r>
        <w:rPr>
          <w:rFonts w:hint="eastAsia" w:hAnsi="仿宋_GB2312" w:cs="仿宋_GB2312"/>
          <w:color w:val="000000"/>
          <w:sz w:val="28"/>
          <w:szCs w:val="28"/>
        </w:rPr>
        <w:t xml:space="preserve">                      </w:t>
      </w:r>
    </w:p>
    <w:p w14:paraId="398B8BBF">
      <w:pPr>
        <w:pBdr>
          <w:top w:val="none" w:color="auto" w:sz="0" w:space="1"/>
          <w:left w:val="none" w:color="auto" w:sz="0" w:space="4"/>
          <w:bottom w:val="none" w:color="auto" w:sz="0" w:space="1"/>
          <w:right w:val="none" w:color="auto" w:sz="0" w:space="4"/>
        </w:pBd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开户行：【            】</w:t>
      </w:r>
      <w:r>
        <w:rPr>
          <w:rFonts w:hint="eastAsia" w:hAnsi="仿宋_GB2312" w:cs="仿宋_GB2312"/>
          <w:color w:val="000000"/>
          <w:sz w:val="28"/>
          <w:szCs w:val="28"/>
        </w:rPr>
        <w:t xml:space="preserve">                 </w:t>
      </w:r>
    </w:p>
    <w:p w14:paraId="7390FD4E">
      <w:pPr>
        <w:pBdr>
          <w:top w:val="none" w:color="auto" w:sz="0" w:space="1"/>
          <w:left w:val="none" w:color="auto" w:sz="0" w:space="4"/>
          <w:bottom w:val="none" w:color="auto" w:sz="0" w:space="1"/>
          <w:right w:val="none" w:color="auto" w:sz="0" w:space="4"/>
        </w:pBd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账  号：【            】</w:t>
      </w:r>
      <w:r>
        <w:rPr>
          <w:rFonts w:hint="eastAsia" w:hAnsi="仿宋_GB2312" w:cs="仿宋_GB2312"/>
          <w:color w:val="000000"/>
          <w:sz w:val="28"/>
          <w:szCs w:val="28"/>
        </w:rPr>
        <w:t xml:space="preserve">                         </w:t>
      </w:r>
    </w:p>
    <w:p w14:paraId="09224186">
      <w:pPr>
        <w:pBdr>
          <w:top w:val="none" w:color="auto" w:sz="0" w:space="1"/>
          <w:left w:val="none" w:color="auto" w:sz="0" w:space="4"/>
          <w:bottom w:val="none" w:color="auto" w:sz="0" w:space="1"/>
          <w:right w:val="none" w:color="auto" w:sz="0" w:space="4"/>
        </w:pBd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4、乙方向甲方开具的发票应当真实、合法、有效。因乙方未提供等额有效发票的，甲方有权延迟或拒绝支付每期费用，并不因此承担任何违约责任。</w:t>
      </w:r>
    </w:p>
    <w:p w14:paraId="291F0CD5">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十一、成果版权</w:t>
      </w:r>
    </w:p>
    <w:p w14:paraId="668E85D6">
      <w:pPr>
        <w:pBdr>
          <w:top w:val="none" w:color="auto" w:sz="0" w:space="1"/>
          <w:left w:val="none" w:color="auto" w:sz="0" w:space="4"/>
          <w:bottom w:val="none" w:color="auto" w:sz="0" w:space="1"/>
          <w:right w:val="none" w:color="auto" w:sz="0" w:space="4"/>
        </w:pBdr>
        <w:spacing w:line="600" w:lineRule="exact"/>
        <w:ind w:firstLine="560" w:firstLineChars="200"/>
        <w:rPr>
          <w:rFonts w:ascii="仿宋_GB2312" w:hAnsi="宋体" w:eastAsia="仿宋_GB2312"/>
          <w:color w:val="000000"/>
          <w:sz w:val="28"/>
          <w:szCs w:val="28"/>
        </w:rPr>
      </w:pPr>
      <w:r>
        <w:rPr>
          <w:rFonts w:hint="eastAsia" w:ascii="仿宋_GB2312" w:hAnsi="宋体" w:eastAsia="仿宋_GB2312"/>
          <w:color w:val="000000"/>
          <w:sz w:val="28"/>
          <w:szCs w:val="28"/>
        </w:rPr>
        <w:t>本合同履行过程中产生的所有资料信息和研究成果归甲方所有，乙方必须严格遵守职业道德，维护甲方对项目实施过程资料信息及研究成果的所有权，严格保密。否则，因乙方侵犯上述所有权或泄露相关资料信息的，若未造成经济损失的，甲方有权要求乙方按照本合同总费用的10%支付违约金；造成经济损失的，甲方还有权按照相关法律规定追究乙方经济及法律责任，要求其赔偿全部经济损失。</w:t>
      </w:r>
    </w:p>
    <w:p w14:paraId="4D93890A">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十二、违约责任</w:t>
      </w:r>
    </w:p>
    <w:p w14:paraId="75A02FF9">
      <w:pPr>
        <w:pStyle w:val="3"/>
        <w:pBdr>
          <w:top w:val="none" w:color="auto" w:sz="0" w:space="1"/>
          <w:left w:val="none" w:color="auto" w:sz="0" w:space="4"/>
          <w:bottom w:val="none" w:color="auto" w:sz="0" w:space="1"/>
          <w:right w:val="none" w:color="auto" w:sz="0" w:space="4"/>
        </w:pBdr>
        <w:ind w:firstLine="560" w:firstLineChars="200"/>
        <w:jc w:val="both"/>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如果乙方没有按照合同规定提供监管成果，甲方可从合同款中扣除违约赔偿金，乙方每延迟一个工作日迟交监管工作成果，甲方按合同总金额的千分之一计扣违约赔偿金。如果乙方原因延迟提交监管考核成果时间达到一个月，甲方有权终止合同，已支付的费用由乙方退回，并乙方承担违约责任，赔偿甲方总合同价的10%作为违约金。</w:t>
      </w:r>
    </w:p>
    <w:p w14:paraId="6CDB9011">
      <w:pPr>
        <w:pStyle w:val="3"/>
        <w:pBdr>
          <w:top w:val="none" w:color="auto" w:sz="0" w:space="1"/>
          <w:left w:val="none" w:color="auto" w:sz="0" w:space="4"/>
          <w:bottom w:val="none" w:color="auto" w:sz="0" w:space="1"/>
          <w:right w:val="none" w:color="auto" w:sz="0" w:space="4"/>
        </w:pBdr>
        <w:ind w:firstLine="560" w:firstLineChars="200"/>
        <w:jc w:val="both"/>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2、如果双方中任何一方由于战争、严重火灾、水灾、台风和地震以及其他经双</w:t>
      </w:r>
      <w:r>
        <w:rPr>
          <w:rFonts w:hint="eastAsia" w:ascii="仿宋_GB2312" w:hAnsi="宋体" w:eastAsia="仿宋_GB2312"/>
          <w:color w:val="000000"/>
          <w:sz w:val="28"/>
          <w:szCs w:val="28"/>
        </w:rPr>
        <w:t>方同意属于不可抗力的事故，致使合同履行受阻时，履行合同的期限应予以延长，延长的期限应相当于事故所影响的时间。</w:t>
      </w:r>
    </w:p>
    <w:p w14:paraId="269312AC">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十三、合同纠纷处理</w:t>
      </w:r>
    </w:p>
    <w:p w14:paraId="1C43B8B1">
      <w:pPr>
        <w:pBdr>
          <w:top w:val="none" w:color="auto" w:sz="0" w:space="1"/>
          <w:left w:val="none" w:color="auto" w:sz="0" w:space="4"/>
          <w:bottom w:val="none" w:color="auto" w:sz="0" w:space="1"/>
          <w:right w:val="none" w:color="auto" w:sz="0" w:space="4"/>
        </w:pBdr>
        <w:tabs>
          <w:tab w:val="left" w:pos="1980"/>
        </w:tabs>
        <w:snapToGrid w:val="0"/>
        <w:spacing w:line="600" w:lineRule="exact"/>
        <w:ind w:firstLine="548" w:firstLineChars="196"/>
        <w:rPr>
          <w:rFonts w:ascii="仿宋_GB2312" w:hAnsi="宋体" w:eastAsia="仿宋_GB2312"/>
          <w:bCs/>
          <w:color w:val="000000"/>
          <w:sz w:val="28"/>
          <w:szCs w:val="28"/>
        </w:rPr>
      </w:pPr>
      <w:r>
        <w:rPr>
          <w:rFonts w:hint="eastAsia" w:ascii="仿宋_GB2312" w:hAnsi="宋体" w:eastAsia="仿宋_GB2312"/>
          <w:bCs/>
          <w:color w:val="000000"/>
          <w:sz w:val="28"/>
          <w:szCs w:val="28"/>
        </w:rPr>
        <w:t>本合同执行过程中发生纠纷，作如下处理：</w:t>
      </w:r>
    </w:p>
    <w:p w14:paraId="350B886C">
      <w:pPr>
        <w:pBdr>
          <w:top w:val="none" w:color="auto" w:sz="0" w:space="1"/>
          <w:left w:val="none" w:color="auto" w:sz="0" w:space="4"/>
          <w:bottom w:val="none" w:color="auto" w:sz="0" w:space="1"/>
          <w:right w:val="none" w:color="auto" w:sz="0" w:space="4"/>
        </w:pBdr>
        <w:tabs>
          <w:tab w:val="left" w:pos="1980"/>
        </w:tabs>
        <w:snapToGrid w:val="0"/>
        <w:spacing w:line="600" w:lineRule="exact"/>
        <w:ind w:firstLine="548" w:firstLineChars="196"/>
        <w:rPr>
          <w:rFonts w:ascii="仿宋_GB2312" w:hAnsi="宋体" w:eastAsia="仿宋_GB2312"/>
          <w:bCs/>
          <w:color w:val="000000"/>
          <w:sz w:val="28"/>
          <w:szCs w:val="28"/>
        </w:rPr>
      </w:pPr>
      <w:r>
        <w:rPr>
          <w:rFonts w:hint="eastAsia" w:ascii="仿宋_GB2312" w:hAnsi="宋体" w:eastAsia="仿宋_GB2312"/>
          <w:bCs/>
          <w:color w:val="000000"/>
          <w:sz w:val="28"/>
          <w:szCs w:val="28"/>
        </w:rPr>
        <w:t>提起诉讼：诉讼地点为甲方所在地人民法院。</w:t>
      </w:r>
    </w:p>
    <w:p w14:paraId="69BE0617">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十四、合同生效</w:t>
      </w:r>
    </w:p>
    <w:p w14:paraId="11B0BC80">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0"/>
        <w:rPr>
          <w:rFonts w:hAnsi="仿宋_GB2312" w:cs="仿宋_GB2312"/>
          <w:color w:val="000000"/>
          <w:sz w:val="28"/>
          <w:szCs w:val="28"/>
        </w:rPr>
      </w:pPr>
      <w:r>
        <w:rPr>
          <w:rFonts w:hint="eastAsia" w:hAnsi="仿宋_GB2312" w:cs="仿宋_GB2312"/>
          <w:color w:val="000000"/>
          <w:sz w:val="28"/>
          <w:szCs w:val="28"/>
        </w:rPr>
        <w:t>1、本合同在双方代表人签字并加盖公章后生效，于甲、乙双方完全履行合同义务后终止。</w:t>
      </w:r>
    </w:p>
    <w:p w14:paraId="51B7194A">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0"/>
        <w:rPr>
          <w:rFonts w:hAnsi="仿宋_GB2312" w:cs="仿宋_GB2312"/>
          <w:color w:val="000000"/>
          <w:sz w:val="28"/>
          <w:szCs w:val="28"/>
        </w:rPr>
      </w:pPr>
      <w:r>
        <w:rPr>
          <w:rFonts w:hint="eastAsia" w:hAnsi="仿宋_GB2312" w:cs="仿宋_GB2312"/>
          <w:color w:val="000000"/>
          <w:sz w:val="28"/>
          <w:szCs w:val="28"/>
        </w:rPr>
        <w:t>2、本合同之附件及协议实施过程中双方协商签订的“备忘录”或“补充意见”、会议记录、实施方案等书面材料，均为本合同的组成部分，具同等法律效力。</w:t>
      </w:r>
    </w:p>
    <w:p w14:paraId="1A142C9C">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十五、合同鉴证</w:t>
      </w:r>
    </w:p>
    <w:p w14:paraId="614755C9">
      <w:pPr>
        <w:pBdr>
          <w:top w:val="none" w:color="auto" w:sz="0" w:space="1"/>
          <w:left w:val="none" w:color="auto" w:sz="0" w:space="4"/>
          <w:bottom w:val="none" w:color="auto" w:sz="0" w:space="1"/>
          <w:right w:val="none" w:color="auto" w:sz="0" w:space="4"/>
        </w:pBdr>
        <w:spacing w:line="600" w:lineRule="exact"/>
        <w:ind w:firstLine="560" w:firstLineChars="200"/>
        <w:rPr>
          <w:rFonts w:hint="eastAsia" w:ascii="仿宋_GB2312" w:hAnsi="宋体" w:eastAsia="仿宋_GB2312"/>
          <w:color w:val="000000"/>
          <w:sz w:val="28"/>
          <w:szCs w:val="28"/>
        </w:rPr>
      </w:pPr>
      <w:r>
        <w:rPr>
          <w:rFonts w:hint="eastAsia" w:ascii="仿宋_GB2312" w:hAnsi="宋体" w:eastAsia="仿宋_GB2312"/>
          <w:color w:val="000000"/>
          <w:sz w:val="28"/>
          <w:szCs w:val="28"/>
        </w:rPr>
        <w:t>招标代理机构应当在本合同上签章，以证明本合同条款与</w:t>
      </w:r>
      <w:r>
        <w:rPr>
          <w:rFonts w:hint="eastAsia" w:ascii="仿宋_GB2312" w:hAnsi="宋体" w:eastAsia="仿宋_GB2312"/>
          <w:sz w:val="28"/>
          <w:szCs w:val="28"/>
        </w:rPr>
        <w:t>招标文件</w:t>
      </w:r>
      <w:r>
        <w:rPr>
          <w:rFonts w:hint="eastAsia" w:ascii="仿宋_GB2312" w:hAnsi="宋体" w:eastAsia="仿宋_GB2312"/>
          <w:color w:val="000000"/>
          <w:sz w:val="28"/>
          <w:szCs w:val="28"/>
        </w:rPr>
        <w:t>、报价文件的相关要求相符并且未对采购货物和技术参数进行实质性修改。</w:t>
      </w:r>
    </w:p>
    <w:p w14:paraId="1DD8B4B2">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十六、本合同的组成文件</w:t>
      </w:r>
    </w:p>
    <w:p w14:paraId="2370D4BA">
      <w:pPr>
        <w:pBdr>
          <w:top w:val="none" w:color="auto" w:sz="0" w:space="1"/>
          <w:left w:val="none" w:color="auto" w:sz="0" w:space="4"/>
          <w:bottom w:val="none" w:color="auto" w:sz="0" w:space="1"/>
          <w:right w:val="none" w:color="auto" w:sz="0" w:space="4"/>
        </w:pBdr>
        <w:snapToGrid w:val="0"/>
        <w:spacing w:line="600" w:lineRule="exact"/>
        <w:ind w:left="555"/>
        <w:rPr>
          <w:rFonts w:hint="eastAsia" w:ascii="仿宋_GB2312" w:hAnsi="宋体" w:eastAsia="仿宋_GB2312"/>
          <w:color w:val="000000"/>
          <w:sz w:val="28"/>
          <w:szCs w:val="28"/>
        </w:rPr>
      </w:pPr>
      <w:r>
        <w:rPr>
          <w:rFonts w:hint="eastAsia" w:ascii="仿宋_GB2312" w:hAnsi="宋体" w:eastAsia="仿宋_GB2312"/>
          <w:color w:val="000000"/>
          <w:sz w:val="28"/>
          <w:szCs w:val="28"/>
        </w:rPr>
        <w:t>1、合同通用条款和专用条款。</w:t>
      </w:r>
    </w:p>
    <w:p w14:paraId="2D9C026B">
      <w:pPr>
        <w:pBdr>
          <w:top w:val="none" w:color="auto" w:sz="0" w:space="1"/>
          <w:left w:val="none" w:color="auto" w:sz="0" w:space="4"/>
          <w:bottom w:val="none" w:color="auto" w:sz="0" w:space="1"/>
          <w:right w:val="none" w:color="auto" w:sz="0" w:space="4"/>
        </w:pBdr>
        <w:snapToGrid w:val="0"/>
        <w:spacing w:line="600" w:lineRule="exact"/>
        <w:ind w:left="555"/>
        <w:rPr>
          <w:rFonts w:hint="eastAsia" w:ascii="仿宋_GB2312" w:hAnsi="宋体" w:eastAsia="仿宋_GB2312"/>
          <w:color w:val="000000"/>
          <w:sz w:val="28"/>
          <w:szCs w:val="28"/>
        </w:rPr>
      </w:pPr>
      <w:r>
        <w:rPr>
          <w:rFonts w:hint="eastAsia" w:ascii="仿宋_GB2312" w:hAnsi="宋体" w:eastAsia="仿宋_GB2312"/>
          <w:color w:val="000000"/>
          <w:sz w:val="28"/>
          <w:szCs w:val="28"/>
        </w:rPr>
        <w:t>2、</w:t>
      </w:r>
      <w:r>
        <w:rPr>
          <w:rFonts w:hint="eastAsia" w:ascii="仿宋_GB2312" w:hAnsi="宋体" w:eastAsia="仿宋_GB2312"/>
          <w:sz w:val="28"/>
          <w:szCs w:val="28"/>
        </w:rPr>
        <w:t>招标文件</w:t>
      </w:r>
      <w:r>
        <w:rPr>
          <w:rFonts w:hint="eastAsia" w:ascii="仿宋_GB2312" w:hAnsi="宋体" w:eastAsia="仿宋_GB2312"/>
          <w:color w:val="000000"/>
          <w:sz w:val="28"/>
          <w:szCs w:val="28"/>
        </w:rPr>
        <w:t>及乙方的报价文件及</w:t>
      </w:r>
      <w:r>
        <w:rPr>
          <w:rFonts w:hint="eastAsia" w:ascii="仿宋_GB2312" w:hAnsi="宋体" w:eastAsia="仿宋_GB2312"/>
          <w:sz w:val="28"/>
          <w:szCs w:val="28"/>
        </w:rPr>
        <w:t>招标时</w:t>
      </w:r>
      <w:r>
        <w:rPr>
          <w:rFonts w:hint="eastAsia" w:ascii="仿宋_GB2312" w:hAnsi="宋体" w:eastAsia="仿宋_GB2312"/>
          <w:color w:val="000000"/>
          <w:sz w:val="28"/>
          <w:szCs w:val="28"/>
        </w:rPr>
        <w:t>的承诺文件。</w:t>
      </w:r>
    </w:p>
    <w:p w14:paraId="591C58BD">
      <w:pPr>
        <w:pBdr>
          <w:top w:val="none" w:color="auto" w:sz="0" w:space="1"/>
          <w:left w:val="none" w:color="auto" w:sz="0" w:space="4"/>
          <w:bottom w:val="none" w:color="auto" w:sz="0" w:space="1"/>
          <w:right w:val="none" w:color="auto" w:sz="0" w:space="4"/>
        </w:pBdr>
        <w:snapToGrid w:val="0"/>
        <w:spacing w:line="600" w:lineRule="exact"/>
        <w:ind w:left="555"/>
        <w:rPr>
          <w:rFonts w:hint="eastAsia" w:ascii="仿宋_GB2312" w:hAnsi="宋体" w:eastAsia="仿宋_GB2312"/>
          <w:color w:val="000000"/>
          <w:sz w:val="28"/>
          <w:szCs w:val="28"/>
        </w:rPr>
      </w:pPr>
      <w:r>
        <w:rPr>
          <w:rFonts w:hint="eastAsia" w:ascii="仿宋_GB2312" w:hAnsi="宋体" w:eastAsia="仿宋_GB2312"/>
          <w:color w:val="000000"/>
          <w:sz w:val="28"/>
          <w:szCs w:val="28"/>
        </w:rPr>
        <w:t>3、成交通知书。</w:t>
      </w:r>
    </w:p>
    <w:p w14:paraId="1D840482">
      <w:pPr>
        <w:pBdr>
          <w:top w:val="none" w:color="auto" w:sz="0" w:space="1"/>
          <w:left w:val="none" w:color="auto" w:sz="0" w:space="4"/>
          <w:bottom w:val="none" w:color="auto" w:sz="0" w:space="1"/>
          <w:right w:val="none" w:color="auto" w:sz="0" w:space="4"/>
        </w:pBdr>
        <w:snapToGrid w:val="0"/>
        <w:spacing w:line="600" w:lineRule="exact"/>
        <w:ind w:left="555"/>
        <w:rPr>
          <w:rFonts w:hint="eastAsia" w:ascii="仿宋_GB2312" w:hAnsi="宋体" w:eastAsia="仿宋_GB2312"/>
          <w:color w:val="000000"/>
          <w:sz w:val="28"/>
          <w:szCs w:val="28"/>
        </w:rPr>
      </w:pPr>
      <w:r>
        <w:rPr>
          <w:rFonts w:hint="eastAsia" w:ascii="仿宋_GB2312" w:hAnsi="宋体" w:eastAsia="仿宋_GB2312"/>
          <w:color w:val="000000"/>
          <w:sz w:val="28"/>
          <w:szCs w:val="28"/>
        </w:rPr>
        <w:t>4、甲乙双方商定的其他必要文件。</w:t>
      </w:r>
    </w:p>
    <w:p w14:paraId="44F8A43F">
      <w:pPr>
        <w:pBdr>
          <w:top w:val="none" w:color="auto" w:sz="0" w:space="1"/>
          <w:left w:val="none" w:color="auto" w:sz="0" w:space="4"/>
          <w:bottom w:val="none" w:color="auto" w:sz="0" w:space="1"/>
          <w:right w:val="none" w:color="auto" w:sz="0" w:space="4"/>
        </w:pBdr>
        <w:snapToGrid w:val="0"/>
        <w:spacing w:line="600" w:lineRule="exact"/>
        <w:ind w:left="555"/>
        <w:rPr>
          <w:rFonts w:hint="eastAsia" w:ascii="仿宋_GB2312" w:hAnsi="宋体" w:eastAsia="仿宋_GB2312"/>
          <w:color w:val="000000"/>
          <w:sz w:val="28"/>
          <w:szCs w:val="28"/>
        </w:rPr>
      </w:pPr>
      <w:r>
        <w:rPr>
          <w:rFonts w:hint="eastAsia" w:ascii="仿宋_GB2312" w:hAnsi="宋体" w:eastAsia="仿宋_GB2312"/>
          <w:color w:val="000000"/>
          <w:sz w:val="28"/>
          <w:szCs w:val="28"/>
        </w:rPr>
        <w:t>上述合同文件内容互为补充，如有不明确，由甲方负责解释。</w:t>
      </w:r>
    </w:p>
    <w:p w14:paraId="6DE04941">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十七、合同备案</w:t>
      </w:r>
    </w:p>
    <w:p w14:paraId="3F27CA4B">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0"/>
        <w:rPr>
          <w:rFonts w:hAnsi="宋体"/>
          <w:bCs w:val="0"/>
          <w:color w:val="000000"/>
          <w:sz w:val="28"/>
          <w:szCs w:val="28"/>
        </w:rPr>
      </w:pPr>
      <w:r>
        <w:rPr>
          <w:rFonts w:hint="eastAsia" w:hAnsi="宋体"/>
          <w:bCs w:val="0"/>
          <w:color w:val="000000"/>
          <w:sz w:val="28"/>
          <w:szCs w:val="28"/>
        </w:rPr>
        <w:t>本合同一式陆份,甲方、乙方各执贰份，招标代理机构留存一份，由招标代理机构报政府采购主管部门备案一份。</w:t>
      </w:r>
    </w:p>
    <w:p w14:paraId="0F398E1C">
      <w:pPr>
        <w:pBdr>
          <w:top w:val="none" w:color="auto" w:sz="0" w:space="1"/>
          <w:left w:val="none" w:color="auto" w:sz="0" w:space="4"/>
          <w:bottom w:val="none" w:color="auto" w:sz="0" w:space="1"/>
          <w:right w:val="none" w:color="auto" w:sz="0" w:space="4"/>
        </w:pBdr>
        <w:spacing w:line="600" w:lineRule="exact"/>
        <w:ind w:firstLine="600" w:firstLineChars="200"/>
        <w:outlineLvl w:val="0"/>
        <w:rPr>
          <w:rFonts w:hint="eastAsia" w:ascii="黑体" w:hAnsi="黑体" w:eastAsia="黑体"/>
          <w:color w:val="000000"/>
          <w:sz w:val="30"/>
          <w:szCs w:val="30"/>
        </w:rPr>
      </w:pPr>
      <w:r>
        <w:rPr>
          <w:rFonts w:hint="eastAsia" w:ascii="黑体" w:hAnsi="黑体" w:eastAsia="黑体"/>
          <w:color w:val="000000"/>
          <w:sz w:val="30"/>
          <w:szCs w:val="30"/>
        </w:rPr>
        <w:t>十八、附件</w:t>
      </w:r>
    </w:p>
    <w:p w14:paraId="05A8DD60">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5" w:firstLineChars="202"/>
        <w:rPr>
          <w:rFonts w:hAnsi="宋体"/>
          <w:color w:val="000000"/>
          <w:sz w:val="28"/>
          <w:szCs w:val="28"/>
        </w:rPr>
      </w:pPr>
      <w:r>
        <w:rPr>
          <w:rFonts w:hint="eastAsia" w:hAnsi="宋体"/>
          <w:color w:val="000000"/>
          <w:sz w:val="28"/>
          <w:szCs w:val="28"/>
        </w:rPr>
        <w:t>18.1成交通知书</w:t>
      </w:r>
    </w:p>
    <w:p w14:paraId="306AF95E">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5" w:firstLineChars="202"/>
        <w:rPr>
          <w:rFonts w:hAnsi="宋体"/>
          <w:color w:val="000000"/>
          <w:sz w:val="28"/>
          <w:szCs w:val="28"/>
        </w:rPr>
      </w:pPr>
      <w:r>
        <w:rPr>
          <w:rFonts w:hint="eastAsia" w:hAnsi="宋体"/>
          <w:color w:val="000000"/>
          <w:sz w:val="28"/>
          <w:szCs w:val="28"/>
        </w:rPr>
        <w:t>18.2报价明细表</w:t>
      </w:r>
    </w:p>
    <w:p w14:paraId="2E9967DD">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5" w:firstLineChars="202"/>
        <w:rPr>
          <w:rFonts w:hAnsi="黑体"/>
          <w:color w:val="000000"/>
          <w:sz w:val="28"/>
          <w:szCs w:val="28"/>
        </w:rPr>
      </w:pPr>
      <w:r>
        <w:rPr>
          <w:rFonts w:hint="eastAsia" w:hAnsi="宋体"/>
          <w:color w:val="000000"/>
          <w:sz w:val="28"/>
          <w:szCs w:val="28"/>
        </w:rPr>
        <w:t>18.3</w:t>
      </w:r>
      <w:r>
        <w:rPr>
          <w:rFonts w:hint="eastAsia" w:hAnsi="黑体"/>
          <w:color w:val="000000"/>
          <w:sz w:val="28"/>
          <w:szCs w:val="28"/>
        </w:rPr>
        <w:t>海口市园林和环境卫生管理局第三方考核监督管理办法</w:t>
      </w:r>
    </w:p>
    <w:p w14:paraId="7FD501F1">
      <w:pPr>
        <w:pBdr>
          <w:top w:val="none" w:color="auto" w:sz="0" w:space="1"/>
          <w:left w:val="none" w:color="auto" w:sz="0" w:space="4"/>
          <w:bottom w:val="none" w:color="auto" w:sz="0" w:space="1"/>
          <w:right w:val="none" w:color="auto" w:sz="0" w:space="4"/>
        </w:pBdr>
        <w:spacing w:line="600" w:lineRule="exact"/>
        <w:ind w:firstLine="565" w:firstLineChars="202"/>
        <w:rPr>
          <w:rFonts w:ascii="仿宋_GB2312" w:hAnsi="仿宋_GB2312" w:eastAsia="仿宋_GB2312" w:cs="仿宋_GB2312"/>
          <w:sz w:val="28"/>
          <w:szCs w:val="28"/>
        </w:rPr>
      </w:pPr>
      <w:r>
        <w:rPr>
          <w:rFonts w:hint="eastAsia" w:ascii="仿宋_GB2312" w:hAnsi="仿宋_GB2312" w:eastAsia="仿宋_GB2312" w:cs="仿宋_GB2312"/>
          <w:sz w:val="28"/>
          <w:szCs w:val="28"/>
        </w:rPr>
        <w:t>18.4清扫保洁作业质量考核评分表</w:t>
      </w:r>
    </w:p>
    <w:p w14:paraId="2F36881C">
      <w:pPr>
        <w:pBdr>
          <w:top w:val="none" w:color="auto" w:sz="0" w:space="1"/>
          <w:left w:val="none" w:color="auto" w:sz="0" w:space="4"/>
          <w:bottom w:val="none" w:color="auto" w:sz="0" w:space="1"/>
          <w:right w:val="none" w:color="auto" w:sz="0" w:space="4"/>
        </w:pBdr>
        <w:spacing w:line="600" w:lineRule="exact"/>
        <w:ind w:firstLine="565" w:firstLineChars="202"/>
        <w:rPr>
          <w:rFonts w:ascii="仿宋_GB2312" w:hAnsi="仿宋_GB2312" w:eastAsia="仿宋_GB2312" w:cs="仿宋_GB2312"/>
          <w:sz w:val="28"/>
          <w:szCs w:val="28"/>
        </w:rPr>
      </w:pPr>
      <w:r>
        <w:rPr>
          <w:rFonts w:hint="eastAsia" w:ascii="仿宋_GB2312" w:hAnsi="仿宋_GB2312" w:eastAsia="仿宋_GB2312" w:cs="仿宋_GB2312"/>
          <w:sz w:val="28"/>
          <w:szCs w:val="28"/>
        </w:rPr>
        <w:t>18.5垃圾收集清运作业质量考核评分表</w:t>
      </w:r>
    </w:p>
    <w:p w14:paraId="03C42BE2">
      <w:pPr>
        <w:pBdr>
          <w:top w:val="none" w:color="auto" w:sz="0" w:space="1"/>
          <w:left w:val="none" w:color="auto" w:sz="0" w:space="4"/>
          <w:bottom w:val="none" w:color="auto" w:sz="0" w:space="1"/>
          <w:right w:val="none" w:color="auto" w:sz="0" w:space="4"/>
        </w:pBdr>
        <w:spacing w:line="600" w:lineRule="exact"/>
        <w:ind w:firstLine="565" w:firstLineChars="202"/>
        <w:rPr>
          <w:rFonts w:ascii="仿宋_GB2312" w:hAnsi="仿宋_GB2312" w:eastAsia="仿宋_GB2312" w:cs="仿宋_GB2312"/>
          <w:spacing w:val="9"/>
          <w:position w:val="2"/>
          <w:sz w:val="28"/>
          <w:szCs w:val="28"/>
        </w:rPr>
      </w:pPr>
      <w:r>
        <w:rPr>
          <w:rFonts w:hint="eastAsia" w:ascii="仿宋_GB2312" w:hAnsi="仿宋_GB2312" w:eastAsia="仿宋_GB2312" w:cs="仿宋_GB2312"/>
          <w:sz w:val="28"/>
          <w:szCs w:val="28"/>
        </w:rPr>
        <w:t>18.6</w:t>
      </w:r>
      <w:r>
        <w:rPr>
          <w:rFonts w:hint="eastAsia" w:ascii="仿宋_GB2312" w:hAnsi="仿宋_GB2312" w:eastAsia="仿宋_GB2312" w:cs="仿宋_GB2312"/>
          <w:spacing w:val="9"/>
          <w:position w:val="2"/>
          <w:sz w:val="28"/>
          <w:szCs w:val="28"/>
        </w:rPr>
        <w:t>公厕管理作业质量考核评分表</w:t>
      </w:r>
    </w:p>
    <w:p w14:paraId="6D04857C">
      <w:pPr>
        <w:pBdr>
          <w:top w:val="none" w:color="auto" w:sz="0" w:space="1"/>
          <w:left w:val="none" w:color="auto" w:sz="0" w:space="4"/>
          <w:bottom w:val="none" w:color="auto" w:sz="0" w:space="1"/>
          <w:right w:val="none" w:color="auto" w:sz="0" w:space="4"/>
        </w:pBdr>
        <w:spacing w:line="600" w:lineRule="exact"/>
        <w:ind w:firstLine="565" w:firstLineChars="202"/>
        <w:rPr>
          <w:rFonts w:ascii="仿宋_GB2312" w:hAnsi="仿宋_GB2312" w:eastAsia="仿宋_GB2312" w:cs="仿宋_GB2312"/>
          <w:sz w:val="28"/>
          <w:szCs w:val="28"/>
        </w:rPr>
      </w:pPr>
      <w:r>
        <w:rPr>
          <w:rFonts w:hint="eastAsia" w:ascii="仿宋_GB2312" w:hAnsi="仿宋_GB2312" w:eastAsia="仿宋_GB2312" w:cs="仿宋_GB2312"/>
          <w:sz w:val="28"/>
          <w:szCs w:val="28"/>
        </w:rPr>
        <w:t>18.7水域卫生作业质量考核评分表</w:t>
      </w:r>
    </w:p>
    <w:p w14:paraId="65E114FD">
      <w:pPr>
        <w:pBdr>
          <w:top w:val="none" w:color="auto" w:sz="0" w:space="1"/>
          <w:left w:val="none" w:color="auto" w:sz="0" w:space="4"/>
          <w:bottom w:val="none" w:color="auto" w:sz="0" w:space="1"/>
          <w:right w:val="none" w:color="auto" w:sz="0" w:space="4"/>
        </w:pBdr>
        <w:spacing w:line="600" w:lineRule="exact"/>
        <w:ind w:firstLine="565" w:firstLineChars="202"/>
        <w:rPr>
          <w:rFonts w:ascii="仿宋_GB2312" w:hAnsi="仿宋_GB2312" w:eastAsia="仿宋_GB2312" w:cs="仿宋_GB2312"/>
          <w:sz w:val="28"/>
          <w:szCs w:val="28"/>
        </w:rPr>
      </w:pPr>
      <w:r>
        <w:rPr>
          <w:rFonts w:hint="eastAsia" w:ascii="仿宋_GB2312" w:hAnsi="仿宋_GB2312" w:eastAsia="仿宋_GB2312" w:cs="仿宋_GB2312"/>
          <w:sz w:val="28"/>
          <w:szCs w:val="28"/>
        </w:rPr>
        <w:t>18.8生活垃圾二级转运作业质量考核评分表</w:t>
      </w:r>
    </w:p>
    <w:p w14:paraId="63D7A7B9">
      <w:pPr>
        <w:pBdr>
          <w:top w:val="none" w:color="auto" w:sz="0" w:space="1"/>
          <w:left w:val="none" w:color="auto" w:sz="0" w:space="4"/>
          <w:bottom w:val="none" w:color="auto" w:sz="0" w:space="1"/>
          <w:right w:val="none" w:color="auto" w:sz="0" w:space="4"/>
        </w:pBdr>
        <w:spacing w:line="600" w:lineRule="exact"/>
        <w:ind w:firstLine="560" w:firstLineChars="200"/>
        <w:rPr>
          <w:rFonts w:hint="eastAsia" w:hAnsi="黑体"/>
          <w:color w:val="000000"/>
          <w:sz w:val="28"/>
          <w:szCs w:val="28"/>
        </w:rPr>
      </w:pPr>
    </w:p>
    <w:p w14:paraId="45B1CBD3">
      <w:pPr>
        <w:pBdr>
          <w:top w:val="none" w:color="auto" w:sz="0" w:space="1"/>
          <w:left w:val="none" w:color="auto" w:sz="0" w:space="4"/>
          <w:bottom w:val="none" w:color="auto" w:sz="0" w:space="1"/>
          <w:right w:val="none" w:color="auto" w:sz="0" w:space="4"/>
        </w:pBdr>
        <w:spacing w:line="6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br w:type="page"/>
      </w:r>
    </w:p>
    <w:p w14:paraId="30F3D0AC">
      <w:pPr>
        <w:pBdr>
          <w:top w:val="none" w:color="auto" w:sz="0" w:space="1"/>
          <w:left w:val="none" w:color="auto" w:sz="0" w:space="4"/>
          <w:bottom w:val="none" w:color="auto" w:sz="0" w:space="1"/>
          <w:right w:val="none" w:color="auto" w:sz="0" w:space="4"/>
        </w:pBdr>
        <w:spacing w:before="312" w:beforeLines="100" w:after="156" w:afterLines="50" w:line="600" w:lineRule="exact"/>
        <w:ind w:left="7289" w:hanging="7289" w:hangingChars="2593"/>
        <w:jc w:val="center"/>
        <w:rPr>
          <w:rFonts w:ascii="仿宋_GB2312" w:eastAsia="仿宋_GB2312"/>
          <w:b/>
          <w:color w:val="000000"/>
          <w:sz w:val="28"/>
        </w:rPr>
      </w:pPr>
      <w:r>
        <w:rPr>
          <w:rFonts w:hint="eastAsia" w:ascii="仿宋_GB2312" w:eastAsia="仿宋_GB2312"/>
          <w:b/>
          <w:color w:val="000000"/>
          <w:sz w:val="28"/>
        </w:rPr>
        <w:t>（本页无正文，为签章页）</w:t>
      </w:r>
    </w:p>
    <w:p w14:paraId="52926561">
      <w:pPr>
        <w:pBdr>
          <w:top w:val="none" w:color="auto" w:sz="0" w:space="1"/>
          <w:left w:val="none" w:color="auto" w:sz="0" w:space="4"/>
          <w:bottom w:val="none" w:color="auto" w:sz="0" w:space="1"/>
          <w:right w:val="none" w:color="auto" w:sz="0" w:space="4"/>
        </w:pBdr>
        <w:adjustRightInd w:val="0"/>
        <w:snapToGrid w:val="0"/>
        <w:spacing w:line="600" w:lineRule="exact"/>
        <w:ind w:left="7307" w:leftChars="276" w:hanging="6727" w:hangingChars="2393"/>
        <w:rPr>
          <w:rFonts w:ascii="仿宋_GB2312" w:eastAsia="仿宋_GB2312"/>
          <w:b/>
          <w:color w:val="000000"/>
          <w:sz w:val="28"/>
          <w:szCs w:val="28"/>
        </w:rPr>
      </w:pPr>
      <w:r>
        <w:rPr>
          <w:rFonts w:hint="eastAsia" w:ascii="仿宋_GB2312" w:eastAsia="仿宋_GB2312"/>
          <w:b/>
          <w:color w:val="000000"/>
          <w:sz w:val="28"/>
        </w:rPr>
        <w:t>甲方：</w:t>
      </w:r>
      <w:r>
        <w:rPr>
          <w:rFonts w:hint="eastAsia" w:ascii="仿宋_GB2312" w:eastAsia="仿宋_GB2312"/>
          <w:b/>
          <w:color w:val="000000"/>
          <w:sz w:val="28"/>
          <w:szCs w:val="28"/>
          <w:u w:val="single"/>
        </w:rPr>
        <w:t>海口市城市管理局（盖章</w:t>
      </w:r>
      <w:r>
        <w:rPr>
          <w:rFonts w:hint="eastAsia" w:ascii="仿宋_GB2312" w:eastAsia="仿宋_GB2312"/>
          <w:b/>
          <w:color w:val="000000"/>
          <w:sz w:val="28"/>
          <w:u w:val="single"/>
        </w:rPr>
        <w:t>）</w:t>
      </w:r>
    </w:p>
    <w:p w14:paraId="1C5B656E">
      <w:pPr>
        <w:pBdr>
          <w:top w:val="none" w:color="auto" w:sz="0" w:space="1"/>
          <w:left w:val="none" w:color="auto" w:sz="0" w:space="4"/>
          <w:bottom w:val="none" w:color="auto" w:sz="0" w:space="1"/>
          <w:right w:val="none" w:color="auto" w:sz="0" w:space="4"/>
        </w:pBdr>
        <w:adjustRightInd w:val="0"/>
        <w:snapToGrid w:val="0"/>
        <w:spacing w:line="600" w:lineRule="exact"/>
        <w:ind w:left="7307" w:leftChars="276" w:hanging="6727" w:hangingChars="2393"/>
        <w:rPr>
          <w:rFonts w:ascii="仿宋_GB2312" w:eastAsia="仿宋_GB2312"/>
          <w:b/>
          <w:color w:val="000000"/>
          <w:sz w:val="28"/>
          <w:szCs w:val="28"/>
        </w:rPr>
      </w:pPr>
      <w:r>
        <w:rPr>
          <w:rFonts w:hint="eastAsia" w:ascii="仿宋_GB2312" w:eastAsia="仿宋_GB2312"/>
          <w:b/>
          <w:color w:val="000000"/>
          <w:sz w:val="28"/>
        </w:rPr>
        <w:t>地址：</w:t>
      </w:r>
      <w:r>
        <w:rPr>
          <w:rFonts w:hint="eastAsia" w:ascii="仿宋_GB2312" w:eastAsia="仿宋_GB2312"/>
          <w:color w:val="000000"/>
          <w:sz w:val="28"/>
          <w:szCs w:val="28"/>
          <w:u w:val="single"/>
        </w:rPr>
        <w:t>海口市长滨路市行政办公区15栋北楼4层</w:t>
      </w:r>
    </w:p>
    <w:p w14:paraId="767AC5A9">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ascii="仿宋_GB2312" w:eastAsia="仿宋_GB2312"/>
          <w:b/>
          <w:color w:val="000000"/>
          <w:sz w:val="28"/>
        </w:rPr>
      </w:pPr>
      <w:r>
        <w:rPr>
          <w:rFonts w:hint="eastAsia" w:ascii="仿宋_GB2312" w:eastAsia="仿宋_GB2312"/>
          <w:b/>
          <w:color w:val="000000"/>
          <w:sz w:val="28"/>
        </w:rPr>
        <w:t>法定（或授权）代表人：</w:t>
      </w:r>
    </w:p>
    <w:p w14:paraId="61FD9498">
      <w:pPr>
        <w:pBdr>
          <w:top w:val="none" w:color="auto" w:sz="0" w:space="1"/>
          <w:left w:val="none" w:color="auto" w:sz="0" w:space="4"/>
          <w:bottom w:val="none" w:color="auto" w:sz="0" w:space="1"/>
          <w:right w:val="none" w:color="auto" w:sz="0" w:space="4"/>
        </w:pBdr>
        <w:adjustRightInd w:val="0"/>
        <w:snapToGrid w:val="0"/>
        <w:spacing w:line="600" w:lineRule="exact"/>
        <w:rPr>
          <w:rFonts w:ascii="仿宋_GB2312" w:eastAsia="仿宋_GB2312"/>
          <w:color w:val="000000"/>
          <w:sz w:val="28"/>
        </w:rPr>
      </w:pPr>
    </w:p>
    <w:p w14:paraId="0CAABA00">
      <w:pPr>
        <w:pBdr>
          <w:top w:val="none" w:color="auto" w:sz="0" w:space="1"/>
          <w:left w:val="none" w:color="auto" w:sz="0" w:space="4"/>
          <w:bottom w:val="none" w:color="auto" w:sz="0" w:space="1"/>
          <w:right w:val="none" w:color="auto" w:sz="0" w:space="4"/>
        </w:pBdr>
        <w:adjustRightInd w:val="0"/>
        <w:snapToGrid w:val="0"/>
        <w:spacing w:line="600" w:lineRule="exact"/>
        <w:rPr>
          <w:rFonts w:ascii="仿宋_GB2312" w:eastAsia="仿宋_GB2312"/>
          <w:b/>
          <w:color w:val="000000"/>
          <w:sz w:val="28"/>
        </w:rPr>
      </w:pPr>
    </w:p>
    <w:p w14:paraId="57AEC701">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hint="eastAsia" w:ascii="仿宋_GB2312" w:eastAsia="仿宋_GB2312"/>
          <w:b/>
          <w:color w:val="000000"/>
          <w:sz w:val="28"/>
          <w:szCs w:val="28"/>
          <w:u w:val="single"/>
        </w:rPr>
      </w:pPr>
      <w:r>
        <w:rPr>
          <w:rFonts w:hint="eastAsia" w:ascii="仿宋_GB2312" w:eastAsia="仿宋_GB2312"/>
          <w:b/>
          <w:color w:val="000000"/>
          <w:sz w:val="28"/>
        </w:rPr>
        <w:t>乙方：</w:t>
      </w:r>
      <w:r>
        <w:rPr>
          <w:rFonts w:hint="eastAsia" w:ascii="仿宋_GB2312" w:eastAsia="仿宋_GB2312"/>
          <w:b/>
          <w:color w:val="000000"/>
          <w:sz w:val="28"/>
          <w:szCs w:val="28"/>
          <w:u w:val="single"/>
        </w:rPr>
        <w:t>【               】</w:t>
      </w:r>
      <w:r>
        <w:rPr>
          <w:rFonts w:hint="eastAsia" w:ascii="仿宋_GB2312" w:eastAsia="仿宋_GB2312"/>
          <w:b/>
          <w:color w:val="000000"/>
          <w:sz w:val="28"/>
          <w:szCs w:val="28"/>
          <w:u w:val="single"/>
          <w:lang w:val="en-GB"/>
        </w:rPr>
        <w:t>（盖章）</w:t>
      </w:r>
    </w:p>
    <w:p w14:paraId="5CB6791D">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ascii="仿宋_GB2312" w:eastAsia="仿宋_GB2312"/>
          <w:b/>
          <w:color w:val="000000"/>
          <w:sz w:val="28"/>
        </w:rPr>
      </w:pPr>
      <w:r>
        <w:rPr>
          <w:rFonts w:hint="eastAsia" w:ascii="仿宋_GB2312" w:eastAsia="仿宋_GB2312"/>
          <w:b/>
          <w:color w:val="000000"/>
          <w:sz w:val="28"/>
        </w:rPr>
        <w:t>地址：</w:t>
      </w:r>
      <w:r>
        <w:rPr>
          <w:rFonts w:hint="eastAsia"/>
          <w:color w:val="000000"/>
          <w:sz w:val="28"/>
          <w:szCs w:val="28"/>
          <w:u w:val="single"/>
        </w:rPr>
        <w:t xml:space="preserve">【               】 </w:t>
      </w:r>
    </w:p>
    <w:p w14:paraId="66E37423">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ascii="仿宋_GB2312" w:eastAsia="仿宋_GB2312"/>
          <w:b/>
          <w:color w:val="000000"/>
          <w:sz w:val="28"/>
        </w:rPr>
      </w:pPr>
      <w:r>
        <w:rPr>
          <w:rFonts w:hint="eastAsia" w:ascii="仿宋_GB2312" w:eastAsia="仿宋_GB2312"/>
          <w:b/>
          <w:color w:val="000000"/>
          <w:sz w:val="28"/>
        </w:rPr>
        <w:t>法定（或授权）代表人：</w:t>
      </w:r>
    </w:p>
    <w:p w14:paraId="3C2E97C0">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宋体" w:eastAsia="仿宋_GB2312"/>
          <w:b/>
          <w:color w:val="000000"/>
          <w:sz w:val="28"/>
          <w:szCs w:val="28"/>
        </w:rPr>
      </w:pPr>
    </w:p>
    <w:p w14:paraId="25AF2B79">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宋体" w:eastAsia="仿宋_GB2312"/>
          <w:color w:val="000000"/>
          <w:sz w:val="28"/>
          <w:szCs w:val="28"/>
        </w:rPr>
      </w:pPr>
      <w:r>
        <w:rPr>
          <w:rFonts w:hint="eastAsia" w:ascii="仿宋_GB2312" w:hAnsi="宋体" w:eastAsia="仿宋_GB2312"/>
          <w:b/>
          <w:color w:val="000000"/>
          <w:sz w:val="28"/>
          <w:szCs w:val="28"/>
        </w:rPr>
        <w:t>开 户 名</w:t>
      </w:r>
      <w:r>
        <w:rPr>
          <w:rFonts w:hint="eastAsia" w:ascii="仿宋_GB2312" w:hAnsi="宋体" w:eastAsia="仿宋_GB2312"/>
          <w:color w:val="000000"/>
          <w:sz w:val="28"/>
          <w:szCs w:val="28"/>
        </w:rPr>
        <w:t>：</w:t>
      </w:r>
      <w:r>
        <w:rPr>
          <w:rFonts w:hint="eastAsia"/>
          <w:b/>
          <w:color w:val="000000"/>
          <w:sz w:val="28"/>
          <w:u w:val="single"/>
        </w:rPr>
        <w:t>【                  】</w:t>
      </w:r>
      <w:r>
        <w:rPr>
          <w:rFonts w:hint="eastAsia"/>
          <w:color w:val="000000"/>
          <w:sz w:val="28"/>
          <w:szCs w:val="28"/>
          <w:u w:val="single"/>
        </w:rPr>
        <w:t xml:space="preserve"> </w:t>
      </w:r>
    </w:p>
    <w:p w14:paraId="4A3E757E">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宋体" w:eastAsia="仿宋_GB2312"/>
          <w:color w:val="000000"/>
          <w:sz w:val="28"/>
          <w:szCs w:val="28"/>
        </w:rPr>
      </w:pPr>
      <w:r>
        <w:rPr>
          <w:rFonts w:hint="eastAsia" w:ascii="仿宋_GB2312" w:hAnsi="宋体" w:eastAsia="仿宋_GB2312"/>
          <w:b/>
          <w:color w:val="000000"/>
          <w:sz w:val="28"/>
          <w:szCs w:val="28"/>
        </w:rPr>
        <w:t>开户银行</w:t>
      </w:r>
      <w:r>
        <w:rPr>
          <w:rFonts w:hint="eastAsia" w:ascii="仿宋_GB2312" w:hAnsi="宋体" w:eastAsia="仿宋_GB2312"/>
          <w:color w:val="000000"/>
          <w:sz w:val="28"/>
          <w:szCs w:val="28"/>
        </w:rPr>
        <w:t>：</w:t>
      </w:r>
      <w:r>
        <w:rPr>
          <w:rFonts w:hint="eastAsia"/>
          <w:color w:val="000000"/>
          <w:sz w:val="28"/>
          <w:szCs w:val="28"/>
          <w:u w:val="single"/>
        </w:rPr>
        <w:t>【                  】</w:t>
      </w:r>
    </w:p>
    <w:p w14:paraId="079339A0">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eastAsia="仿宋_GB2312"/>
          <w:b/>
          <w:bCs/>
          <w:color w:val="000000"/>
          <w:sz w:val="32"/>
          <w:szCs w:val="32"/>
        </w:rPr>
      </w:pPr>
      <w:r>
        <w:rPr>
          <w:rFonts w:hint="eastAsia" w:ascii="仿宋_GB2312" w:hAnsi="宋体" w:eastAsia="仿宋_GB2312"/>
          <w:b/>
          <w:color w:val="000000"/>
          <w:sz w:val="28"/>
          <w:szCs w:val="28"/>
        </w:rPr>
        <w:t>账    号</w:t>
      </w:r>
      <w:r>
        <w:rPr>
          <w:rFonts w:hint="eastAsia" w:ascii="仿宋_GB2312" w:hAnsi="宋体" w:eastAsia="仿宋_GB2312"/>
          <w:color w:val="000000"/>
          <w:sz w:val="28"/>
          <w:szCs w:val="28"/>
        </w:rPr>
        <w:t>：</w:t>
      </w:r>
      <w:r>
        <w:rPr>
          <w:rFonts w:hint="eastAsia"/>
          <w:color w:val="000000"/>
          <w:sz w:val="28"/>
          <w:szCs w:val="28"/>
          <w:u w:val="single"/>
        </w:rPr>
        <w:t>【                  】</w:t>
      </w:r>
    </w:p>
    <w:p w14:paraId="2AD8DC8F">
      <w:pPr>
        <w:pBdr>
          <w:top w:val="none" w:color="auto" w:sz="0" w:space="1"/>
          <w:left w:val="none" w:color="auto" w:sz="0" w:space="4"/>
          <w:bottom w:val="none" w:color="auto" w:sz="0" w:space="1"/>
          <w:right w:val="none" w:color="auto" w:sz="0" w:space="4"/>
        </w:pBdr>
        <w:snapToGrid w:val="0"/>
        <w:spacing w:before="19" w:line="600" w:lineRule="exact"/>
        <w:ind w:firstLine="482" w:firstLineChars="200"/>
        <w:rPr>
          <w:rFonts w:ascii="宋体" w:hAnsi="宋体"/>
          <w:b/>
          <w:color w:val="000000"/>
          <w:sz w:val="24"/>
        </w:rPr>
      </w:pPr>
    </w:p>
    <w:p w14:paraId="0868782F">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hAnsi="宋体" w:eastAsia="仿宋_GB2312"/>
          <w:b/>
          <w:color w:val="000000"/>
          <w:sz w:val="28"/>
          <w:szCs w:val="28"/>
        </w:rPr>
      </w:pPr>
      <w:r>
        <w:rPr>
          <w:rFonts w:hint="eastAsia" w:ascii="仿宋_GB2312" w:hAnsi="宋体" w:eastAsia="仿宋_GB2312"/>
          <w:b/>
          <w:color w:val="000000"/>
          <w:sz w:val="28"/>
          <w:szCs w:val="28"/>
        </w:rPr>
        <w:t>招标代理机构声明：本合同标的依法定程序采购，合同主要条款内容与</w:t>
      </w:r>
      <w:r>
        <w:rPr>
          <w:rFonts w:hint="eastAsia" w:hAnsi="宋体"/>
          <w:b/>
          <w:color w:val="000000"/>
          <w:sz w:val="28"/>
          <w:szCs w:val="28"/>
        </w:rPr>
        <w:t>招标</w:t>
      </w:r>
      <w:r>
        <w:rPr>
          <w:rFonts w:hint="eastAsia" w:ascii="仿宋_GB2312" w:hAnsi="宋体" w:eastAsia="仿宋_GB2312"/>
          <w:b/>
          <w:color w:val="000000"/>
          <w:sz w:val="28"/>
          <w:szCs w:val="28"/>
        </w:rPr>
        <w:t>报价文件的内容一致。</w:t>
      </w:r>
    </w:p>
    <w:p w14:paraId="72958BC6">
      <w:pPr>
        <w:pBdr>
          <w:top w:val="none" w:color="auto" w:sz="0" w:space="1"/>
          <w:left w:val="none" w:color="auto" w:sz="0" w:space="4"/>
          <w:bottom w:val="none" w:color="auto" w:sz="0" w:space="1"/>
          <w:right w:val="none" w:color="auto" w:sz="0" w:space="4"/>
        </w:pBdr>
        <w:snapToGrid w:val="0"/>
        <w:spacing w:before="19" w:line="600" w:lineRule="exact"/>
        <w:ind w:firstLine="562" w:firstLineChars="200"/>
        <w:rPr>
          <w:rFonts w:ascii="仿宋_GB2312" w:hAnsi="宋体" w:eastAsia="仿宋_GB2312"/>
          <w:b/>
          <w:color w:val="000000"/>
          <w:sz w:val="28"/>
          <w:szCs w:val="28"/>
          <w:u w:val="single"/>
        </w:rPr>
      </w:pPr>
      <w:r>
        <w:rPr>
          <w:rFonts w:hint="eastAsia" w:ascii="仿宋_GB2312" w:hAnsi="宋体" w:eastAsia="仿宋_GB2312"/>
          <w:b/>
          <w:color w:val="000000"/>
          <w:sz w:val="28"/>
          <w:szCs w:val="28"/>
        </w:rPr>
        <w:t>招标代理机构</w:t>
      </w:r>
      <w:r>
        <w:rPr>
          <w:rFonts w:hint="eastAsia" w:ascii="仿宋_GB2312" w:hAnsi="宋体" w:eastAsia="仿宋_GB2312"/>
          <w:b/>
          <w:color w:val="000000"/>
          <w:sz w:val="28"/>
          <w:szCs w:val="28"/>
          <w:u w:val="single"/>
        </w:rPr>
        <w:t>：</w:t>
      </w:r>
      <w:r>
        <w:rPr>
          <w:rFonts w:hint="eastAsia" w:hAnsi="宋体"/>
          <w:b/>
          <w:color w:val="000000"/>
          <w:sz w:val="28"/>
          <w:szCs w:val="28"/>
          <w:u w:val="single"/>
          <w:lang w:val="en-GB"/>
        </w:rPr>
        <w:t>【                   】</w:t>
      </w:r>
      <w:r>
        <w:rPr>
          <w:rFonts w:hint="eastAsia" w:ascii="仿宋_GB2312" w:hAnsi="宋体" w:eastAsia="仿宋_GB2312"/>
          <w:b/>
          <w:color w:val="000000"/>
          <w:sz w:val="28"/>
          <w:szCs w:val="28"/>
          <w:u w:val="single"/>
        </w:rPr>
        <w:t>（盖章）</w:t>
      </w:r>
    </w:p>
    <w:p w14:paraId="629E8306">
      <w:pPr>
        <w:pBdr>
          <w:top w:val="none" w:color="auto" w:sz="0" w:space="1"/>
          <w:left w:val="none" w:color="auto" w:sz="0" w:space="4"/>
          <w:bottom w:val="none" w:color="auto" w:sz="0" w:space="1"/>
          <w:right w:val="none" w:color="auto" w:sz="0" w:space="4"/>
        </w:pBdr>
        <w:spacing w:line="600" w:lineRule="exact"/>
        <w:ind w:firstLine="562" w:firstLineChars="200"/>
        <w:rPr>
          <w:rFonts w:ascii="仿宋_GB2312" w:eastAsia="仿宋_GB2312"/>
          <w:color w:val="000000"/>
          <w:sz w:val="28"/>
          <w:szCs w:val="28"/>
          <w:u w:val="single"/>
        </w:rPr>
      </w:pPr>
      <w:r>
        <w:rPr>
          <w:rFonts w:hint="eastAsia" w:ascii="仿宋_GB2312" w:eastAsia="仿宋_GB2312"/>
          <w:b/>
          <w:bCs/>
          <w:color w:val="000000"/>
          <w:sz w:val="28"/>
          <w:szCs w:val="28"/>
        </w:rPr>
        <w:t>经办人</w:t>
      </w:r>
      <w:r>
        <w:rPr>
          <w:rFonts w:hint="eastAsia" w:ascii="仿宋_GB2312" w:eastAsia="仿宋_GB2312"/>
          <w:color w:val="000000"/>
          <w:sz w:val="28"/>
          <w:szCs w:val="28"/>
        </w:rPr>
        <w:t>：</w:t>
      </w:r>
    </w:p>
    <w:p w14:paraId="38BF1149">
      <w:pPr>
        <w:pBdr>
          <w:top w:val="none" w:color="auto" w:sz="0" w:space="1"/>
          <w:left w:val="none" w:color="auto" w:sz="0" w:space="4"/>
          <w:bottom w:val="none" w:color="auto" w:sz="0" w:space="1"/>
          <w:right w:val="none" w:color="auto" w:sz="0" w:space="4"/>
        </w:pBdr>
        <w:adjustRightInd w:val="0"/>
        <w:snapToGrid w:val="0"/>
        <w:spacing w:line="600" w:lineRule="exact"/>
        <w:ind w:firstLine="4480" w:firstLineChars="1600"/>
        <w:rPr>
          <w:rFonts w:ascii="仿宋_GB2312" w:hAnsi="宋体" w:eastAsia="仿宋_GB2312"/>
          <w:b/>
          <w:color w:val="000000"/>
          <w:sz w:val="28"/>
          <w:szCs w:val="28"/>
        </w:rPr>
      </w:pPr>
      <w:r>
        <w:rPr>
          <w:rFonts w:hint="eastAsia" w:ascii="仿宋_GB2312" w:eastAsia="仿宋_GB2312"/>
          <w:color w:val="000000"/>
          <w:sz w:val="28"/>
        </w:rPr>
        <w:t>202</w:t>
      </w:r>
      <w:r>
        <w:rPr>
          <w:rFonts w:hint="eastAsia"/>
          <w:color w:val="000000"/>
          <w:sz w:val="28"/>
        </w:rPr>
        <w:t>5</w:t>
      </w:r>
      <w:r>
        <w:rPr>
          <w:rFonts w:hint="eastAsia" w:ascii="仿宋_GB2312" w:eastAsia="仿宋_GB2312"/>
          <w:color w:val="000000"/>
          <w:sz w:val="28"/>
        </w:rPr>
        <w:t>年【    】月【    】日</w:t>
      </w:r>
    </w:p>
    <w:p w14:paraId="39F698C6">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600"/>
        <w:jc w:val="center"/>
        <w:rPr>
          <w:rFonts w:ascii="黑体" w:hAnsi="黑体" w:eastAsia="黑体"/>
          <w:color w:val="000000"/>
          <w:sz w:val="30"/>
          <w:szCs w:val="30"/>
        </w:rPr>
      </w:pPr>
      <w:r>
        <w:rPr>
          <w:rFonts w:hint="eastAsia" w:ascii="黑体" w:hAnsi="黑体" w:eastAsia="黑体"/>
          <w:color w:val="000000"/>
          <w:sz w:val="30"/>
          <w:szCs w:val="30"/>
        </w:rPr>
        <w:br w:type="page"/>
      </w:r>
    </w:p>
    <w:p w14:paraId="65440EA8">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0" w:firstLineChars="0"/>
        <w:outlineLvl w:val="0"/>
        <w:rPr>
          <w:rFonts w:ascii="黑体" w:hAnsi="黑体" w:eastAsia="黑体"/>
          <w:color w:val="000000"/>
          <w:sz w:val="30"/>
          <w:szCs w:val="30"/>
        </w:rPr>
      </w:pPr>
      <w:r>
        <w:rPr>
          <w:rFonts w:hint="eastAsia" w:ascii="黑体" w:hAnsi="黑体" w:eastAsia="黑体"/>
          <w:color w:val="000000"/>
          <w:sz w:val="30"/>
          <w:szCs w:val="30"/>
        </w:rPr>
        <w:t>附件1</w:t>
      </w:r>
    </w:p>
    <w:p w14:paraId="3A71ADE5">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2"/>
        <w:jc w:val="center"/>
        <w:rPr>
          <w:rFonts w:hAnsi="宋体"/>
          <w:b/>
          <w:color w:val="000000"/>
          <w:sz w:val="28"/>
          <w:szCs w:val="28"/>
        </w:rPr>
      </w:pPr>
      <w:r>
        <w:rPr>
          <w:rFonts w:hint="eastAsia" w:hAnsi="宋体"/>
          <w:b/>
          <w:bCs w:val="0"/>
          <w:color w:val="000000"/>
          <w:sz w:val="28"/>
          <w:szCs w:val="28"/>
        </w:rPr>
        <w:t>18.1成交通知书</w:t>
      </w:r>
    </w:p>
    <w:p w14:paraId="72A27045">
      <w:pPr>
        <w:pBdr>
          <w:top w:val="none" w:color="auto" w:sz="0" w:space="1"/>
          <w:left w:val="none" w:color="auto" w:sz="0" w:space="4"/>
          <w:bottom w:val="none" w:color="auto" w:sz="0" w:space="1"/>
          <w:right w:val="none" w:color="auto" w:sz="0" w:space="4"/>
        </w:pBdr>
        <w:rPr>
          <w:rFonts w:hAnsi="宋体"/>
          <w:color w:val="000000"/>
          <w:sz w:val="28"/>
          <w:szCs w:val="28"/>
        </w:rPr>
      </w:pPr>
    </w:p>
    <w:p w14:paraId="079735FE">
      <w:pPr>
        <w:widowControl/>
        <w:pBdr>
          <w:top w:val="none" w:color="auto" w:sz="0" w:space="1"/>
          <w:left w:val="none" w:color="auto" w:sz="0" w:space="4"/>
          <w:bottom w:val="none" w:color="auto" w:sz="0" w:space="1"/>
          <w:right w:val="none" w:color="auto" w:sz="0" w:space="4"/>
        </w:pBdr>
        <w:jc w:val="left"/>
        <w:rPr>
          <w:rFonts w:ascii="仿宋_GB2312" w:hAnsi="宋体" w:eastAsia="仿宋_GB2312"/>
          <w:b/>
          <w:color w:val="000000"/>
          <w:sz w:val="28"/>
          <w:szCs w:val="28"/>
        </w:rPr>
        <w:sectPr>
          <w:pgSz w:w="11906" w:h="16838"/>
          <w:pgMar w:top="1440" w:right="1800" w:bottom="1440" w:left="1800" w:header="851" w:footer="992" w:gutter="0"/>
          <w:cols w:space="720" w:num="1"/>
          <w:docGrid w:type="lines" w:linePitch="312" w:charSpace="0"/>
        </w:sectPr>
      </w:pPr>
    </w:p>
    <w:p w14:paraId="7BFBBA0B">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0" w:firstLineChars="0"/>
        <w:outlineLvl w:val="0"/>
        <w:rPr>
          <w:rFonts w:hAnsi="宋体"/>
          <w:b/>
          <w:bCs w:val="0"/>
          <w:color w:val="000000"/>
          <w:sz w:val="28"/>
          <w:szCs w:val="28"/>
        </w:rPr>
      </w:pPr>
      <w:r>
        <w:rPr>
          <w:rFonts w:hint="eastAsia" w:hAnsi="宋体"/>
          <w:b/>
          <w:bCs w:val="0"/>
          <w:color w:val="000000"/>
          <w:sz w:val="28"/>
          <w:szCs w:val="28"/>
        </w:rPr>
        <w:t>附件2</w:t>
      </w:r>
    </w:p>
    <w:p w14:paraId="0836C2BD">
      <w:pPr>
        <w:pStyle w:val="10"/>
        <w:pBdr>
          <w:top w:val="none" w:color="auto" w:sz="0" w:space="1"/>
          <w:left w:val="none" w:color="auto" w:sz="0" w:space="4"/>
          <w:bottom w:val="none" w:color="auto" w:sz="0" w:space="1"/>
          <w:right w:val="none" w:color="auto" w:sz="0" w:space="4"/>
        </w:pBdr>
        <w:tabs>
          <w:tab w:val="left" w:pos="142"/>
        </w:tabs>
        <w:spacing w:before="78" w:after="109" w:line="600" w:lineRule="exact"/>
        <w:ind w:firstLine="562"/>
        <w:jc w:val="center"/>
        <w:rPr>
          <w:rFonts w:hAnsi="宋体"/>
          <w:b/>
          <w:bCs w:val="0"/>
          <w:color w:val="000000"/>
          <w:sz w:val="28"/>
          <w:szCs w:val="28"/>
        </w:rPr>
      </w:pPr>
      <w:r>
        <w:rPr>
          <w:rFonts w:hint="eastAsia" w:hAnsi="宋体"/>
          <w:b/>
          <w:bCs w:val="0"/>
          <w:color w:val="000000"/>
          <w:sz w:val="28"/>
          <w:szCs w:val="28"/>
        </w:rPr>
        <w:t>18.2报价明细表</w:t>
      </w:r>
    </w:p>
    <w:p w14:paraId="62E31471">
      <w:pPr>
        <w:pBdr>
          <w:top w:val="none" w:color="auto" w:sz="0" w:space="1"/>
          <w:left w:val="none" w:color="auto" w:sz="0" w:space="4"/>
          <w:bottom w:val="none" w:color="auto" w:sz="0" w:space="1"/>
          <w:right w:val="none" w:color="auto" w:sz="0" w:space="4"/>
        </w:pBdr>
      </w:pPr>
    </w:p>
    <w:p w14:paraId="69225DBF">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r>
        <w:rPr>
          <w:rStyle w:val="11"/>
          <w:rFonts w:hint="eastAsia" w:ascii="仿宋" w:hAnsi="仿宋" w:eastAsia="仿宋" w:cs="仿宋"/>
          <w:sz w:val="28"/>
          <w:szCs w:val="28"/>
        </w:rPr>
        <w:t>严格按照投标中标报价表落实完成各项工作，未完成或未提交相关佐证材料及成果的子项，在最后一期付费中相应扣减该项费用，如在实际工作中根据甲方的通知要求额外增加合同外的工作，增加的费用纳入最后一期费用中结算，但结算总费用不超于总合同价。</w:t>
      </w:r>
    </w:p>
    <w:p w14:paraId="425CA29B">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0A6661A8">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5E44060E">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5BF022F9">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66352766">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2FA54DAC">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6F5CC90F">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558A7C69">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76EF3601">
      <w:pPr>
        <w:pBdr>
          <w:top w:val="none" w:color="auto" w:sz="0" w:space="1"/>
          <w:left w:val="none" w:color="auto" w:sz="0" w:space="4"/>
          <w:bottom w:val="none" w:color="auto" w:sz="0" w:space="1"/>
          <w:right w:val="none" w:color="auto" w:sz="0" w:space="4"/>
        </w:pBdr>
        <w:snapToGrid w:val="0"/>
        <w:spacing w:before="19" w:line="360" w:lineRule="auto"/>
        <w:ind w:firstLine="420" w:firstLineChars="150"/>
        <w:rPr>
          <w:rStyle w:val="11"/>
          <w:rFonts w:hint="eastAsia" w:ascii="仿宋" w:hAnsi="仿宋" w:eastAsia="仿宋" w:cs="仿宋"/>
          <w:sz w:val="28"/>
          <w:szCs w:val="28"/>
        </w:rPr>
      </w:pPr>
    </w:p>
    <w:p w14:paraId="07DFF626">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0" w:firstLineChars="0"/>
        <w:rPr>
          <w:rFonts w:hint="eastAsia" w:hAnsi="宋体"/>
          <w:b/>
          <w:bCs w:val="0"/>
          <w:color w:val="000000"/>
          <w:sz w:val="28"/>
          <w:szCs w:val="28"/>
        </w:rPr>
        <w:sectPr>
          <w:pgSz w:w="16838" w:h="11906" w:orient="landscape"/>
          <w:pgMar w:top="1800" w:right="1440" w:bottom="1800" w:left="1440" w:header="851" w:footer="992" w:gutter="0"/>
          <w:cols w:space="720" w:num="1"/>
          <w:docGrid w:type="lines" w:linePitch="312" w:charSpace="0"/>
        </w:sectPr>
      </w:pPr>
    </w:p>
    <w:p w14:paraId="6996A17B">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0" w:firstLineChars="0"/>
        <w:outlineLvl w:val="0"/>
        <w:rPr>
          <w:rFonts w:hAnsi="宋体"/>
          <w:b/>
          <w:bCs w:val="0"/>
          <w:color w:val="000000"/>
          <w:sz w:val="28"/>
          <w:szCs w:val="28"/>
        </w:rPr>
      </w:pPr>
      <w:r>
        <w:rPr>
          <w:rFonts w:hint="eastAsia" w:hAnsi="宋体"/>
          <w:b/>
          <w:bCs w:val="0"/>
          <w:color w:val="000000"/>
          <w:sz w:val="28"/>
          <w:szCs w:val="28"/>
        </w:rPr>
        <w:t>附件3</w:t>
      </w:r>
    </w:p>
    <w:p w14:paraId="1527F632">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2"/>
        <w:rPr>
          <w:rFonts w:hAnsi="宋体"/>
          <w:b/>
          <w:bCs w:val="0"/>
          <w:color w:val="000000"/>
          <w:sz w:val="28"/>
          <w:szCs w:val="28"/>
        </w:rPr>
      </w:pPr>
      <w:r>
        <w:rPr>
          <w:rFonts w:hint="eastAsia" w:hAnsi="宋体"/>
          <w:b/>
          <w:bCs w:val="0"/>
          <w:color w:val="000000"/>
          <w:sz w:val="28"/>
          <w:szCs w:val="28"/>
        </w:rPr>
        <w:t>18.3海口市园林和环境卫生管理局第三方考核监督管理办法</w:t>
      </w:r>
    </w:p>
    <w:p w14:paraId="2465A5A7">
      <w:pPr>
        <w:pStyle w:val="10"/>
        <w:pBdr>
          <w:top w:val="none" w:color="auto" w:sz="0" w:space="1"/>
          <w:left w:val="none" w:color="auto" w:sz="0" w:space="4"/>
          <w:bottom w:val="none" w:color="auto" w:sz="0" w:space="1"/>
          <w:right w:val="none" w:color="auto" w:sz="0" w:space="4"/>
        </w:pBdr>
        <w:tabs>
          <w:tab w:val="left" w:pos="142"/>
        </w:tabs>
        <w:spacing w:beforeLines="0" w:afterLines="0" w:line="600" w:lineRule="exact"/>
        <w:ind w:firstLine="560"/>
        <w:rPr>
          <w:rFonts w:hAnsi="宋体"/>
          <w:bCs w:val="0"/>
          <w:color w:val="000000"/>
          <w:sz w:val="28"/>
          <w:szCs w:val="28"/>
        </w:rPr>
      </w:pPr>
      <w:r>
        <w:rPr>
          <w:rFonts w:hint="eastAsia" w:hAnsi="宋体"/>
          <w:bCs w:val="0"/>
          <w:color w:val="000000"/>
          <w:sz w:val="28"/>
          <w:szCs w:val="28"/>
        </w:rPr>
        <w:t>为加强园林环卫PPP项目第三方考核工作的监督管理，促进第三方考核工作的专业化、制度化、规范化，确保考核工作更加公开、公平、公正。结合考核工作实际，现就第三方考核机构的规范和监管办法规定如下。</w:t>
      </w:r>
    </w:p>
    <w:p w14:paraId="40FE6272">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sz w:val="28"/>
          <w:szCs w:val="28"/>
        </w:rPr>
      </w:pPr>
      <w:r>
        <w:rPr>
          <w:rFonts w:hint="eastAsia" w:ascii="仿宋_GB2312" w:hAnsi="宋体" w:eastAsia="仿宋_GB2312"/>
          <w:b/>
          <w:bCs/>
          <w:sz w:val="28"/>
          <w:szCs w:val="28"/>
        </w:rPr>
        <w:t>一、监督考核主体：</w:t>
      </w:r>
      <w:r>
        <w:rPr>
          <w:rFonts w:hint="eastAsia" w:ascii="仿宋_GB2312" w:hAnsi="宋体" w:eastAsia="仿宋_GB2312"/>
          <w:sz w:val="28"/>
          <w:szCs w:val="28"/>
        </w:rPr>
        <w:t>海口市园林和环境卫生管理局。</w:t>
      </w:r>
    </w:p>
    <w:p w14:paraId="75C958F6">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sz w:val="28"/>
          <w:szCs w:val="28"/>
        </w:rPr>
      </w:pPr>
      <w:r>
        <w:rPr>
          <w:rFonts w:hint="eastAsia" w:ascii="仿宋_GB2312" w:hAnsi="宋体" w:eastAsia="仿宋_GB2312"/>
          <w:b/>
          <w:bCs/>
          <w:sz w:val="28"/>
          <w:szCs w:val="28"/>
        </w:rPr>
        <w:t>二、监督考核对象：</w:t>
      </w:r>
      <w:r>
        <w:rPr>
          <w:rFonts w:hint="eastAsia" w:ascii="仿宋_GB2312" w:hAnsi="宋体" w:eastAsia="仿宋_GB2312"/>
          <w:sz w:val="28"/>
          <w:szCs w:val="28"/>
        </w:rPr>
        <w:t>环卫</w:t>
      </w:r>
      <w:r>
        <w:rPr>
          <w:rFonts w:hint="eastAsia" w:hAnsi="宋体"/>
          <w:sz w:val="28"/>
          <w:szCs w:val="28"/>
        </w:rPr>
        <w:t>作业质量监督考评</w:t>
      </w:r>
      <w:r>
        <w:rPr>
          <w:rFonts w:hint="eastAsia" w:ascii="仿宋_GB2312" w:hAnsi="宋体" w:eastAsia="仿宋_GB2312"/>
          <w:sz w:val="28"/>
          <w:szCs w:val="28"/>
        </w:rPr>
        <w:t>项目第三方考评机构。</w:t>
      </w:r>
    </w:p>
    <w:p w14:paraId="427E2B50">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sz w:val="28"/>
          <w:szCs w:val="28"/>
        </w:rPr>
      </w:pPr>
      <w:r>
        <w:rPr>
          <w:rFonts w:hint="eastAsia" w:ascii="仿宋_GB2312" w:hAnsi="宋体" w:eastAsia="仿宋_GB2312"/>
          <w:b/>
          <w:bCs/>
          <w:sz w:val="28"/>
          <w:szCs w:val="28"/>
        </w:rPr>
        <w:t>三、监督考核办法：</w:t>
      </w:r>
      <w:r>
        <w:rPr>
          <w:rFonts w:hint="eastAsia" w:ascii="仿宋_GB2312" w:hAnsi="宋体" w:eastAsia="仿宋_GB2312"/>
          <w:sz w:val="28"/>
          <w:szCs w:val="28"/>
        </w:rPr>
        <w:t>根据第三方考评工作需要，采取月度考核、季度汇总相结合，现场抽查暗访、台账查询方式进行。</w:t>
      </w:r>
    </w:p>
    <w:p w14:paraId="5BE1BE45">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sz w:val="28"/>
          <w:szCs w:val="28"/>
        </w:rPr>
      </w:pPr>
      <w:r>
        <w:rPr>
          <w:rFonts w:hint="eastAsia" w:ascii="仿宋_GB2312" w:hAnsi="宋体" w:eastAsia="仿宋_GB2312"/>
          <w:b/>
          <w:bCs/>
          <w:sz w:val="28"/>
          <w:szCs w:val="28"/>
        </w:rPr>
        <w:t>四、监督考核依据：</w:t>
      </w:r>
      <w:r>
        <w:rPr>
          <w:rFonts w:hint="eastAsia" w:ascii="仿宋_GB2312" w:hAnsi="宋体" w:eastAsia="仿宋_GB2312"/>
          <w:sz w:val="28"/>
          <w:szCs w:val="28"/>
        </w:rPr>
        <w:t>《委托第三方对海口市环卫作质量监督考核合同》、《</w:t>
      </w:r>
      <w:r>
        <w:rPr>
          <w:rFonts w:hint="eastAsia" w:hAnsi="宋体"/>
          <w:sz w:val="28"/>
          <w:szCs w:val="28"/>
        </w:rPr>
        <w:t>环卫作业质量监督考评工作</w:t>
      </w:r>
      <w:r>
        <w:rPr>
          <w:rFonts w:hint="eastAsia" w:ascii="仿宋_GB2312" w:hAnsi="宋体" w:eastAsia="仿宋_GB2312"/>
          <w:sz w:val="28"/>
          <w:szCs w:val="28"/>
        </w:rPr>
        <w:t>合同书》,以下简称“合同”。</w:t>
      </w:r>
    </w:p>
    <w:p w14:paraId="5E750513">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b/>
          <w:bCs/>
          <w:sz w:val="28"/>
          <w:szCs w:val="28"/>
        </w:rPr>
      </w:pPr>
      <w:r>
        <w:rPr>
          <w:rFonts w:hint="eastAsia" w:ascii="仿宋_GB2312" w:hAnsi="宋体" w:eastAsia="仿宋_GB2312"/>
          <w:b/>
          <w:bCs/>
          <w:sz w:val="28"/>
          <w:szCs w:val="28"/>
        </w:rPr>
        <w:t>五、监督考核内容：</w:t>
      </w:r>
    </w:p>
    <w:p w14:paraId="6EC3AFD9">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1.人员及设备配置：依据“合同”要求配备项目人员及设备，确保第三方考核工作按时、按质、按量完成；</w:t>
      </w:r>
    </w:p>
    <w:p w14:paraId="52618BC0">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2.考核计划：针对各PPP公司作业时间、作业范围、作业内容制定每周考评工作计划，要求检查考核做到全覆盖；</w:t>
      </w:r>
    </w:p>
    <w:p w14:paraId="7B26B229">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3.考评结果质量及提交：要求第三方考核问题上报准确、完整，微文、周报及月报提交及时，考评结果客观真实反映PPP公司实际作业情况，报告内容全面、真实、准确，建议符合实际情况，具备可操作性；</w:t>
      </w:r>
    </w:p>
    <w:p w14:paraId="3BF3C393">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4.现场执行情况：要求第三方考核人员严格执行考核计划，准时到岗，严格按规定路线、考评内容、考评方式方法及标准开展质量检查考核工作，考核范围、频次、时间按照工作计划执行；现场考核上报问题严格对标考核，对问题把握准确，业务熟练；</w:t>
      </w:r>
    </w:p>
    <w:p w14:paraId="49E9E071">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5.保障工作配合：积极配合市园林环卫局做好重大活动、重要节假日园林环卫保障督查检查工作；</w:t>
      </w:r>
    </w:p>
    <w:p w14:paraId="1D6D9747">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6.质量控制：要求制定第三方考核工作质量控制规范，严格做好考核工作各环节质量控制，严肃考评纪律，严禁弄虚作假；制定完善相关配套管理制度，确保第三方考核工作顺利开展；对考评结果</w:t>
      </w:r>
      <w:r>
        <w:rPr>
          <w:rFonts w:hint="eastAsia" w:hAnsi="宋体"/>
          <w:sz w:val="28"/>
          <w:szCs w:val="28"/>
        </w:rPr>
        <w:t>负有</w:t>
      </w:r>
      <w:r>
        <w:rPr>
          <w:rFonts w:hint="eastAsia" w:ascii="仿宋_GB2312" w:hAnsi="宋体" w:eastAsia="仿宋_GB2312"/>
          <w:sz w:val="28"/>
          <w:szCs w:val="28"/>
        </w:rPr>
        <w:t>保密义务，不得擅自发布和使用考评资料和结果。</w:t>
      </w:r>
    </w:p>
    <w:p w14:paraId="4AB95727">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sz w:val="28"/>
          <w:szCs w:val="28"/>
        </w:rPr>
      </w:pPr>
      <w:r>
        <w:rPr>
          <w:rFonts w:hint="eastAsia" w:ascii="仿宋_GB2312" w:hAnsi="宋体" w:eastAsia="仿宋_GB2312"/>
          <w:b/>
          <w:bCs/>
          <w:sz w:val="28"/>
          <w:szCs w:val="28"/>
        </w:rPr>
        <w:t>六、评分办法：</w:t>
      </w:r>
      <w:r>
        <w:rPr>
          <w:rFonts w:hint="eastAsia" w:ascii="仿宋_GB2312" w:hAnsi="宋体" w:eastAsia="仿宋_GB2312"/>
          <w:sz w:val="28"/>
          <w:szCs w:val="28"/>
        </w:rPr>
        <w:t>对第三方机构考核实行100分量化评分制。</w:t>
      </w:r>
    </w:p>
    <w:p w14:paraId="05072F03">
      <w:pPr>
        <w:pBdr>
          <w:top w:val="none" w:color="auto" w:sz="0" w:space="1"/>
          <w:left w:val="none" w:color="auto" w:sz="0" w:space="4"/>
          <w:bottom w:val="none" w:color="auto" w:sz="0" w:space="1"/>
          <w:right w:val="none" w:color="auto" w:sz="0" w:space="4"/>
        </w:pBdr>
        <w:rPr>
          <w:rFonts w:ascii="仿宋_GB2312" w:hAnsi="宋体" w:eastAsia="仿宋_GB2312"/>
          <w:b/>
          <w:bCs/>
          <w:sz w:val="28"/>
          <w:szCs w:val="28"/>
        </w:rPr>
      </w:pPr>
      <w:r>
        <w:rPr>
          <w:rFonts w:hint="eastAsia" w:ascii="仿宋_GB2312" w:hAnsi="宋体" w:eastAsia="仿宋_GB2312"/>
          <w:sz w:val="28"/>
          <w:szCs w:val="28"/>
        </w:rPr>
        <w:t>月度考核采取不定时进行，按照《</w:t>
      </w:r>
      <w:r>
        <w:rPr>
          <w:rFonts w:hint="eastAsia" w:ascii="仿宋_GB2312" w:hAnsi="宋体" w:eastAsia="仿宋_GB2312"/>
          <w:bCs/>
          <w:sz w:val="28"/>
          <w:szCs w:val="28"/>
        </w:rPr>
        <w:t>海口市园林和环境卫生管理局第三方考评细则</w:t>
      </w:r>
      <w:r>
        <w:rPr>
          <w:rFonts w:hint="eastAsia" w:ascii="仿宋_GB2312" w:hAnsi="宋体" w:eastAsia="仿宋_GB2312"/>
          <w:sz w:val="28"/>
          <w:szCs w:val="28"/>
        </w:rPr>
        <w:t>》的规定进行具体量分。</w:t>
      </w:r>
    </w:p>
    <w:p w14:paraId="38F520B0">
      <w:pPr>
        <w:pBdr>
          <w:top w:val="none" w:color="auto" w:sz="0" w:space="1"/>
          <w:left w:val="none" w:color="auto" w:sz="0" w:space="4"/>
          <w:bottom w:val="none" w:color="auto" w:sz="0" w:space="1"/>
          <w:right w:val="none" w:color="auto" w:sz="0" w:space="4"/>
        </w:pBdr>
        <w:ind w:firstLine="560" w:firstLineChars="200"/>
        <w:rPr>
          <w:rFonts w:ascii="仿宋_GB2312" w:hAnsi="宋体" w:eastAsia="仿宋_GB2312"/>
          <w:sz w:val="28"/>
          <w:szCs w:val="28"/>
        </w:rPr>
      </w:pPr>
      <w:r>
        <w:rPr>
          <w:rFonts w:hint="eastAsia" w:ascii="仿宋_GB2312" w:hAnsi="宋体" w:eastAsia="仿宋_GB2312"/>
          <w:sz w:val="28"/>
          <w:szCs w:val="28"/>
        </w:rPr>
        <w:t>检查考核结果每月汇总，每季度进行小结。并依据季度考核结果进行付费。</w:t>
      </w:r>
    </w:p>
    <w:p w14:paraId="5A7E4AF7">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b/>
          <w:bCs/>
          <w:sz w:val="28"/>
          <w:szCs w:val="28"/>
        </w:rPr>
      </w:pPr>
      <w:r>
        <w:rPr>
          <w:rFonts w:hint="eastAsia" w:ascii="仿宋_GB2312" w:hAnsi="宋体" w:eastAsia="仿宋_GB2312"/>
          <w:b/>
          <w:bCs/>
          <w:sz w:val="28"/>
          <w:szCs w:val="28"/>
        </w:rPr>
        <w:t>七、处罚机制：</w:t>
      </w:r>
      <w:r>
        <w:rPr>
          <w:rFonts w:hint="eastAsia" w:ascii="仿宋_GB2312" w:hAnsi="宋体" w:eastAsia="仿宋_GB2312"/>
          <w:sz w:val="28"/>
          <w:szCs w:val="28"/>
        </w:rPr>
        <w:t>对第三方考核机构开展的季度考评得分达到90分（含90分）以上，全额拨付阶段服务经费；季度考评得分未达到90分的，依据考评结果扣减相应服务经费（计算公式：本季度未达标部分扣减金额=本季度合同金额</w:t>
      </w:r>
      <w:r>
        <w:rPr>
          <w:rFonts w:hint="eastAsia" w:ascii="仿宋_GB2312" w:hAnsi="等线" w:eastAsia="仿宋_GB2312" w:cs="宋体"/>
          <w:color w:val="000000"/>
          <w:kern w:val="0"/>
          <w:sz w:val="28"/>
          <w:szCs w:val="28"/>
        </w:rPr>
        <w:t>×</w:t>
      </w:r>
      <w:r>
        <w:rPr>
          <w:rFonts w:hint="eastAsia" w:ascii="仿宋_GB2312" w:hAnsi="宋体" w:eastAsia="仿宋_GB2312"/>
          <w:sz w:val="28"/>
          <w:szCs w:val="28"/>
        </w:rPr>
        <w:t>（90-本季度考评得分）/100）。</w:t>
      </w:r>
    </w:p>
    <w:p w14:paraId="1C440D6F">
      <w:pPr>
        <w:pBdr>
          <w:top w:val="none" w:color="auto" w:sz="0" w:space="1"/>
          <w:left w:val="none" w:color="auto" w:sz="0" w:space="4"/>
          <w:bottom w:val="none" w:color="auto" w:sz="0" w:space="1"/>
          <w:right w:val="none" w:color="auto" w:sz="0" w:space="4"/>
        </w:pBdr>
        <w:ind w:firstLine="562" w:firstLineChars="200"/>
        <w:rPr>
          <w:rFonts w:ascii="仿宋_GB2312" w:hAnsi="宋体" w:eastAsia="仿宋_GB2312"/>
          <w:b/>
          <w:bCs/>
          <w:sz w:val="28"/>
          <w:szCs w:val="28"/>
        </w:rPr>
      </w:pPr>
      <w:r>
        <w:rPr>
          <w:rFonts w:hint="eastAsia" w:ascii="仿宋_GB2312" w:hAnsi="宋体" w:eastAsia="仿宋_GB2312"/>
          <w:b/>
          <w:bCs/>
          <w:sz w:val="28"/>
          <w:szCs w:val="28"/>
        </w:rPr>
        <w:t>八、本办法由市园林环卫局负责解释。</w:t>
      </w:r>
    </w:p>
    <w:p w14:paraId="547CCAED"/>
    <w:p w14:paraId="7238BD08">
      <w:bookmarkStart w:id="7" w:name="_GoBack"/>
      <w:bookmarkEnd w:id="7"/>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194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cs="Times New Roman"/>
      <w:sz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Indent"/>
    <w:basedOn w:val="1"/>
    <w:next w:val="1"/>
    <w:qFormat/>
    <w:uiPriority w:val="0"/>
    <w:pPr>
      <w:spacing w:line="460" w:lineRule="exact"/>
      <w:ind w:firstLine="480" w:firstLineChars="200"/>
    </w:pPr>
    <w:rPr>
      <w:rFonts w:ascii="宋体" w:hAnsi="宋体" w:eastAsia="宋体" w:cs="Times New Roman"/>
      <w:sz w:val="24"/>
    </w:rPr>
  </w:style>
  <w:style w:type="paragraph" w:styleId="5">
    <w:name w:val="header"/>
    <w:basedOn w:val="1"/>
    <w:next w:val="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customStyle="1" w:styleId="8">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9">
    <w:name w:val="投标正文"/>
    <w:basedOn w:val="1"/>
    <w:qFormat/>
    <w:uiPriority w:val="0"/>
    <w:pPr>
      <w:adjustRightInd w:val="0"/>
      <w:snapToGrid w:val="0"/>
      <w:spacing w:beforeLines="50" w:afterLines="50" w:line="360" w:lineRule="auto"/>
      <w:ind w:firstLine="200" w:firstLineChars="200"/>
      <w:jc w:val="left"/>
    </w:pPr>
    <w:rPr>
      <w:rFonts w:ascii="微软雅黑" w:hAnsi="微软雅黑" w:eastAsia="微软雅黑"/>
      <w:szCs w:val="32"/>
      <w:lang w:eastAsia="en-US"/>
    </w:rPr>
  </w:style>
  <w:style w:type="paragraph" w:customStyle="1" w:styleId="10">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2025-06-04T09:17:49Z</dcterms:created>
  <dc:creator>Administrator</dc:creator>
  <cp:lastModifiedBy>vampire。</cp:lastModifiedBy>
  <dcterms:modified xsi:type="dcterms:W3CDTF">2025-06-04T09:18:12Z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eyJoZGlkIjoiOWNiZDg5M2I3OTFlM2M5M2E0NGQxYTU4ZDE1ZjdlNDkiLCJ1c2VySWQiOiIyODM3NjIyNTYifQ==</vt:lpwstr>
  </property>
  <property fmtid="{D5CDD505-2E9C-101B-9397-08002B2CF9AE}" pid="4" name="ICV">
    <vt:lpwstr>580A3FA8DE804302AB16D94EEB9C6E0F_12</vt:lpwstr>
  </property>
</Properties>
</file>