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lang w:val="en-US" w:eastAsia="zh-CN"/>
        </w:rPr>
      </w:pPr>
      <w:r>
        <w:rPr>
          <w:rFonts w:hint="eastAsia"/>
          <w:b/>
          <w:bCs/>
          <w:sz w:val="28"/>
          <w:szCs w:val="36"/>
          <w:lang w:val="en-US" w:eastAsia="zh-CN"/>
        </w:rPr>
        <w:t>其他说明</w:t>
      </w:r>
    </w:p>
    <w:p>
      <w:pPr>
        <w:pStyle w:val="6"/>
        <w:keepNext w:val="0"/>
        <w:keepLines w:val="0"/>
        <w:pageBreakBefore w:val="0"/>
        <w:widowControl w:val="0"/>
        <w:numPr>
          <w:ilvl w:val="0"/>
          <w:numId w:val="0"/>
        </w:numPr>
        <w:tabs>
          <w:tab w:val="left" w:pos="425"/>
        </w:tabs>
        <w:kinsoku w:val="0"/>
        <w:wordWrap w:val="0"/>
        <w:overflowPunct w:val="0"/>
        <w:topLinePunct w:val="0"/>
        <w:autoSpaceDE w:val="0"/>
        <w:autoSpaceDN w:val="0"/>
        <w:bidi w:val="0"/>
        <w:adjustRightInd/>
        <w:snapToGrid w:val="0"/>
        <w:spacing w:before="0" w:after="0" w:line="360" w:lineRule="auto"/>
        <w:jc w:val="left"/>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w:t>
      </w:r>
    </w:p>
    <w:p>
      <w:pPr>
        <w:pStyle w:val="6"/>
        <w:keepNext w:val="0"/>
        <w:keepLines w:val="0"/>
        <w:pageBreakBefore w:val="0"/>
        <w:widowControl w:val="0"/>
        <w:numPr>
          <w:ilvl w:val="0"/>
          <w:numId w:val="0"/>
        </w:numPr>
        <w:tabs>
          <w:tab w:val="left" w:pos="425"/>
        </w:tabs>
        <w:kinsoku w:val="0"/>
        <w:wordWrap w:val="0"/>
        <w:overflowPunct w:val="0"/>
        <w:topLinePunct w:val="0"/>
        <w:autoSpaceDE w:val="0"/>
        <w:autoSpaceDN w:val="0"/>
        <w:bidi w:val="0"/>
        <w:adjustRightInd/>
        <w:snapToGrid w:val="0"/>
        <w:spacing w:before="0" w:after="0" w:line="360" w:lineRule="auto"/>
        <w:jc w:val="left"/>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 xml:space="preserve">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p>
      <w:pPr>
        <w:numPr>
          <w:ilvl w:val="0"/>
          <w:numId w:val="0"/>
        </w:numPr>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w:t>
      </w:r>
    </w:p>
    <w:p>
      <w:pPr>
        <w:jc w:val="both"/>
        <w:rPr>
          <w:rFonts w:hint="eastAsia" w:ascii="宋体" w:hAnsi="宋体" w:eastAsia="宋体" w:cs="宋体"/>
          <w:b w:val="0"/>
          <w:bCs w:val="0"/>
          <w:kern w:val="0"/>
          <w:sz w:val="24"/>
          <w:szCs w:val="24"/>
          <w:lang w:val="en-US" w:eastAsia="zh-CN" w:bidi="ar-SA"/>
        </w:rPr>
      </w:pPr>
    </w:p>
    <w:p>
      <w:pPr>
        <w:numPr>
          <w:ilvl w:val="0"/>
          <w:numId w:val="1"/>
        </w:numPr>
        <w:jc w:val="both"/>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p>
      <w:pPr>
        <w:pStyle w:val="2"/>
        <w:numPr>
          <w:numId w:val="0"/>
        </w:numPr>
        <w:rPr>
          <w:rFonts w:hint="eastAsia" w:ascii="宋体" w:hAnsi="宋体" w:eastAsia="宋体" w:cs="宋体"/>
          <w:b w:val="0"/>
          <w:bCs w:val="0"/>
          <w:kern w:val="0"/>
          <w:sz w:val="24"/>
          <w:szCs w:val="24"/>
          <w:lang w:val="en-US" w:eastAsia="zh-CN" w:bidi="ar-SA"/>
        </w:rPr>
      </w:pPr>
    </w:p>
    <w:p>
      <w:pPr>
        <w:pStyle w:val="2"/>
        <w:numPr>
          <w:numId w:val="0"/>
        </w:numPr>
        <w:rPr>
          <w:rFonts w:hint="eastAsia" w:ascii="宋体" w:hAnsi="宋体" w:eastAsia="宋体" w:cs="宋体"/>
          <w:b w:val="0"/>
          <w:bCs w:val="0"/>
          <w:kern w:val="0"/>
          <w:sz w:val="24"/>
          <w:szCs w:val="24"/>
          <w:lang w:val="en-US" w:eastAsia="zh-CN" w:bidi="ar-SA"/>
        </w:rPr>
      </w:pPr>
      <w:bookmarkStart w:id="0" w:name="_GoBack"/>
      <w:bookmarkEnd w:id="0"/>
      <w:r>
        <w:rPr>
          <w:rFonts w:hint="eastAsia" w:ascii="宋体" w:hAnsi="宋体" w:eastAsia="宋体" w:cs="宋体"/>
          <w:b w:val="0"/>
          <w:bCs w:val="0"/>
          <w:kern w:val="0"/>
          <w:sz w:val="24"/>
          <w:szCs w:val="24"/>
          <w:lang w:val="en-US" w:eastAsia="zh-CN" w:bidi="ar-SA"/>
        </w:rPr>
        <w:t>14、 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4"/>
        <w:rPr>
          <w:rFonts w:hint="default" w:ascii="宋体" w:hAnsi="宋体" w:eastAsia="宋体" w:cs="宋体"/>
          <w:b w:val="0"/>
          <w:bCs w:val="0"/>
          <w:kern w:val="0"/>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8E8F6"/>
    <w:multiLevelType w:val="singleLevel"/>
    <w:tmpl w:val="0C48E8F6"/>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90D6A"/>
    <w:rsid w:val="05A14F99"/>
    <w:rsid w:val="2CB90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9"/>
    <w:pPr>
      <w:spacing w:before="100" w:beforeAutospacing="1" w:after="100" w:afterAutospacing="1"/>
      <w:outlineLvl w:val="0"/>
    </w:pPr>
    <w:rPr>
      <w:b/>
      <w:bCs/>
      <w:kern w:val="36"/>
      <w:sz w:val="48"/>
      <w:szCs w:val="4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0"/>
    <w:pPr>
      <w:spacing w:after="120" w:line="240" w:lineRule="auto"/>
      <w:ind w:left="420" w:leftChars="200" w:firstLine="420" w:firstLineChars="200"/>
    </w:pPr>
    <w:rPr>
      <w:sz w:val="21"/>
      <w:szCs w:val="21"/>
    </w:rPr>
  </w:style>
  <w:style w:type="paragraph" w:styleId="3">
    <w:name w:val="Body Text Indent"/>
    <w:basedOn w:val="1"/>
    <w:next w:val="1"/>
    <w:qFormat/>
    <w:uiPriority w:val="0"/>
    <w:pPr>
      <w:snapToGrid w:val="0"/>
      <w:spacing w:line="360" w:lineRule="auto"/>
      <w:ind w:firstLine="538" w:firstLineChars="192"/>
    </w:pPr>
    <w:rPr>
      <w:rFonts w:ascii="仿宋_GB2312" w:eastAsia="仿宋_GB2312"/>
      <w:bCs/>
      <w:sz w:val="28"/>
      <w:szCs w:val="28"/>
    </w:rPr>
  </w:style>
  <w:style w:type="paragraph" w:styleId="4">
    <w:name w:val="Body Text"/>
    <w:basedOn w:val="1"/>
    <w:next w:val="5"/>
    <w:qFormat/>
    <w:uiPriority w:val="99"/>
    <w:pPr>
      <w:spacing w:after="120"/>
    </w:pPr>
  </w:style>
  <w:style w:type="paragraph" w:customStyle="1" w:styleId="5">
    <w:name w:val="引用1"/>
    <w:basedOn w:val="1"/>
    <w:next w:val="1"/>
    <w:qFormat/>
    <w:uiPriority w:val="99"/>
    <w:rPr>
      <w:rFonts w:ascii="Calibri" w:hAnsi="Calibri" w:cs="Calibri"/>
      <w:i/>
      <w:iCs/>
      <w:color w:val="000000"/>
      <w:sz w:val="22"/>
    </w:rPr>
  </w:style>
  <w:style w:type="paragraph" w:styleId="7">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1</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2025-07-07T11:37:00Z</dcterms:created>
  <dc:creator>1</dc:creator>
  <cp:lastModifiedBy>1</cp:lastModifiedBy>
  <dcterms:modified xsi:type="dcterms:W3CDTF">2025-07-07T11:45:06Z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E1EBEC81151C4D4EAEDFB6207E723D75</vt:lpwstr>
  </property>
</Properties>
</file>