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海口市人民医院零星维修项目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HNRW-ZFCS2025022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海南融伟招标代理有限公司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海口市人民医院</w:t>
      </w:r>
      <w:r>
        <w:rPr>
          <w:rFonts w:ascii="仿宋_GB2312" w:hAnsi="仿宋_GB2312" w:cs="仿宋_GB2312" w:eastAsia="仿宋_GB2312"/>
        </w:rPr>
        <w:t xml:space="preserve"> 的委托， </w:t>
      </w:r>
      <w:r>
        <w:rPr>
          <w:rFonts w:ascii="仿宋_GB2312" w:hAnsi="仿宋_GB2312" w:cs="仿宋_GB2312" w:eastAsia="仿宋_GB2312"/>
        </w:rPr>
        <w:t>海南融伟招标代理有限公司</w:t>
      </w:r>
      <w:r>
        <w:rPr>
          <w:rFonts w:ascii="仿宋_GB2312" w:hAnsi="仿宋_GB2312" w:cs="仿宋_GB2312" w:eastAsia="仿宋_GB2312"/>
        </w:rPr>
        <w:t xml:space="preserve"> 对 </w:t>
      </w:r>
      <w:r>
        <w:rPr>
          <w:rFonts w:ascii="仿宋_GB2312" w:hAnsi="仿宋_GB2312" w:cs="仿宋_GB2312" w:eastAsia="仿宋_GB2312"/>
        </w:rPr>
        <w:t>海口市人民医院零星维修项目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HNRW-ZFCS2025022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海口市人民医院零星维修项目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4,800,000.00元</w:t>
      </w:r>
      <w:r>
        <w:rPr>
          <w:rFonts w:ascii="仿宋_GB2312" w:hAnsi="仿宋_GB2312" w:cs="仿宋_GB2312" w:eastAsia="仿宋_GB2312"/>
        </w:rPr>
        <w:t>肆佰捌拾万元整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 注：可提供查询结果截图加盖公章，或提交承诺函</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pPr>
      <w:r>
        <w:rPr>
          <w:rFonts w:ascii="仿宋_GB2312" w:hAnsi="仿宋_GB2312" w:cs="仿宋_GB2312" w:eastAsia="仿宋_GB2312"/>
        </w:rPr>
        <w:t>3、资质要求：供应商须具有建设行政主管部门颁发的有效的安全生产许可证，且具备建设行政主管部门核发的建筑工程施工总承包叁级（含）以上资质或根据《住房和城乡建设部关于印发建设工程企业资质管理制度改革方案的通知（【建市〔2022〕94 号】）换发新证的建筑工程施工总承包乙级（含）以上资质（提供证书复印件加盖公章）。</w:t>
      </w:r>
    </w:p>
    <w:p>
      <w:pPr>
        <w:pStyle w:val="null3"/>
        <w:jc w:val="left"/>
      </w:pPr>
      <w:r>
        <w:rPr>
          <w:rFonts w:ascii="仿宋_GB2312" w:hAnsi="仿宋_GB2312" w:cs="仿宋_GB2312" w:eastAsia="仿宋_GB2312"/>
        </w:rPr>
        <w:t>4、项目负责人要求：拟派项目经理要求持有在有效期内建筑工程专业二级（含）以上建造师注册证，且未担任其他在施建设工程项目的项目经理（提供证书复印件加盖公章、项目经理无在施建设工程承诺函、项目经理在本单位缴交社保承诺函（格式自拟））</w:t>
      </w:r>
    </w:p>
    <w:p>
      <w:pPr>
        <w:pStyle w:val="null3"/>
        <w:jc w:val="left"/>
      </w:pPr>
      <w:r>
        <w:rPr>
          <w:rFonts w:ascii="仿宋_GB2312" w:hAnsi="仿宋_GB2312" w:cs="仿宋_GB2312" w:eastAsia="仿宋_GB2312"/>
        </w:rPr>
        <w:t>5、专业承包资质要求：供应商须具有具备建设行政主管部门核发的建筑幕墙工程专业承包叁级（含）以上资质； 注：提供证书复印件加盖公章</w:t>
      </w:r>
    </w:p>
    <w:p>
      <w:pPr>
        <w:pStyle w:val="null3"/>
        <w:jc w:val="left"/>
      </w:pPr>
      <w:r>
        <w:rPr>
          <w:rFonts w:ascii="仿宋_GB2312" w:hAnsi="仿宋_GB2312" w:cs="仿宋_GB2312" w:eastAsia="仿宋_GB2312"/>
        </w:rPr>
        <w:t>6、具备《海南省建筑企业诚信档案手册》登记，并打印信息平台生成的诚信档案手册：具备《海南省建筑企业诚信档案手册》登记，并打印信息平台生成的诚信档案手册</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www.ccgp-hainan.gov.cn/)。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 3、本项目采用总价及下浮率结合的方式进行报价；如：报价4320000.00元，下浮率为：10%，下浮率与所报的总价金额下浮比率要对应，否则视为无效响应。</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叶倩</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0898-66189960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海南融伟招标代理有限公司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海南省海口市美兰区南宝路39号中洋花苑3号楼801房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容惠明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0898-66779179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说明：中标（成交）人应在合同签订之前向采购人交纳磋商文件规定数额的履约保证金，金额为合同金额的 3%，以银行转账、支票、汇票、本票或者金融机构、担保机构出具的保函等非现金形式提交。</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自投标截止之日起90天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代理服务费收费标准：参照国家计委计价格[2002]1980号及发改办价格[2003]857号通知规定收取，由中标（成交）供应商在领取成交通知书前向招标代理机构缴纳招标代理服务费。 支付形式：银行转账或现金 开户名: 海南融伟招标代理有限公司 开户行: 海口农村商业银行股份有限公司国兴支行 账 号: 1012 1938 0000 0107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（一）投标(响应)报价低于全部通过符合性审查供应商投标(响应)报价平均值50%的，即投标(响应)报价&lt;全部通过符合性审查供应商投标(响应)报价平均值x50%； （二）投标(响应)报价低于通过符合性审查且报价次低供应商投标(响应)报价50%的，即投标(响应)报价&lt;通过符合性审查且报价次低供应商投标(响应)报价x50%； （三）投标(响应)报价低于采购项目最高限价45%的，即投标(响应)报价&lt;采购项目最高限价x45%；（四）其他评审委员会认为供应商报价过低，有可能影响产品质量或者不能诚信履约的情形。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16.2(1) 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5%的扣除，用扣除后的价格参加评审。 (2) 接受大中型企业与小微企业组成联合体或者允许大中型企业向一家或者多家小微企业分包的采购项目，采购人、招标代理机构应当对联合体或者大中型企业的报价给予2%的扣除，用扣除后的价格参加评审。组成联合体或者接受分包的小微企业与联合体内其他企业、分包企业之间存在直接控股、管理关系的,不享受价格扣除优惠政策； （3）根据《政府采购促进中小企业发展管理办法》（财库〔2020〕46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16.3根据工信部等部委发布的《关于印发中小企业划型标准规定的通知》(工信部联企业(2011) 300号)；16.4磋商小组由采购人代表、评审专家组成，磋商小组专家共 3 名，其中采购人代表 1名，其他专家 2 名全部在海南省综合评标专家库中随机抽取，该磋商小组独立工作，负责评审所有响应文件并推荐成交候选人。16.5中标供应商在领取成交通知书时向采购代理机构提供3份胶装版纸质响应文件，须与在系统递交的电子版文件一致；16.6，本项目采用总价及下浮率结合的方式进行报价；如：报价4320000.00元，下浮率为：10%，下浮率与所报的总价金额下浮比率要对应，否则视为无效响应。</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联系人：容惠明</w:t>
      </w:r>
    </w:p>
    <w:p>
      <w:pPr>
        <w:pStyle w:val="null3"/>
        <w:jc w:val="left"/>
      </w:pPr>
      <w:r>
        <w:rPr>
          <w:rFonts w:ascii="仿宋_GB2312" w:hAnsi="仿宋_GB2312" w:cs="仿宋_GB2312" w:eastAsia="仿宋_GB2312"/>
        </w:rPr>
        <w:t>联系电话：0898-66779179</w:t>
      </w:r>
    </w:p>
    <w:p>
      <w:pPr>
        <w:pStyle w:val="null3"/>
        <w:jc w:val="left"/>
      </w:pPr>
      <w:r>
        <w:rPr>
          <w:rFonts w:ascii="仿宋_GB2312" w:hAnsi="仿宋_GB2312" w:cs="仿宋_GB2312" w:eastAsia="仿宋_GB2312"/>
        </w:rPr>
        <w:t>地址：海南省海口市美兰区南宝路39号中洋花苑3号楼801房</w:t>
      </w:r>
    </w:p>
    <w:p>
      <w:pPr>
        <w:pStyle w:val="null3"/>
        <w:jc w:val="left"/>
      </w:pPr>
      <w:r>
        <w:rPr>
          <w:rFonts w:ascii="仿宋_GB2312" w:hAnsi="仿宋_GB2312" w:cs="仿宋_GB2312" w:eastAsia="仿宋_GB2312"/>
        </w:rPr>
        <w:t>邮编：571000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1、项目名称：海口市人民医院零星维修项目</w:t>
      </w:r>
    </w:p>
    <w:p>
      <w:pPr>
        <w:pStyle w:val="null3"/>
        <w:ind w:firstLine="400"/>
        <w:jc w:val="left"/>
      </w:pPr>
      <w:r>
        <w:rPr>
          <w:rFonts w:ascii="仿宋_GB2312" w:hAnsi="仿宋_GB2312" w:cs="仿宋_GB2312" w:eastAsia="仿宋_GB2312"/>
        </w:rPr>
        <w:t>2、预算金额：人民币肆佰捌拾万元整（￥4800000.00元），本项目采用总价及下浮率结合的方式进行报价；如：报价4320000.00元，下浮率为：10%，下浮率与所报的总价金额下浮比率要对应，否则视为无效响应。</w:t>
      </w:r>
    </w:p>
    <w:p>
      <w:pPr>
        <w:pStyle w:val="null3"/>
        <w:ind w:firstLine="40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4,800,000.00</w:t>
      </w:r>
    </w:p>
    <w:p>
      <w:pPr>
        <w:pStyle w:val="null3"/>
        <w:jc w:val="left"/>
      </w:pPr>
      <w:r>
        <w:rPr>
          <w:rFonts w:ascii="仿宋_GB2312" w:hAnsi="仿宋_GB2312" w:cs="仿宋_GB2312" w:eastAsia="仿宋_GB2312"/>
        </w:rPr>
        <w:t>采购包最高限价（元）: 4,800,000.00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B01010000-办公用房施工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海口市人民医院零星维修项目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本项目采用总价及下浮率结合的方式进行报价；如：报价4320000.00元，下浮率为：10%，下浮率与所报的总价金额下浮比率要对应，否则视为无效响应。</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标的名称：B01010000-办公用房施工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0"/>
              <w:jc w:val="left"/>
            </w:pPr>
            <w:r>
              <w:rPr>
                <w:rFonts w:ascii="仿宋_GB2312" w:hAnsi="仿宋_GB2312" w:cs="仿宋_GB2312" w:eastAsia="仿宋_GB2312"/>
                <w:sz w:val="24"/>
              </w:rPr>
              <w:t>1.项目概要：本项目主要为海口市人民医院零星维修项目（土建.装饰装修.维修.给排水.暖通电气.门禁维修.定制办公相关配套设施和市政设施等），维修范围： 第0、1、2、3、4、5、6、7、8、9、10、11、12、13号楼及其周边公共区域，海港社区、龙昆南社区、得胜沙社区和博爱社区的零星维修工程。</w:t>
            </w:r>
          </w:p>
          <w:p>
            <w:pPr>
              <w:pStyle w:val="null3"/>
              <w:ind w:firstLine="420"/>
              <w:jc w:val="left"/>
            </w:pPr>
            <w:r>
              <w:rPr>
                <w:rFonts w:ascii="仿宋_GB2312" w:hAnsi="仿宋_GB2312" w:cs="仿宋_GB2312" w:eastAsia="仿宋_GB2312"/>
                <w:sz w:val="24"/>
              </w:rPr>
              <w:t>2.项目招标的对象：为我单位确定零星工程施工单位。</w:t>
            </w:r>
          </w:p>
          <w:p>
            <w:pPr>
              <w:pStyle w:val="null3"/>
              <w:ind w:firstLine="420"/>
              <w:jc w:val="left"/>
            </w:pPr>
            <w:r>
              <w:rPr>
                <w:rFonts w:ascii="仿宋_GB2312" w:hAnsi="仿宋_GB2312" w:cs="仿宋_GB2312" w:eastAsia="仿宋_GB2312"/>
                <w:sz w:val="24"/>
              </w:rPr>
              <w:t>3.服务响应要求：提供24小时技术支持和服务，2小时内作出实质性响应。对于未能及时响应服务需求的，需提供一份未能响应的原因纸质版，签字加盖公章移交给采购人。</w:t>
            </w:r>
          </w:p>
          <w:p>
            <w:pPr>
              <w:pStyle w:val="null3"/>
              <w:ind w:firstLine="420"/>
              <w:jc w:val="left"/>
            </w:pPr>
            <w:r>
              <w:rPr>
                <w:rFonts w:ascii="仿宋_GB2312" w:hAnsi="仿宋_GB2312" w:cs="仿宋_GB2312" w:eastAsia="仿宋_GB2312"/>
                <w:sz w:val="24"/>
              </w:rPr>
              <w:t>4.保修期内，乙方须尽保修义务，若因乙方施工质量所产生的质量问题，乙方应根据甲方的需求在指定时间内派人进行修复，其费用由乙方承担。如乙方不按约定期限内派人修理，甲方可委托其他人员修理，修理费由乙方承担。</w:t>
            </w:r>
          </w:p>
          <w:p>
            <w:pPr>
              <w:pStyle w:val="null3"/>
              <w:ind w:firstLine="420"/>
              <w:jc w:val="left"/>
            </w:pPr>
            <w:r>
              <w:rPr>
                <w:rFonts w:ascii="仿宋_GB2312" w:hAnsi="仿宋_GB2312" w:cs="仿宋_GB2312" w:eastAsia="仿宋_GB2312"/>
                <w:sz w:val="24"/>
              </w:rPr>
              <w:t>5.中标方各季度的考核分数需达到90分以上办理结算（详见附表1：季度考核表），未达到分数需整改完成后方可办理结算，办理结算前须向采购方提供完整纸质版及电子版资料，采购方办理结算业务，待审计完成，中标方开具等额有效发票，采购人根据审计金额按照下浮率在90日内支付工程款。</w:t>
            </w:r>
          </w:p>
          <w:p>
            <w:pPr>
              <w:pStyle w:val="null3"/>
              <w:ind w:firstLine="420"/>
              <w:jc w:val="left"/>
            </w:pPr>
            <w:r>
              <w:rPr>
                <w:rFonts w:ascii="仿宋_GB2312" w:hAnsi="仿宋_GB2312" w:cs="仿宋_GB2312" w:eastAsia="仿宋_GB2312"/>
                <w:sz w:val="24"/>
              </w:rPr>
              <w:t>6.成交供应商须签署安全生产责任书，认真贯彻“安全第一，预防为主”的方针，做好人身安全、设备安全、消防安全、环境安全等和各项保障措施，消除施工人员和施工现场不稳定因素。</w:t>
            </w:r>
          </w:p>
          <w:p>
            <w:pPr>
              <w:pStyle w:val="null3"/>
              <w:ind w:firstLine="420"/>
              <w:jc w:val="left"/>
            </w:pPr>
            <w:r>
              <w:rPr>
                <w:rFonts w:ascii="仿宋_GB2312" w:hAnsi="仿宋_GB2312" w:cs="仿宋_GB2312" w:eastAsia="仿宋_GB2312"/>
                <w:sz w:val="24"/>
              </w:rPr>
              <w:t>7.严格执行施工规范、安全操作规程、防火安全规定及环境保护规定，施工期间做好防火、防盗等工作、控制污染、保护环境。</w:t>
            </w:r>
          </w:p>
          <w:p>
            <w:pPr>
              <w:pStyle w:val="null3"/>
              <w:ind w:firstLine="420"/>
              <w:jc w:val="left"/>
            </w:pPr>
            <w:r>
              <w:rPr>
                <w:rFonts w:ascii="仿宋_GB2312" w:hAnsi="仿宋_GB2312" w:cs="仿宋_GB2312" w:eastAsia="仿宋_GB2312"/>
                <w:sz w:val="24"/>
              </w:rPr>
              <w:t>8.要确保施工工人的安全问题，如施工期间工人产生任何安全问题均视为中标方监管不周，中标方承担工人的全部责任并向采购人提交情况说明纸质版盖公章一份。</w:t>
            </w:r>
          </w:p>
          <w:p>
            <w:pPr>
              <w:pStyle w:val="null3"/>
              <w:ind w:firstLine="420"/>
              <w:jc w:val="left"/>
            </w:pPr>
            <w:r>
              <w:rPr>
                <w:rFonts w:ascii="仿宋_GB2312" w:hAnsi="仿宋_GB2312" w:cs="仿宋_GB2312" w:eastAsia="仿宋_GB2312"/>
                <w:sz w:val="24"/>
              </w:rPr>
              <w:t>9.施工期间要做好施工围挡等安全工作，严禁对患者和医护人员等造成噪声、污染等危害，造成不良影响须由成交供应商承担。</w:t>
            </w:r>
          </w:p>
          <w:p>
            <w:pPr>
              <w:pStyle w:val="null3"/>
              <w:ind w:firstLine="420"/>
              <w:jc w:val="left"/>
            </w:pPr>
            <w:r>
              <w:rPr>
                <w:rFonts w:ascii="仿宋_GB2312" w:hAnsi="仿宋_GB2312" w:cs="仿宋_GB2312" w:eastAsia="仿宋_GB2312"/>
                <w:sz w:val="24"/>
              </w:rPr>
              <w:t>10.施工期间产生的建筑垃圾需当日清理带走，未经采购人同意不得存放在院内及周边；成交供应商未及时清理垃圾，采购方有权不支付垃圾清理费用。</w:t>
            </w:r>
          </w:p>
          <w:p>
            <w:pPr>
              <w:pStyle w:val="null3"/>
              <w:ind w:firstLine="420"/>
              <w:jc w:val="left"/>
            </w:pPr>
            <w:r>
              <w:rPr>
                <w:rFonts w:ascii="仿宋_GB2312" w:hAnsi="仿宋_GB2312" w:cs="仿宋_GB2312" w:eastAsia="仿宋_GB2312"/>
                <w:sz w:val="24"/>
              </w:rPr>
              <w:t>11.施工期间不得虚报工程量，如采购人在验收及核验期间发现工程量与实际不符，需立即更正。如多次发现或者不及时更正造成恶劣影响的，采购人有权驳回合约关系，后果由中标方全部承担。</w:t>
            </w:r>
          </w:p>
          <w:p>
            <w:pPr>
              <w:pStyle w:val="null3"/>
              <w:ind w:firstLine="420"/>
              <w:jc w:val="left"/>
            </w:pPr>
            <w:r>
              <w:rPr>
                <w:rFonts w:ascii="仿宋_GB2312" w:hAnsi="仿宋_GB2312" w:cs="仿宋_GB2312" w:eastAsia="仿宋_GB2312"/>
                <w:sz w:val="24"/>
              </w:rPr>
              <w:t>12.施工单位接到的项目应积极与申请科室和经办人沟通，确认好需求后再动工，未完成的项目需和申请单位确认好维修时间，如因不沟通和迟迟未施工导致施工面扩大的，多出量由中标方自行承担。</w:t>
            </w:r>
          </w:p>
          <w:p>
            <w:pPr>
              <w:pStyle w:val="null3"/>
              <w:ind w:firstLine="420"/>
              <w:jc w:val="left"/>
            </w:pPr>
            <w:r>
              <w:rPr>
                <w:rFonts w:ascii="仿宋_GB2312" w:hAnsi="仿宋_GB2312" w:cs="仿宋_GB2312" w:eastAsia="仿宋_GB2312"/>
                <w:sz w:val="24"/>
              </w:rPr>
              <w:t>13.已完成的项目若无特殊原因需在半年内交由经办人办理结算，若超出时间还未交付的项目导致无法结算，后果由中标方承担。</w:t>
            </w:r>
          </w:p>
          <w:p>
            <w:pPr>
              <w:pStyle w:val="null3"/>
              <w:ind w:firstLine="420"/>
              <w:jc w:val="left"/>
            </w:pPr>
            <w:r>
              <w:rPr>
                <w:rFonts w:ascii="仿宋_GB2312" w:hAnsi="仿宋_GB2312" w:cs="仿宋_GB2312" w:eastAsia="仿宋_GB2312"/>
                <w:sz w:val="24"/>
              </w:rPr>
              <w:t>14.最终费用以实际工程量及中标下浮率结算为准，成交供应商须做好施工过程记录证明。</w:t>
            </w:r>
          </w:p>
          <w:p>
            <w:pPr>
              <w:pStyle w:val="null3"/>
              <w:jc w:val="both"/>
            </w:pPr>
            <w:r>
              <w:rPr>
                <w:rFonts w:ascii="仿宋_GB2312" w:hAnsi="仿宋_GB2312" w:cs="仿宋_GB2312" w:eastAsia="仿宋_GB2312"/>
                <w:sz w:val="24"/>
              </w:rPr>
              <w:t xml:space="preserve">      15.未尽事宜由招标人与被选中的施工单位在合同中详细约定。</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19"/>
                    </w:rPr>
                    <w:t>附表</w:t>
                  </w:r>
                  <w:r>
                    <w:rPr>
                      <w:rFonts w:ascii="仿宋_GB2312" w:hAnsi="仿宋_GB2312" w:cs="仿宋_GB2312" w:eastAsia="仿宋_GB2312"/>
                      <w:sz w:val="19"/>
                    </w:rPr>
                    <w:t>1</w:t>
                  </w:r>
                  <w:r>
                    <w:rPr>
                      <w:rFonts w:ascii="仿宋_GB2312" w:hAnsi="仿宋_GB2312" w:cs="仿宋_GB2312" w:eastAsia="仿宋_GB2312"/>
                      <w:sz w:val="19"/>
                    </w:rPr>
                    <w:t>：季度考核表</w:t>
                  </w:r>
                </w:p>
                <w:tbl>
                  <w:tblPr>
                    <w:tblBorders>
                      <w:top w:val="none" w:color="000000" w:sz="4"/>
                      <w:left w:val="none" w:color="000000" w:sz="4"/>
                      <w:bottom w:val="none" w:color="000000" w:sz="4"/>
                      <w:right w:val="none" w:color="000000" w:sz="4"/>
                      <w:insideH w:val="none"/>
                      <w:insideV w:val="none"/>
                    </w:tblBorders>
                  </w:tblPr>
                  <w:tblGrid>
                    <w:gridCol w:w="195"/>
                    <w:gridCol w:w="623"/>
                    <w:gridCol w:w="339"/>
                    <w:gridCol w:w="534"/>
                    <w:gridCol w:w="313"/>
                    <w:gridCol w:w="318"/>
                  </w:tblGrid>
                  <w:tr>
                    <w:tc>
                      <w:tcPr>
                        <w:tcW w:type="dxa" w:w="2322"/>
                        <w:gridSpan w:val="6"/>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海口市人民医院零星维修季度考核表</w:t>
                        </w:r>
                      </w:p>
                    </w:tc>
                  </w:tr>
                  <w:tr>
                    <w:tc>
                      <w:tcPr>
                        <w:tcW w:type="dxa" w:w="19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类别</w:t>
                        </w:r>
                      </w:p>
                    </w:tc>
                    <w:tc>
                      <w:tcPr>
                        <w:tcW w:type="dxa" w:w="6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考核评分项目</w:t>
                        </w:r>
                      </w:p>
                    </w:tc>
                    <w:tc>
                      <w:tcPr>
                        <w:tcW w:type="dxa" w:w="33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基础分数</w:t>
                        </w:r>
                      </w:p>
                    </w:tc>
                    <w:tc>
                      <w:tcPr>
                        <w:tcW w:type="dxa" w:w="53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评分标准</w:t>
                        </w:r>
                      </w:p>
                    </w:tc>
                    <w:tc>
                      <w:tcPr>
                        <w:tcW w:type="dxa" w:w="31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扣分</w:t>
                        </w:r>
                      </w:p>
                    </w:tc>
                    <w:tc>
                      <w:tcPr>
                        <w:tcW w:type="dxa" w:w="31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得分</w:t>
                        </w:r>
                      </w:p>
                    </w:tc>
                  </w:tr>
                  <w:tr>
                    <w:tc>
                      <w:tcPr>
                        <w:tcW w:type="dxa" w:w="19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施工管理（</w:t>
                        </w:r>
                        <w:r>
                          <w:rPr>
                            <w:rFonts w:ascii="仿宋_GB2312" w:hAnsi="仿宋_GB2312" w:cs="仿宋_GB2312" w:eastAsia="仿宋_GB2312"/>
                            <w:sz w:val="19"/>
                          </w:rPr>
                          <w:t>35</w:t>
                        </w:r>
                        <w:r>
                          <w:rPr>
                            <w:rFonts w:ascii="仿宋_GB2312" w:hAnsi="仿宋_GB2312" w:cs="仿宋_GB2312" w:eastAsia="仿宋_GB2312"/>
                            <w:sz w:val="19"/>
                          </w:rPr>
                          <w:t>分）</w:t>
                        </w: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1.</w:t>
                        </w:r>
                        <w:r>
                          <w:rPr>
                            <w:rFonts w:ascii="仿宋_GB2312" w:hAnsi="仿宋_GB2312" w:cs="仿宋_GB2312" w:eastAsia="仿宋_GB2312"/>
                            <w:sz w:val="19"/>
                          </w:rPr>
                          <w:t>服从管理，遵守规章制度，充分配合院内开展施工</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5</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未满足</w:t>
                        </w:r>
                        <w:r>
                          <w:rPr>
                            <w:rFonts w:ascii="仿宋_GB2312" w:hAnsi="仿宋_GB2312" w:cs="仿宋_GB2312" w:eastAsia="仿宋_GB2312"/>
                            <w:sz w:val="19"/>
                          </w:rPr>
                          <w:t>1</w:t>
                        </w:r>
                        <w:r>
                          <w:rPr>
                            <w:rFonts w:ascii="仿宋_GB2312" w:hAnsi="仿宋_GB2312" w:cs="仿宋_GB2312" w:eastAsia="仿宋_GB2312"/>
                            <w:sz w:val="19"/>
                          </w:rPr>
                          <w:t>次，扣</w:t>
                        </w:r>
                        <w:r>
                          <w:rPr>
                            <w:rFonts w:ascii="仿宋_GB2312" w:hAnsi="仿宋_GB2312" w:cs="仿宋_GB2312" w:eastAsia="仿宋_GB2312"/>
                            <w:sz w:val="19"/>
                          </w:rPr>
                          <w:t>1</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按时进场，施工有序，遵守工期，责任明确到位</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6</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每提前完成</w:t>
                        </w:r>
                        <w:r>
                          <w:rPr>
                            <w:rFonts w:ascii="仿宋_GB2312" w:hAnsi="仿宋_GB2312" w:cs="仿宋_GB2312" w:eastAsia="仿宋_GB2312"/>
                            <w:sz w:val="19"/>
                          </w:rPr>
                          <w:t>1</w:t>
                        </w:r>
                        <w:r>
                          <w:rPr>
                            <w:rFonts w:ascii="仿宋_GB2312" w:hAnsi="仿宋_GB2312" w:cs="仿宋_GB2312" w:eastAsia="仿宋_GB2312"/>
                            <w:sz w:val="19"/>
                          </w:rPr>
                          <w:t>次，加</w:t>
                        </w:r>
                        <w:r>
                          <w:rPr>
                            <w:rFonts w:ascii="仿宋_GB2312" w:hAnsi="仿宋_GB2312" w:cs="仿宋_GB2312" w:eastAsia="仿宋_GB2312"/>
                            <w:sz w:val="19"/>
                          </w:rPr>
                          <w:t>0.5</w:t>
                        </w:r>
                        <w:r>
                          <w:rPr>
                            <w:rFonts w:ascii="仿宋_GB2312" w:hAnsi="仿宋_GB2312" w:cs="仿宋_GB2312" w:eastAsia="仿宋_GB2312"/>
                            <w:sz w:val="19"/>
                          </w:rPr>
                          <w:t>分，每滞后完成</w:t>
                        </w:r>
                        <w:r>
                          <w:rPr>
                            <w:rFonts w:ascii="仿宋_GB2312" w:hAnsi="仿宋_GB2312" w:cs="仿宋_GB2312" w:eastAsia="仿宋_GB2312"/>
                            <w:sz w:val="19"/>
                          </w:rPr>
                          <w:t>1</w:t>
                        </w:r>
                        <w:r>
                          <w:rPr>
                            <w:rFonts w:ascii="仿宋_GB2312" w:hAnsi="仿宋_GB2312" w:cs="仿宋_GB2312" w:eastAsia="仿宋_GB2312"/>
                            <w:sz w:val="19"/>
                          </w:rPr>
                          <w:t>次，扣</w:t>
                        </w:r>
                        <w:r>
                          <w:rPr>
                            <w:rFonts w:ascii="仿宋_GB2312" w:hAnsi="仿宋_GB2312" w:cs="仿宋_GB2312" w:eastAsia="仿宋_GB2312"/>
                            <w:sz w:val="19"/>
                          </w:rPr>
                          <w:t>0.5</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施工设计方案等制定报批完善</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6</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未按照使用科室或管理部门同意而实施的，每次扣</w:t>
                        </w:r>
                        <w:r>
                          <w:rPr>
                            <w:rFonts w:ascii="仿宋_GB2312" w:hAnsi="仿宋_GB2312" w:cs="仿宋_GB2312" w:eastAsia="仿宋_GB2312"/>
                            <w:sz w:val="19"/>
                          </w:rPr>
                          <w:t>2</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根据用户需求提出欠考虑的因素，并提出建设性意见</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6</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每提出</w:t>
                        </w:r>
                        <w:r>
                          <w:rPr>
                            <w:rFonts w:ascii="仿宋_GB2312" w:hAnsi="仿宋_GB2312" w:cs="仿宋_GB2312" w:eastAsia="仿宋_GB2312"/>
                            <w:sz w:val="19"/>
                          </w:rPr>
                          <w:t>1</w:t>
                        </w:r>
                        <w:r>
                          <w:rPr>
                            <w:rFonts w:ascii="仿宋_GB2312" w:hAnsi="仿宋_GB2312" w:cs="仿宋_GB2312" w:eastAsia="仿宋_GB2312"/>
                            <w:sz w:val="19"/>
                          </w:rPr>
                          <w:t>次积极性意见，加</w:t>
                        </w:r>
                        <w:r>
                          <w:rPr>
                            <w:rFonts w:ascii="仿宋_GB2312" w:hAnsi="仿宋_GB2312" w:cs="仿宋_GB2312" w:eastAsia="仿宋_GB2312"/>
                            <w:sz w:val="19"/>
                          </w:rPr>
                          <w:t>1</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做好建材记录，施工前、中、后影像记录，统计工作，规范台账资料</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6</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未按规范要求及时完整收集施工相关资料，发现一项扣</w:t>
                        </w:r>
                        <w:r>
                          <w:rPr>
                            <w:rFonts w:ascii="仿宋_GB2312" w:hAnsi="仿宋_GB2312" w:cs="仿宋_GB2312" w:eastAsia="仿宋_GB2312"/>
                            <w:sz w:val="19"/>
                          </w:rPr>
                          <w:t>1</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施工前约定时间内必须到场施工，若有其它合理原因导致工期延后须告知使用单位和管理处</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6</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未告知一次原因合理，扣</w:t>
                        </w:r>
                        <w:r>
                          <w:rPr>
                            <w:rFonts w:ascii="仿宋_GB2312" w:hAnsi="仿宋_GB2312" w:cs="仿宋_GB2312" w:eastAsia="仿宋_GB2312"/>
                            <w:sz w:val="19"/>
                          </w:rPr>
                          <w:t>0.5</w:t>
                        </w:r>
                        <w:r>
                          <w:rPr>
                            <w:rFonts w:ascii="仿宋_GB2312" w:hAnsi="仿宋_GB2312" w:cs="仿宋_GB2312" w:eastAsia="仿宋_GB2312"/>
                            <w:sz w:val="19"/>
                          </w:rPr>
                          <w:t>分；原因不合理，扣</w:t>
                        </w:r>
                        <w:r>
                          <w:rPr>
                            <w:rFonts w:ascii="仿宋_GB2312" w:hAnsi="仿宋_GB2312" w:cs="仿宋_GB2312" w:eastAsia="仿宋_GB2312"/>
                            <w:sz w:val="19"/>
                          </w:rPr>
                          <w:t>1</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施工安全与质量（</w:t>
                        </w:r>
                        <w:r>
                          <w:rPr>
                            <w:rFonts w:ascii="仿宋_GB2312" w:hAnsi="仿宋_GB2312" w:cs="仿宋_GB2312" w:eastAsia="仿宋_GB2312"/>
                            <w:sz w:val="19"/>
                          </w:rPr>
                          <w:t>40</w:t>
                        </w:r>
                        <w:r>
                          <w:rPr>
                            <w:rFonts w:ascii="仿宋_GB2312" w:hAnsi="仿宋_GB2312" w:cs="仿宋_GB2312" w:eastAsia="仿宋_GB2312"/>
                            <w:sz w:val="19"/>
                          </w:rPr>
                          <w:t>分）</w:t>
                        </w: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1.</w:t>
                        </w:r>
                        <w:r>
                          <w:rPr>
                            <w:rFonts w:ascii="仿宋_GB2312" w:hAnsi="仿宋_GB2312" w:cs="仿宋_GB2312" w:eastAsia="仿宋_GB2312"/>
                            <w:sz w:val="19"/>
                          </w:rPr>
                          <w:t>施工人员严格按照规范做好安全防护措施</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15</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发现未采取合理措施，扣</w:t>
                        </w:r>
                        <w:r>
                          <w:rPr>
                            <w:rFonts w:ascii="仿宋_GB2312" w:hAnsi="仿宋_GB2312" w:cs="仿宋_GB2312" w:eastAsia="仿宋_GB2312"/>
                            <w:sz w:val="19"/>
                          </w:rPr>
                          <w:t>3</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施工场地、材料堆放、施工现场标牌等各项文明施工管理均应符合要求</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3</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每发现一处不符合要求扣</w:t>
                        </w:r>
                        <w:r>
                          <w:rPr>
                            <w:rFonts w:ascii="仿宋_GB2312" w:hAnsi="仿宋_GB2312" w:cs="仿宋_GB2312" w:eastAsia="仿宋_GB2312"/>
                            <w:sz w:val="19"/>
                          </w:rPr>
                          <w:t>1</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文明施工，施工现场及时清理</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2</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不符合一次，扣</w:t>
                        </w:r>
                        <w:r>
                          <w:rPr>
                            <w:rFonts w:ascii="仿宋_GB2312" w:hAnsi="仿宋_GB2312" w:cs="仿宋_GB2312" w:eastAsia="仿宋_GB2312"/>
                            <w:sz w:val="19"/>
                          </w:rPr>
                          <w:t>1</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按照工程设计图和技术标准施工，质量有保障。</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10</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每发现一处擅自修改设计、偷工减料，扣</w:t>
                        </w:r>
                        <w:r>
                          <w:rPr>
                            <w:rFonts w:ascii="仿宋_GB2312" w:hAnsi="仿宋_GB2312" w:cs="仿宋_GB2312" w:eastAsia="仿宋_GB2312"/>
                            <w:sz w:val="19"/>
                          </w:rPr>
                          <w:t>3</w:t>
                        </w:r>
                        <w:r>
                          <w:rPr>
                            <w:rFonts w:ascii="仿宋_GB2312" w:hAnsi="仿宋_GB2312" w:cs="仿宋_GB2312" w:eastAsia="仿宋_GB2312"/>
                            <w:sz w:val="19"/>
                          </w:rPr>
                          <w:t>分；</w:t>
                        </w:r>
                        <w:r>
                          <w:br/>
                        </w:r>
                        <w:r>
                          <w:rPr>
                            <w:rFonts w:ascii="仿宋_GB2312" w:hAnsi="仿宋_GB2312" w:cs="仿宋_GB2312" w:eastAsia="仿宋_GB2312"/>
                            <w:sz w:val="19"/>
                          </w:rPr>
                          <w:t>发现一处质量问题，扣</w:t>
                        </w:r>
                        <w:r>
                          <w:rPr>
                            <w:rFonts w:ascii="仿宋_GB2312" w:hAnsi="仿宋_GB2312" w:cs="仿宋_GB2312" w:eastAsia="仿宋_GB2312"/>
                            <w:sz w:val="19"/>
                          </w:rPr>
                          <w:t>3</w:t>
                        </w:r>
                        <w:r>
                          <w:rPr>
                            <w:rFonts w:ascii="仿宋_GB2312" w:hAnsi="仿宋_GB2312" w:cs="仿宋_GB2312" w:eastAsia="仿宋_GB2312"/>
                            <w:sz w:val="19"/>
                          </w:rPr>
                          <w:t>分；</w:t>
                        </w:r>
                        <w:r>
                          <w:br/>
                        </w:r>
                        <w:r>
                          <w:rPr>
                            <w:rFonts w:ascii="仿宋_GB2312" w:hAnsi="仿宋_GB2312" w:cs="仿宋_GB2312" w:eastAsia="仿宋_GB2312"/>
                            <w:sz w:val="19"/>
                          </w:rPr>
                          <w:t>发现一处工程工程观感较差，扣</w:t>
                        </w:r>
                        <w:r>
                          <w:rPr>
                            <w:rFonts w:ascii="仿宋_GB2312" w:hAnsi="仿宋_GB2312" w:cs="仿宋_GB2312" w:eastAsia="仿宋_GB2312"/>
                            <w:sz w:val="19"/>
                          </w:rPr>
                          <w:t>2</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对出现质量问题、质量事故的整改到位、处理妥当</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10</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发现问题每处扣</w:t>
                        </w:r>
                        <w:r>
                          <w:rPr>
                            <w:rFonts w:ascii="仿宋_GB2312" w:hAnsi="仿宋_GB2312" w:cs="仿宋_GB2312" w:eastAsia="仿宋_GB2312"/>
                            <w:sz w:val="19"/>
                          </w:rPr>
                          <w:t>2</w:t>
                        </w:r>
                        <w:r>
                          <w:rPr>
                            <w:rFonts w:ascii="仿宋_GB2312" w:hAnsi="仿宋_GB2312" w:cs="仿宋_GB2312" w:eastAsia="仿宋_GB2312"/>
                            <w:sz w:val="19"/>
                          </w:rPr>
                          <w:t>分；造成局部返工每处扣</w:t>
                        </w:r>
                        <w:r>
                          <w:rPr>
                            <w:rFonts w:ascii="仿宋_GB2312" w:hAnsi="仿宋_GB2312" w:cs="仿宋_GB2312" w:eastAsia="仿宋_GB2312"/>
                            <w:sz w:val="19"/>
                          </w:rPr>
                          <w:t>3</w:t>
                        </w:r>
                        <w:r>
                          <w:rPr>
                            <w:rFonts w:ascii="仿宋_GB2312" w:hAnsi="仿宋_GB2312" w:cs="仿宋_GB2312" w:eastAsia="仿宋_GB2312"/>
                            <w:sz w:val="19"/>
                          </w:rPr>
                          <w:t>分；问题较严重，返工处理影响到科室使用的，每处扣</w:t>
                        </w:r>
                        <w:r>
                          <w:rPr>
                            <w:rFonts w:ascii="仿宋_GB2312" w:hAnsi="仿宋_GB2312" w:cs="仿宋_GB2312" w:eastAsia="仿宋_GB2312"/>
                            <w:sz w:val="19"/>
                          </w:rPr>
                          <w:t>5</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签证规范与验收（</w:t>
                        </w:r>
                        <w:r>
                          <w:rPr>
                            <w:rFonts w:ascii="仿宋_GB2312" w:hAnsi="仿宋_GB2312" w:cs="仿宋_GB2312" w:eastAsia="仿宋_GB2312"/>
                            <w:sz w:val="19"/>
                          </w:rPr>
                          <w:t>20</w:t>
                        </w:r>
                        <w:r>
                          <w:rPr>
                            <w:rFonts w:ascii="仿宋_GB2312" w:hAnsi="仿宋_GB2312" w:cs="仿宋_GB2312" w:eastAsia="仿宋_GB2312"/>
                            <w:sz w:val="19"/>
                          </w:rPr>
                          <w:t>分）</w:t>
                        </w: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1.</w:t>
                        </w:r>
                        <w:r>
                          <w:rPr>
                            <w:rFonts w:ascii="仿宋_GB2312" w:hAnsi="仿宋_GB2312" w:cs="仿宋_GB2312" w:eastAsia="仿宋_GB2312"/>
                            <w:sz w:val="19"/>
                          </w:rPr>
                          <w:t>预算书、结算书编制规范，报价合理</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10</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每发现一次报价虚高或者联合他人共同虚假报价扣</w:t>
                        </w:r>
                        <w:r>
                          <w:rPr>
                            <w:rFonts w:ascii="仿宋_GB2312" w:hAnsi="仿宋_GB2312" w:cs="仿宋_GB2312" w:eastAsia="仿宋_GB2312"/>
                            <w:sz w:val="19"/>
                          </w:rPr>
                          <w:t>5</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签证、验收、结算手续及时，材料完整</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5</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每发现一次手续不完善、材料缺失扣</w:t>
                        </w:r>
                        <w:r>
                          <w:rPr>
                            <w:rFonts w:ascii="仿宋_GB2312" w:hAnsi="仿宋_GB2312" w:cs="仿宋_GB2312" w:eastAsia="仿宋_GB2312"/>
                            <w:sz w:val="19"/>
                          </w:rPr>
                          <w:t>2</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vMerge/>
                        <w:tcBorders>
                          <w:top w:val="none" w:color="000000" w:sz="4"/>
                          <w:left w:val="singl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预算书、结算书编制及时、送审及时</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5</w:t>
                        </w:r>
                        <w:r>
                          <w:rPr>
                            <w:rFonts w:ascii="仿宋_GB2312" w:hAnsi="仿宋_GB2312" w:cs="仿宋_GB2312" w:eastAsia="仿宋_GB2312"/>
                            <w:sz w:val="19"/>
                          </w:rPr>
                          <w:t>分</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未按时报送预结算材料，每次扣</w:t>
                        </w:r>
                        <w:r>
                          <w:rPr>
                            <w:rFonts w:ascii="仿宋_GB2312" w:hAnsi="仿宋_GB2312" w:cs="仿宋_GB2312" w:eastAsia="仿宋_GB2312"/>
                            <w:sz w:val="19"/>
                          </w:rPr>
                          <w:t>2</w:t>
                        </w:r>
                        <w:r>
                          <w:rPr>
                            <w:rFonts w:ascii="仿宋_GB2312" w:hAnsi="仿宋_GB2312" w:cs="仿宋_GB2312" w:eastAsia="仿宋_GB2312"/>
                            <w:sz w:val="19"/>
                          </w:rPr>
                          <w:t>分。</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95"/>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廉洁自律情况</w:t>
                        </w:r>
                        <w:r>
                          <w:br/>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分）</w:t>
                        </w:r>
                      </w:p>
                    </w:tc>
                    <w:tc>
                      <w:tcPr>
                        <w:tcW w:type="dxa" w:w="623"/>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在服务期间内无违规违纪和违反项目合同的行为</w:t>
                        </w:r>
                      </w:p>
                    </w:tc>
                    <w:tc>
                      <w:tcPr>
                        <w:tcW w:type="dxa" w:w="339"/>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5</w:t>
                        </w:r>
                        <w:r>
                          <w:rPr>
                            <w:rFonts w:ascii="仿宋_GB2312" w:hAnsi="仿宋_GB2312" w:cs="仿宋_GB2312" w:eastAsia="仿宋_GB2312"/>
                            <w:sz w:val="19"/>
                          </w:rPr>
                          <w:t>分</w:t>
                        </w:r>
                      </w:p>
                    </w:tc>
                    <w:tc>
                      <w:tcPr>
                        <w:tcW w:type="dxa" w:w="534"/>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发现违法违纪行为，不得分；自私转包每次扣</w:t>
                        </w:r>
                        <w:r>
                          <w:rPr>
                            <w:rFonts w:ascii="仿宋_GB2312" w:hAnsi="仿宋_GB2312" w:cs="仿宋_GB2312" w:eastAsia="仿宋_GB2312"/>
                            <w:sz w:val="19"/>
                          </w:rPr>
                          <w:t>3</w:t>
                        </w:r>
                        <w:r>
                          <w:rPr>
                            <w:rFonts w:ascii="仿宋_GB2312" w:hAnsi="仿宋_GB2312" w:cs="仿宋_GB2312" w:eastAsia="仿宋_GB2312"/>
                            <w:sz w:val="19"/>
                          </w:rPr>
                          <w:t>分。</w:t>
                        </w:r>
                      </w:p>
                    </w:tc>
                    <w:tc>
                      <w:tcPr>
                        <w:tcW w:type="dxa" w:w="313"/>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420"/>
                          <w:jc w:val="left"/>
                        </w:pPr>
                      </w:p>
                    </w:tc>
                    <w:tc>
                      <w:tcPr>
                        <w:tcW w:type="dxa" w:w="318"/>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tc>
                  </w:tr>
                  <w:tr>
                    <w:tc>
                      <w:tcPr>
                        <w:tcW w:type="dxa" w:w="1157"/>
                        <w:gridSpan w:val="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总分：</w:t>
                        </w:r>
                      </w:p>
                    </w:tc>
                    <w:tc>
                      <w:tcPr>
                        <w:tcW w:type="dxa" w:w="1165"/>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p>
                    </w:tc>
                  </w:tr>
                  <w:tr>
                    <w:tc>
                      <w:tcPr>
                        <w:tcW w:type="dxa" w:w="2322"/>
                        <w:gridSpan w:val="6"/>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季度总评：</w:t>
                        </w:r>
                      </w:p>
                    </w:tc>
                  </w:tr>
                  <w:tr>
                    <w:tc>
                      <w:tcPr>
                        <w:tcW w:type="dxa" w:w="2322"/>
                        <w:gridSpan w:val="6"/>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firstLine="420"/>
                          <w:jc w:val="left"/>
                        </w:pPr>
                      </w:p>
                    </w:tc>
                  </w:tr>
                  <w:tr>
                    <w:tc>
                      <w:tcPr>
                        <w:tcW w:type="dxa" w:w="2322"/>
                        <w:gridSpan w:val="6"/>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tc>
                  </w:tr>
                  <w:tr>
                    <w:tc>
                      <w:tcPr>
                        <w:tcW w:type="dxa" w:w="2322"/>
                        <w:gridSpan w:val="6"/>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tc>
                  </w:tr>
                  <w:tr>
                    <w:tc>
                      <w:tcPr>
                        <w:tcW w:type="dxa" w:w="2322"/>
                        <w:gridSpan w:val="6"/>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 xml:space="preserve">                                      </w:t>
                        </w:r>
                      </w:p>
                    </w:tc>
                  </w:tr>
                  <w:tr>
                    <w:tc>
                      <w:tcPr>
                        <w:tcW w:type="dxa" w:w="1157"/>
                        <w:gridSpan w:val="3"/>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 xml:space="preserve"> </w:t>
                        </w:r>
                        <w:r>
                          <w:rPr>
                            <w:rFonts w:ascii="仿宋_GB2312" w:hAnsi="仿宋_GB2312" w:cs="仿宋_GB2312" w:eastAsia="仿宋_GB2312"/>
                            <w:sz w:val="19"/>
                          </w:rPr>
                          <w:t>签名：</w:t>
                        </w:r>
                        <w:r>
                          <w:rPr>
                            <w:rFonts w:ascii="仿宋_GB2312" w:hAnsi="仿宋_GB2312" w:cs="仿宋_GB2312" w:eastAsia="仿宋_GB2312"/>
                            <w:sz w:val="19"/>
                          </w:rPr>
                          <w:t xml:space="preserve">           </w:t>
                        </w:r>
                      </w:p>
                    </w:tc>
                    <w:tc>
                      <w:tcPr>
                        <w:tcW w:type="dxa" w:w="116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left"/>
                        </w:pPr>
                        <w:r>
                          <w:rPr>
                            <w:rFonts w:ascii="仿宋_GB2312" w:hAnsi="仿宋_GB2312" w:cs="仿宋_GB2312" w:eastAsia="仿宋_GB2312"/>
                            <w:sz w:val="19"/>
                          </w:rPr>
                          <w:t>日期：</w:t>
                        </w:r>
                        <w:r>
                          <w:rPr>
                            <w:rFonts w:ascii="仿宋_GB2312" w:hAnsi="仿宋_GB2312" w:cs="仿宋_GB2312" w:eastAsia="仿宋_GB2312"/>
                            <w:sz w:val="19"/>
                          </w:rPr>
                          <w:t xml:space="preserve">                 </w:t>
                        </w:r>
                        <w:r>
                          <w:rPr>
                            <w:rFonts w:ascii="仿宋_GB2312" w:hAnsi="仿宋_GB2312" w:cs="仿宋_GB2312" w:eastAsia="仿宋_GB2312"/>
                            <w:sz w:val="19"/>
                          </w:rPr>
                          <w:t>年</w:t>
                        </w:r>
                        <w:r>
                          <w:rPr>
                            <w:rFonts w:ascii="仿宋_GB2312" w:hAnsi="仿宋_GB2312" w:cs="仿宋_GB2312" w:eastAsia="仿宋_GB2312"/>
                            <w:sz w:val="19"/>
                          </w:rPr>
                          <w:t xml:space="preserve">       </w:t>
                        </w:r>
                        <w:r>
                          <w:rPr>
                            <w:rFonts w:ascii="仿宋_GB2312" w:hAnsi="仿宋_GB2312" w:cs="仿宋_GB2312" w:eastAsia="仿宋_GB2312"/>
                            <w:sz w:val="19"/>
                          </w:rPr>
                          <w:t>月</w:t>
                        </w:r>
                        <w:r>
                          <w:rPr>
                            <w:rFonts w:ascii="仿宋_GB2312" w:hAnsi="仿宋_GB2312" w:cs="仿宋_GB2312" w:eastAsia="仿宋_GB2312"/>
                            <w:sz w:val="19"/>
                          </w:rPr>
                          <w:t xml:space="preserve">      </w:t>
                        </w:r>
                        <w:r>
                          <w:rPr>
                            <w:rFonts w:ascii="仿宋_GB2312" w:hAnsi="仿宋_GB2312" w:cs="仿宋_GB2312" w:eastAsia="仿宋_GB2312"/>
                            <w:sz w:val="19"/>
                          </w:rPr>
                          <w:t>日</w:t>
                        </w:r>
                      </w:p>
                    </w:tc>
                  </w:tr>
                </w:tbl>
                <w:p>
                  <w:pPr>
                    <w:pStyle w:val="null3"/>
                    <w:ind w:firstLine="420"/>
                    <w:jc w:val="left"/>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服务期限：自合同签订之日起1年。</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服务地点：采购人指定地点。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保修期：每一个子项工程保修期按照《建设工程质量管理条例》执行，最低不少于为1年；特殊产品按照国家和行业规定的保修期执行，自子项工程竣工验收合格之日起计算。</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验收：验收由采购人组织验收小组按国家有关规定、规范进行验收，必要时邀请相关的专业人员或机构参与验收。因货物质量或工程质量问题发生争议时，由采购人所在地质量技术监督部门鉴定。货物或工程符合质量技术标准的，鉴定费由采购人承担；否则鉴定费由成交供应商承担。验收标准符合按照采购文件要求的技术参数和国家、地方和行业的相关政策、法规。</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付款方式：本项目工程由众多子项工程组成，子项多，时间长，不宜采用合同到期后统一结算方式;乙方应采用每一个子项工程独立组成文件，分别独立结算，并且每个子项目在乙方施工之日起15个工作日内及时报给甲方。各子项工程的工程内容、工程量以甲方发出的需求派送单为准。后期结算各子项工程价款的依据以甲方发出的需求派送单为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供应商必须根据所投货物及服务的内容、资质资料编写响应文件。在成交结果公示期间，采购人有权对成交候选人所投货物及服务的技术指标、资质证书资料等进行任何形式的核查，如发现与其响应文件中的描述不一或所提供的材料为虚假材料，采购人有权取消其成交资格，并报政府采购主管部门严肃处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商务要求为实质性响应要求，请按项目的实际商务要求响应，并相应填写在商务响应表中。</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供应商须提供的证明材料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 注：可提供查询结果截图加盖公章，或提交承诺函</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须具有建设行政主管部门颁发的有效的安全生产许可证，且具备建设行政主管部门核发的建筑工程施工总承包叁级（含）以上资质或根据《住房和城乡建设部关于印发建设工程企业资质管理制度改革方案的通知（【建市〔2022〕94 号】）换发新证的建筑工程施工总承包乙级（含）以上资质（提供证书复印件加盖公章）。</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项目负责人要求</w:t>
            </w:r>
          </w:p>
        </w:tc>
        <w:tc>
          <w:tcPr>
            <w:tcW w:type="dxa" w:w="3322"/>
          </w:tcPr>
          <w:p>
            <w:pPr>
              <w:pStyle w:val="null3"/>
              <w:jc w:val="left"/>
            </w:pPr>
            <w:r>
              <w:rPr>
                <w:rFonts w:ascii="仿宋_GB2312" w:hAnsi="仿宋_GB2312" w:cs="仿宋_GB2312" w:eastAsia="仿宋_GB2312"/>
              </w:rPr>
              <w:t>拟派项目经理要求持有在有效期内建筑工程专业二级（含）以上建造师注册证，且未担任其他在施建设工程项目的项目经理（提供证书复印件加盖公章、项目经理无在施建设工程承诺函、项目经理在本单位缴交社保承诺函（格式自拟））</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专业承包资质要求</w:t>
            </w:r>
          </w:p>
        </w:tc>
        <w:tc>
          <w:tcPr>
            <w:tcW w:type="dxa" w:w="3322"/>
          </w:tcPr>
          <w:p>
            <w:pPr>
              <w:pStyle w:val="null3"/>
              <w:jc w:val="left"/>
            </w:pPr>
            <w:r>
              <w:rPr>
                <w:rFonts w:ascii="仿宋_GB2312" w:hAnsi="仿宋_GB2312" w:cs="仿宋_GB2312" w:eastAsia="仿宋_GB2312"/>
              </w:rPr>
              <w:t>供应商须具有具备建设行政主管部门核发的建筑幕墙工程专业承包叁级（含）以上资质； 注：提供证书复印件加盖公章</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具备《海南省建筑企业诚信档案手册》登记，并打印信息平台生成的诚信档案手册</w:t>
            </w:r>
          </w:p>
        </w:tc>
        <w:tc>
          <w:tcPr>
            <w:tcW w:type="dxa" w:w="3322"/>
          </w:tcPr>
          <w:p>
            <w:pPr>
              <w:pStyle w:val="null3"/>
              <w:jc w:val="left"/>
            </w:pPr>
            <w:r>
              <w:rPr>
                <w:rFonts w:ascii="仿宋_GB2312" w:hAnsi="仿宋_GB2312" w:cs="仿宋_GB2312" w:eastAsia="仿宋_GB2312"/>
              </w:rPr>
              <w:t>具备《海南省建筑企业诚信档案手册》登记，并打印信息平台生成的诚信档案手册</w:t>
            </w:r>
          </w:p>
        </w:tc>
        <w:tc>
          <w:tcPr>
            <w:tcW w:type="dxa" w:w="1661"/>
          </w:tcPr>
          <w:p>
            <w:pPr>
              <w:pStyle w:val="null3"/>
              <w:jc w:val="left"/>
            </w:pPr>
            <w:r>
              <w:rPr>
                <w:rFonts w:ascii="仿宋_GB2312" w:hAnsi="仿宋_GB2312" w:cs="仿宋_GB2312" w:eastAsia="仿宋_GB2312"/>
              </w:rPr>
              <w:t>供应商须提供的证明材料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商务应答表 供应商须提供的证明材料 自觉抵制政府采购领域商业贿赂行为承诺书 封面 商业信誉、财务会计制度、缴纳税收和社保的承诺函 无认定为“投标无效”的其他情形 供应商无不良信用记录 其他材料 下浮率报价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有无联合体证明材料 技术评审方案 供应商相关项目业绩一览表 无串通投标的情形承诺函 具有独立承担民事责任的能力证明文件 供应商承诺函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下浮率报价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下浮率报价</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无认定为“投标无效”的其他情形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无串通投标的情形承诺函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A.施工方案与技术措施科学合理，适用性强，思路清晰，内容全面，能够根据实际情况制订，满足采购人的需要，考虑问题周全，实施过程务实，各项指标均能完成得8分； B.施工方案与技术措施基本能够满足采购需要，操作性不强得6分； C.施工方案与技术措施不合理得4分； D.不提供者得0分。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A.质量管理体系与措施科学合理，适用性强，思路清晰，内容全面，能够根据实际情况制订，满足采购人的需要，考虑问题周全，实施过程务实，各项指标均能完成得8分； B.质量管理体系与措施基本能够满足采购需要，操作性不强得6分； C.质量管理体系与措施不合理得4分； D.不提供者得0分。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A.安全管理体系与措施科学合理，适用性强，思路清晰，内容全面，能够根据实际情况制订，满足采购人的需要，考虑问题周全，实施过程务实，各项指标均能完成得8分； B.安全管理体系与措施基本能够满足采购需要，操作性不强得6分； C.安全管理体系与措施不合理得4分； D.不提供者得0分。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A.环保管理体系与措施科学合理，适用性强，思路清晰，内容全面，能够根据实际情况制订，满足采购人的需要，考虑问题周全，实施过程务实，各项指标均能完成得8分； B.环保管理体系与措施基本能够满足采购需要，操作性不强得6分； C.环保管理体系与措施不合理得4分； D.不提供者得0分。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A.工程进度计划与措施科学合理，适用性强，思路清晰，内容全面，能够根据实际情况制订，满足采购人的需要，考虑问题周全，实施过程务实，各项指标均能完成得8分； B.工程进度计划与措施基本能够满足采购需要，操作性不强得6分； C.工程进度计划与措施不合理得4分； D.不提供者得0分。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技术评审方案</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根据供应商提供的应急方案：1.对突发事件（包括台风、暴雨、疫情等灾害性天气及其他突发事件）应急服务等情况的应急预案及相应的措施，重点说明人员调配；2.应急响应时限；3.操作流程；4.保障措施等方面进行比较赋分。 A.应急方案科学，项目内容细致全面，具有完善的应急处理体系，对本项目针对性强，优于采购需求，可行性高的得 8分； B.应急方案一般，每项内容一般，应急措施较完善，对本项 目有针对性，基本满足采购需要，可行性一般得 6分； C.应急方案存在缺漏或实用性弱，内容简单，对本项目不具有针对性，不能满足采购需求，可行性较差的得4分； D.不提供者得0分。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相关业绩</w:t>
            </w:r>
          </w:p>
        </w:tc>
        <w:tc>
          <w:tcPr>
            <w:tcW w:type="dxa" w:w="2492"/>
          </w:tcPr>
          <w:p>
            <w:pPr>
              <w:pStyle w:val="null3"/>
              <w:jc w:val="left"/>
            </w:pPr>
            <w:r>
              <w:rPr>
                <w:rFonts w:ascii="仿宋_GB2312" w:hAnsi="仿宋_GB2312" w:cs="仿宋_GB2312" w:eastAsia="仿宋_GB2312"/>
              </w:rPr>
              <w:t>供应商2022年1月1日至今承接过建筑类似施工业绩的，提供一份业绩得3分，满分9分（证明材料：提供中标通知书（成交通知书）或施工合同复印件加盖公章）。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供应商相关项目业绩一览表</w:t>
            </w:r>
          </w:p>
        </w:tc>
      </w:tr>
      <w:tr>
        <w:tc>
          <w:tcPr>
            <w:tcW w:type="dxa" w:w="831"/>
            <w:vMerge/>
          </w:tcPr>
          <w:p/>
        </w:tc>
        <w:tc>
          <w:tcPr>
            <w:tcW w:type="dxa" w:w="1661"/>
          </w:tcPr>
          <w:p>
            <w:pPr>
              <w:pStyle w:val="null3"/>
              <w:jc w:val="left"/>
            </w:pPr>
            <w:r>
              <w:rPr>
                <w:rFonts w:ascii="仿宋_GB2312" w:hAnsi="仿宋_GB2312" w:cs="仿宋_GB2312" w:eastAsia="仿宋_GB2312"/>
              </w:rPr>
              <w:t>项目管理机构</w:t>
            </w:r>
          </w:p>
        </w:tc>
        <w:tc>
          <w:tcPr>
            <w:tcW w:type="dxa" w:w="2492"/>
          </w:tcPr>
          <w:p>
            <w:pPr>
              <w:pStyle w:val="null3"/>
              <w:jc w:val="left"/>
            </w:pPr>
            <w:r>
              <w:rPr>
                <w:rFonts w:ascii="仿宋_GB2312" w:hAnsi="仿宋_GB2312" w:cs="仿宋_GB2312" w:eastAsia="仿宋_GB2312"/>
              </w:rPr>
              <w:t>1、拟派技术负责人具备建筑工程相关专业中级（含）以上职称的得3分。 2、其他人员：须具备施工员1名、安全员1名、质量员1名、资料员1名（可兼职）、劳资专管员1名。（配备齐全得10分,配备不齐不得分） 证明材料：以上所有人员提供2024年6月以来任意3个月社保证明材料，其中：劳资专管员提供身份证、人员岗位任命书（格式自拟）；其他人员提供相关有效期内的证书复印件加盖公章。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HNRW-ZFCS2025022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海口市人民医院零星维修项目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海口市人民医院零星维修项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施工范围</w:t>
            </w:r>
          </w:p>
        </w:tc>
        <w:tc>
          <w:tcPr>
            <w:tcW w:type="dxa" w:w="923"/>
          </w:tcPr>
          <w:p>
            <w:pPr>
              <w:pStyle w:val="null3"/>
              <w:jc w:val="left"/>
            </w:pPr>
            <w:r>
              <w:rPr>
                <w:rFonts w:ascii="仿宋_GB2312" w:hAnsi="仿宋_GB2312" w:cs="仿宋_GB2312" w:eastAsia="仿宋_GB2312"/>
              </w:rPr>
              <w:t xml:space="preserve"> 施工工期</w:t>
            </w:r>
          </w:p>
        </w:tc>
        <w:tc>
          <w:tcPr>
            <w:tcW w:type="dxa" w:w="923"/>
          </w:tcPr>
          <w:p>
            <w:pPr>
              <w:pStyle w:val="null3"/>
              <w:jc w:val="left"/>
            </w:pPr>
            <w:r>
              <w:rPr>
                <w:rFonts w:ascii="仿宋_GB2312" w:hAnsi="仿宋_GB2312" w:cs="仿宋_GB2312" w:eastAsia="仿宋_GB2312"/>
              </w:rPr>
              <w:t xml:space="preserve"> 下浮率</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海口市人民医院零星维修项目</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4800000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 %</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详见附件：供应商无不良信用记录</w:t>
      </w:r>
    </w:p>
    <w:p>
      <w:pPr>
        <w:pStyle w:val="null3"/>
        <w:ind w:firstLine="960"/>
        <w:jc w:val="left"/>
      </w:pPr>
      <w:r>
        <w:rPr>
          <w:rFonts w:ascii="仿宋_GB2312" w:hAnsi="仿宋_GB2312" w:cs="仿宋_GB2312" w:eastAsia="仿宋_GB2312"/>
        </w:rPr>
        <w:t>详见附件：供应商相关项目业绩一览表</w:t>
      </w:r>
    </w:p>
    <w:p>
      <w:pPr>
        <w:pStyle w:val="null3"/>
        <w:ind w:firstLine="960"/>
        <w:jc w:val="left"/>
      </w:pPr>
      <w:r>
        <w:rPr>
          <w:rFonts w:ascii="仿宋_GB2312" w:hAnsi="仿宋_GB2312" w:cs="仿宋_GB2312" w:eastAsia="仿宋_GB2312"/>
        </w:rPr>
        <w:t>详见附件：供应商须提供的证明材料</w:t>
      </w:r>
    </w:p>
    <w:p>
      <w:pPr>
        <w:pStyle w:val="null3"/>
        <w:ind w:firstLine="960"/>
        <w:jc w:val="left"/>
      </w:pPr>
      <w:r>
        <w:rPr>
          <w:rFonts w:ascii="仿宋_GB2312" w:hAnsi="仿宋_GB2312" w:cs="仿宋_GB2312" w:eastAsia="仿宋_GB2312"/>
        </w:rPr>
        <w:t>详见附件：技术评审方案</w:t>
      </w:r>
    </w:p>
    <w:p>
      <w:pPr>
        <w:pStyle w:val="null3"/>
        <w:ind w:firstLine="960"/>
        <w:jc w:val="left"/>
      </w:pPr>
      <w:r>
        <w:rPr>
          <w:rFonts w:ascii="仿宋_GB2312" w:hAnsi="仿宋_GB2312" w:cs="仿宋_GB2312" w:eastAsia="仿宋_GB2312"/>
        </w:rPr>
        <w:t>详见附件：无认定为“投标无效”的其他情形</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详见附件：有无联合体证明材料</w:t>
      </w:r>
    </w:p>
    <w:p>
      <w:pPr>
        <w:pStyle w:val="null3"/>
        <w:ind w:firstLine="960"/>
        <w:jc w:val="left"/>
      </w:pPr>
      <w:r>
        <w:rPr>
          <w:rFonts w:ascii="仿宋_GB2312" w:hAnsi="仿宋_GB2312" w:cs="仿宋_GB2312" w:eastAsia="仿宋_GB2312"/>
        </w:rPr>
        <w:t>详见附件：下浮率报价</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