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CB873">
      <w:pPr>
        <w:pStyle w:val="8"/>
        <w:ind w:firstLine="880"/>
        <w:jc w:val="center"/>
        <w:rPr>
          <w:sz w:val="44"/>
          <w:szCs w:val="44"/>
        </w:rPr>
      </w:pPr>
    </w:p>
    <w:p w14:paraId="34EC343B">
      <w:pPr>
        <w:pStyle w:val="8"/>
        <w:ind w:firstLine="880"/>
        <w:jc w:val="center"/>
        <w:rPr>
          <w:rFonts w:hint="eastAsia" w:eastAsiaTheme="minorEastAsia"/>
          <w:sz w:val="44"/>
          <w:szCs w:val="44"/>
          <w:lang w:eastAsia="zh-CN"/>
        </w:rPr>
      </w:pPr>
      <w:bookmarkStart w:id="0" w:name="_GoBack"/>
      <w:bookmarkEnd w:id="0"/>
    </w:p>
    <w:p w14:paraId="77268D4B">
      <w:pPr>
        <w:pStyle w:val="8"/>
        <w:ind w:firstLine="880"/>
        <w:jc w:val="center"/>
        <w:rPr>
          <w:sz w:val="44"/>
          <w:szCs w:val="44"/>
        </w:rPr>
      </w:pPr>
    </w:p>
    <w:p w14:paraId="74267EB3">
      <w:pPr>
        <w:pStyle w:val="8"/>
        <w:ind w:firstLine="880"/>
        <w:jc w:val="center"/>
        <w:rPr>
          <w:sz w:val="44"/>
          <w:szCs w:val="44"/>
        </w:rPr>
      </w:pPr>
      <w:r>
        <w:rPr>
          <w:sz w:val="44"/>
          <w:szCs w:val="44"/>
        </w:rPr>
        <w:t>海口市人民医院</w:t>
      </w:r>
    </w:p>
    <w:p w14:paraId="13A0B0CC">
      <w:pPr>
        <w:pStyle w:val="8"/>
        <w:ind w:firstLine="880"/>
        <w:jc w:val="center"/>
        <w:rPr>
          <w:sz w:val="44"/>
          <w:szCs w:val="44"/>
        </w:rPr>
      </w:pPr>
    </w:p>
    <w:p w14:paraId="0D22F5AD">
      <w:pPr>
        <w:pStyle w:val="8"/>
        <w:ind w:firstLine="880"/>
        <w:jc w:val="center"/>
        <w:rPr>
          <w:sz w:val="44"/>
          <w:szCs w:val="44"/>
        </w:rPr>
      </w:pPr>
      <w:r>
        <w:rPr>
          <w:rFonts w:hint="eastAsia"/>
          <w:sz w:val="44"/>
          <w:szCs w:val="44"/>
        </w:rPr>
        <w:t>2025年度房屋设施</w:t>
      </w:r>
      <w:r>
        <w:rPr>
          <w:sz w:val="44"/>
          <w:szCs w:val="44"/>
        </w:rPr>
        <w:t>零星维修项目</w:t>
      </w:r>
    </w:p>
    <w:p w14:paraId="3B9F2541">
      <w:pPr>
        <w:pStyle w:val="8"/>
        <w:ind w:firstLine="720"/>
        <w:rPr>
          <w:rFonts w:ascii="宋体" w:hAnsi="宋体" w:eastAsia="宋体" w:cs="宋体"/>
          <w:sz w:val="36"/>
          <w:szCs w:val="36"/>
        </w:rPr>
      </w:pPr>
    </w:p>
    <w:p w14:paraId="01E69AF9">
      <w:pPr>
        <w:pStyle w:val="8"/>
        <w:ind w:firstLine="720"/>
        <w:rPr>
          <w:rFonts w:ascii="宋体" w:hAnsi="宋体" w:eastAsia="宋体" w:cs="宋体"/>
          <w:sz w:val="36"/>
          <w:szCs w:val="36"/>
        </w:rPr>
      </w:pPr>
      <w:r>
        <w:rPr>
          <w:rFonts w:hint="eastAsia" w:ascii="宋体" w:hAnsi="宋体" w:eastAsia="宋体" w:cs="宋体"/>
          <w:sz w:val="36"/>
          <w:szCs w:val="36"/>
        </w:rPr>
        <w:t xml:space="preserve">              </w:t>
      </w:r>
      <w:r>
        <w:rPr>
          <w:rFonts w:hint="eastAsia" w:ascii="宋体" w:hAnsi="宋体" w:eastAsia="宋体" w:cs="宋体"/>
          <w:sz w:val="52"/>
          <w:szCs w:val="52"/>
        </w:rPr>
        <w:t>施 工 合 同</w:t>
      </w:r>
    </w:p>
    <w:p w14:paraId="082489D4">
      <w:pPr>
        <w:pStyle w:val="8"/>
        <w:ind w:firstLine="720"/>
        <w:rPr>
          <w:rFonts w:ascii="宋体" w:hAnsi="宋体" w:eastAsia="宋体" w:cs="宋体"/>
          <w:sz w:val="36"/>
          <w:szCs w:val="36"/>
        </w:rPr>
      </w:pPr>
    </w:p>
    <w:p w14:paraId="4ECA6447">
      <w:pPr>
        <w:pStyle w:val="8"/>
        <w:ind w:firstLine="720"/>
        <w:rPr>
          <w:rFonts w:ascii="宋体" w:hAnsi="宋体" w:eastAsia="宋体" w:cs="宋体"/>
          <w:sz w:val="36"/>
          <w:szCs w:val="36"/>
        </w:rPr>
      </w:pPr>
    </w:p>
    <w:p w14:paraId="2D1970B2">
      <w:pPr>
        <w:pStyle w:val="8"/>
        <w:ind w:firstLine="720"/>
        <w:rPr>
          <w:rFonts w:ascii="宋体" w:hAnsi="宋体" w:eastAsia="宋体" w:cs="宋体"/>
          <w:sz w:val="36"/>
          <w:szCs w:val="36"/>
        </w:rPr>
      </w:pPr>
    </w:p>
    <w:p w14:paraId="3A14E67D">
      <w:pPr>
        <w:rPr>
          <w:rFonts w:ascii="宋体" w:hAnsi="宋体" w:cs="宋体"/>
          <w:sz w:val="28"/>
          <w:szCs w:val="28"/>
        </w:rPr>
      </w:pPr>
    </w:p>
    <w:p w14:paraId="68739304">
      <w:pPr>
        <w:rPr>
          <w:rFonts w:ascii="宋体" w:hAnsi="宋体" w:cs="宋体"/>
          <w:sz w:val="28"/>
          <w:szCs w:val="28"/>
        </w:rPr>
      </w:pPr>
    </w:p>
    <w:p w14:paraId="007C76EE">
      <w:pPr>
        <w:rPr>
          <w:rFonts w:ascii="宋体" w:hAnsi="宋体" w:cs="宋体"/>
          <w:sz w:val="28"/>
          <w:szCs w:val="28"/>
        </w:rPr>
      </w:pPr>
    </w:p>
    <w:p w14:paraId="32C74C9D">
      <w:pPr>
        <w:rPr>
          <w:rFonts w:ascii="宋体" w:hAnsi="宋体" w:cs="宋体"/>
          <w:sz w:val="28"/>
          <w:szCs w:val="28"/>
        </w:rPr>
      </w:pPr>
      <w:r>
        <w:rPr>
          <w:rFonts w:hint="eastAsia" w:ascii="宋体" w:hAnsi="宋体" w:cs="宋体"/>
          <w:sz w:val="28"/>
          <w:szCs w:val="28"/>
        </w:rPr>
        <w:t xml:space="preserve">       发包单位：海口市人民医院</w:t>
      </w:r>
    </w:p>
    <w:p w14:paraId="1AE6EADD">
      <w:pPr>
        <w:rPr>
          <w:rFonts w:ascii="宋体" w:hAnsi="宋体" w:cs="宋体"/>
          <w:sz w:val="28"/>
          <w:szCs w:val="28"/>
        </w:rPr>
      </w:pPr>
      <w:r>
        <w:rPr>
          <w:rFonts w:hint="eastAsia" w:ascii="宋体" w:hAnsi="宋体" w:cs="宋体"/>
          <w:sz w:val="28"/>
          <w:szCs w:val="28"/>
        </w:rPr>
        <w:t xml:space="preserve">       承包单位：</w:t>
      </w:r>
      <w:r>
        <w:rPr>
          <w:rFonts w:ascii="宋体" w:hAnsi="宋体" w:cs="宋体"/>
          <w:sz w:val="28"/>
          <w:szCs w:val="28"/>
        </w:rPr>
        <w:t xml:space="preserve"> </w:t>
      </w:r>
    </w:p>
    <w:p w14:paraId="3E243C06">
      <w:pPr>
        <w:rPr>
          <w:rFonts w:hint="eastAsia" w:ascii="宋体" w:hAnsi="宋体" w:cs="宋体"/>
          <w:sz w:val="28"/>
          <w:szCs w:val="28"/>
        </w:rPr>
      </w:pPr>
      <w:r>
        <w:rPr>
          <w:rFonts w:hint="eastAsia" w:ascii="宋体" w:hAnsi="宋体" w:cs="宋体"/>
          <w:sz w:val="28"/>
          <w:szCs w:val="28"/>
        </w:rPr>
        <w:t xml:space="preserve">       签订日期：     年    月    日</w:t>
      </w:r>
    </w:p>
    <w:p w14:paraId="264E2A17">
      <w:pPr>
        <w:rPr>
          <w:rFonts w:hint="eastAsia" w:ascii="宋体" w:hAnsi="宋体" w:cs="宋体"/>
          <w:sz w:val="28"/>
          <w:szCs w:val="28"/>
        </w:rPr>
      </w:pPr>
    </w:p>
    <w:p w14:paraId="2102D670">
      <w:pPr>
        <w:rPr>
          <w:rFonts w:hint="eastAsia" w:ascii="宋体" w:hAnsi="宋体" w:cs="宋体"/>
          <w:sz w:val="28"/>
          <w:szCs w:val="28"/>
        </w:rPr>
      </w:pPr>
    </w:p>
    <w:p w14:paraId="158C68C7">
      <w:pPr>
        <w:rPr>
          <w:rFonts w:hint="eastAsia" w:ascii="宋体" w:hAnsi="宋体" w:cs="宋体"/>
          <w:sz w:val="28"/>
          <w:szCs w:val="28"/>
        </w:rPr>
      </w:pPr>
    </w:p>
    <w:p w14:paraId="05133393">
      <w:pPr>
        <w:rPr>
          <w:rFonts w:hint="eastAsia" w:ascii="宋体" w:hAnsi="宋体" w:cs="宋体"/>
          <w:sz w:val="28"/>
          <w:szCs w:val="28"/>
        </w:rPr>
      </w:pPr>
    </w:p>
    <w:p w14:paraId="7A8E0F22">
      <w:pPr>
        <w:rPr>
          <w:rFonts w:hint="eastAsia" w:ascii="宋体" w:hAnsi="宋体" w:cs="宋体"/>
          <w:sz w:val="28"/>
          <w:szCs w:val="28"/>
        </w:rPr>
      </w:pPr>
    </w:p>
    <w:p w14:paraId="5E8CBD73">
      <w:pPr>
        <w:rPr>
          <w:rFonts w:ascii="宋体" w:hAnsi="宋体" w:cs="宋体"/>
          <w:sz w:val="28"/>
          <w:szCs w:val="28"/>
        </w:rPr>
      </w:pPr>
      <w:r>
        <w:rPr>
          <w:rFonts w:hint="eastAsia" w:ascii="宋体" w:hAnsi="宋体" w:cs="宋体"/>
          <w:sz w:val="28"/>
          <w:szCs w:val="28"/>
        </w:rPr>
        <w:t>甲方(发包方): 海口市人民医院</w:t>
      </w:r>
    </w:p>
    <w:p w14:paraId="444B6B5C">
      <w:pPr>
        <w:rPr>
          <w:rFonts w:ascii="宋体" w:hAnsi="宋体" w:cs="宋体"/>
          <w:sz w:val="28"/>
          <w:szCs w:val="28"/>
        </w:rPr>
      </w:pPr>
      <w:r>
        <w:rPr>
          <w:rFonts w:hint="eastAsia" w:ascii="宋体" w:hAnsi="宋体" w:cs="宋体"/>
          <w:sz w:val="28"/>
          <w:szCs w:val="28"/>
        </w:rPr>
        <w:t>乙方(承包方):</w:t>
      </w:r>
      <w:r>
        <w:rPr>
          <w:rFonts w:ascii="宋体" w:hAnsi="宋体" w:cs="宋体"/>
          <w:sz w:val="28"/>
          <w:szCs w:val="28"/>
        </w:rPr>
        <w:t xml:space="preserve"> </w:t>
      </w:r>
    </w:p>
    <w:p w14:paraId="6D100D6A">
      <w:pPr>
        <w:widowControl/>
        <w:snapToGrid w:val="0"/>
        <w:spacing w:line="360" w:lineRule="auto"/>
        <w:rPr>
          <w:rFonts w:hint="eastAsia" w:ascii="仿宋" w:hAnsi="仿宋" w:eastAsia="仿宋" w:cs="宋体"/>
          <w:color w:val="000000"/>
          <w:kern w:val="0"/>
          <w:sz w:val="24"/>
        </w:rPr>
      </w:pPr>
    </w:p>
    <w:p w14:paraId="493995AB">
      <w:pPr>
        <w:widowControl/>
        <w:snapToGrid w:val="0"/>
        <w:spacing w:line="360" w:lineRule="auto"/>
        <w:ind w:firstLine="710" w:firstLineChars="296"/>
        <w:rPr>
          <w:rFonts w:ascii="仿宋" w:hAnsi="仿宋" w:eastAsia="仿宋" w:cs="宋体"/>
          <w:color w:val="000000"/>
          <w:kern w:val="0"/>
          <w:sz w:val="24"/>
        </w:rPr>
      </w:pPr>
      <w:r>
        <w:rPr>
          <w:rFonts w:hint="eastAsia" w:ascii="仿宋" w:hAnsi="仿宋" w:eastAsia="仿宋" w:cs="宋体"/>
          <w:color w:val="000000"/>
          <w:kern w:val="0"/>
          <w:sz w:val="24"/>
        </w:rPr>
        <w:t>根据《中华人民共和国民法典》、《中华人民共和国建筑法》及有关法律规定，遵循平等、自愿、公平和诚实信用的原则，按照招标文件内容要求，双方就</w:t>
      </w:r>
      <w:r>
        <w:rPr>
          <w:rFonts w:hint="eastAsia" w:ascii="仿宋" w:hAnsi="仿宋" w:eastAsia="仿宋" w:cs="宋体"/>
          <w:color w:val="000000"/>
          <w:kern w:val="0"/>
          <w:sz w:val="24"/>
          <w:u w:val="single"/>
        </w:rPr>
        <w:t>海口市人民医院（2025年度）房屋设施零星维修项目</w:t>
      </w:r>
      <w:r>
        <w:rPr>
          <w:rFonts w:hint="eastAsia" w:ascii="仿宋" w:hAnsi="仿宋" w:eastAsia="仿宋" w:cs="宋体"/>
          <w:color w:val="000000"/>
          <w:kern w:val="0"/>
          <w:sz w:val="24"/>
        </w:rPr>
        <w:t>施工及有关事项协商一致，共同达成如下协议。</w:t>
      </w:r>
    </w:p>
    <w:p w14:paraId="78E2594E">
      <w:pPr>
        <w:pStyle w:val="4"/>
        <w:keepNext w:val="0"/>
        <w:widowControl/>
        <w:snapToGrid w:val="0"/>
        <w:spacing w:before="120" w:after="120" w:line="360" w:lineRule="auto"/>
        <w:rPr>
          <w:rFonts w:ascii="仿宋" w:hAnsi="仿宋" w:eastAsia="仿宋" w:cs="宋体"/>
          <w:bCs w:val="0"/>
          <w:color w:val="000000"/>
          <w:sz w:val="24"/>
          <w:szCs w:val="24"/>
        </w:rPr>
      </w:pPr>
      <w:r>
        <w:rPr>
          <w:rFonts w:hint="eastAsia" w:ascii="仿宋" w:hAnsi="仿宋" w:eastAsia="仿宋" w:cs="宋体"/>
          <w:bCs w:val="0"/>
          <w:color w:val="000000"/>
          <w:sz w:val="24"/>
          <w:szCs w:val="24"/>
        </w:rPr>
        <w:t>一、工程概况</w:t>
      </w:r>
    </w:p>
    <w:p w14:paraId="3F2D754F">
      <w:pPr>
        <w:widowControl/>
        <w:snapToGrid w:val="0"/>
        <w:spacing w:line="360" w:lineRule="auto"/>
        <w:ind w:firstLine="412"/>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1.工程名称：</w:t>
      </w:r>
      <w:r>
        <w:rPr>
          <w:rFonts w:hint="eastAsia" w:ascii="仿宋" w:hAnsi="仿宋" w:eastAsia="仿宋" w:cs="宋体"/>
          <w:color w:val="000000"/>
          <w:kern w:val="0"/>
          <w:sz w:val="24"/>
          <w:lang w:eastAsia="zh-CN"/>
        </w:rPr>
        <w:t>海口市人民医院零星维修项目</w:t>
      </w:r>
    </w:p>
    <w:p w14:paraId="6C71BA50">
      <w:pPr>
        <w:widowControl/>
        <w:snapToGrid w:val="0"/>
        <w:spacing w:line="360" w:lineRule="auto"/>
        <w:ind w:firstLine="412"/>
        <w:rPr>
          <w:rFonts w:ascii="仿宋" w:hAnsi="仿宋" w:eastAsia="仿宋" w:cs="宋体"/>
          <w:color w:val="000000"/>
          <w:kern w:val="0"/>
          <w:sz w:val="24"/>
        </w:rPr>
      </w:pPr>
      <w:r>
        <w:rPr>
          <w:rFonts w:hint="eastAsia" w:ascii="仿宋" w:hAnsi="仿宋" w:eastAsia="仿宋" w:cs="宋体"/>
          <w:color w:val="000000"/>
          <w:kern w:val="0"/>
          <w:sz w:val="24"/>
        </w:rPr>
        <w:t>2.工程地点：</w:t>
      </w:r>
    </w:p>
    <w:p w14:paraId="5708B149">
      <w:pPr>
        <w:widowControl/>
        <w:snapToGrid w:val="0"/>
        <w:spacing w:line="360" w:lineRule="auto"/>
        <w:ind w:firstLine="412"/>
        <w:rPr>
          <w:rFonts w:ascii="仿宋" w:hAnsi="仿宋" w:eastAsia="仿宋" w:cs="宋体"/>
          <w:color w:val="000000"/>
          <w:kern w:val="0"/>
          <w:sz w:val="24"/>
        </w:rPr>
      </w:pPr>
      <w:r>
        <w:rPr>
          <w:rFonts w:hint="eastAsia" w:ascii="仿宋" w:hAnsi="仿宋" w:eastAsia="仿宋" w:cs="宋体"/>
          <w:color w:val="000000"/>
          <w:kern w:val="0"/>
          <w:sz w:val="24"/>
        </w:rPr>
        <w:t>3.资金来源：自筹资金</w:t>
      </w:r>
    </w:p>
    <w:p w14:paraId="262C10E6">
      <w:pPr>
        <w:widowControl/>
        <w:snapToGrid w:val="0"/>
        <w:spacing w:line="360" w:lineRule="auto"/>
        <w:ind w:firstLine="412"/>
        <w:rPr>
          <w:rFonts w:ascii="仿宋" w:hAnsi="仿宋" w:eastAsia="仿宋" w:cs="宋体"/>
          <w:kern w:val="0"/>
          <w:sz w:val="24"/>
        </w:rPr>
      </w:pPr>
      <w:r>
        <w:rPr>
          <w:rFonts w:hint="eastAsia" w:ascii="仿宋" w:hAnsi="仿宋" w:eastAsia="仿宋" w:cs="宋体"/>
          <w:kern w:val="0"/>
          <w:sz w:val="24"/>
        </w:rPr>
        <w:t>4.工程内容：</w:t>
      </w:r>
      <w:r>
        <w:rPr>
          <w:rFonts w:hint="eastAsia" w:ascii="仿宋" w:hAnsi="仿宋" w:eastAsia="仿宋" w:cs="宋体"/>
          <w:kern w:val="0"/>
          <w:sz w:val="24"/>
          <w:u w:val="single"/>
        </w:rPr>
        <w:t xml:space="preserve">                                                  </w:t>
      </w:r>
      <w:r>
        <w:rPr>
          <w:rFonts w:hint="eastAsia" w:ascii="仿宋" w:hAnsi="仿宋" w:eastAsia="仿宋" w:cs="宋体"/>
          <w:kern w:val="0"/>
          <w:sz w:val="24"/>
        </w:rPr>
        <w:t>维修改造(土建、装饰装修、维修、给排水、暖通电气、门禁维修、定制办公相关配套设备和市政设施等）</w:t>
      </w:r>
    </w:p>
    <w:p w14:paraId="3FA5E8AC">
      <w:pPr>
        <w:widowControl/>
        <w:snapToGrid w:val="0"/>
        <w:spacing w:line="360" w:lineRule="auto"/>
        <w:ind w:firstLine="412"/>
        <w:rPr>
          <w:rFonts w:ascii="仿宋" w:hAnsi="仿宋" w:eastAsia="仿宋" w:cs="宋体"/>
          <w:kern w:val="0"/>
          <w:sz w:val="24"/>
        </w:rPr>
      </w:pPr>
      <w:r>
        <w:rPr>
          <w:rFonts w:hint="eastAsia" w:ascii="仿宋" w:hAnsi="仿宋" w:eastAsia="仿宋" w:cs="宋体"/>
          <w:kern w:val="0"/>
          <w:sz w:val="24"/>
        </w:rPr>
        <w:t>5、承包方式：包工包料</w:t>
      </w:r>
    </w:p>
    <w:p w14:paraId="288A8E86">
      <w:pPr>
        <w:widowControl/>
        <w:snapToGrid w:val="0"/>
        <w:spacing w:line="360" w:lineRule="auto"/>
        <w:ind w:firstLine="412"/>
        <w:rPr>
          <w:rFonts w:ascii="仿宋" w:hAnsi="仿宋" w:eastAsia="仿宋" w:cs="宋体"/>
          <w:color w:val="000000"/>
          <w:kern w:val="0"/>
          <w:sz w:val="24"/>
        </w:rPr>
      </w:pPr>
      <w:r>
        <w:rPr>
          <w:rFonts w:hint="eastAsia" w:ascii="仿宋" w:hAnsi="仿宋" w:eastAsia="仿宋" w:cs="宋体"/>
          <w:kern w:val="0"/>
          <w:sz w:val="24"/>
        </w:rPr>
        <w:t>6、工程承包范围：</w:t>
      </w:r>
      <w:r>
        <w:rPr>
          <w:rFonts w:hint="eastAsia" w:ascii="仿宋" w:hAnsi="仿宋" w:eastAsia="仿宋" w:cs="宋体"/>
          <w:kern w:val="0"/>
          <w:sz w:val="24"/>
          <w:u w:val="single"/>
        </w:rPr>
        <w:t xml:space="preserve">                                               </w:t>
      </w:r>
      <w:r>
        <w:rPr>
          <w:rFonts w:hint="eastAsia" w:ascii="仿宋" w:hAnsi="仿宋" w:eastAsia="仿宋" w:cs="宋体"/>
          <w:kern w:val="0"/>
          <w:sz w:val="24"/>
        </w:rPr>
        <w:t xml:space="preserve">      </w:t>
      </w:r>
    </w:p>
    <w:p w14:paraId="08FCC678">
      <w:pPr>
        <w:pStyle w:val="4"/>
        <w:keepNext w:val="0"/>
        <w:widowControl/>
        <w:snapToGrid w:val="0"/>
        <w:spacing w:before="120" w:after="120" w:line="360" w:lineRule="auto"/>
        <w:rPr>
          <w:rFonts w:ascii="仿宋" w:hAnsi="仿宋" w:eastAsia="仿宋"/>
          <w:sz w:val="24"/>
          <w:szCs w:val="24"/>
        </w:rPr>
      </w:pPr>
      <w:r>
        <w:rPr>
          <w:rFonts w:hint="eastAsia" w:ascii="仿宋" w:hAnsi="仿宋" w:eastAsia="仿宋" w:cs="宋体"/>
          <w:bCs w:val="0"/>
          <w:color w:val="000000"/>
          <w:sz w:val="24"/>
          <w:szCs w:val="24"/>
        </w:rPr>
        <w:t>二、合同工期</w:t>
      </w:r>
    </w:p>
    <w:p w14:paraId="14602A74">
      <w:pPr>
        <w:widowControl/>
        <w:snapToGrid w:val="0"/>
        <w:spacing w:line="360" w:lineRule="auto"/>
        <w:ind w:left="239" w:leftChars="114" w:firstLine="218" w:firstLineChars="91"/>
        <w:rPr>
          <w:rFonts w:ascii="仿宋" w:hAnsi="仿宋" w:eastAsia="仿宋"/>
          <w:sz w:val="24"/>
        </w:rPr>
      </w:pPr>
      <w:r>
        <w:rPr>
          <w:rFonts w:hint="eastAsia" w:ascii="仿宋" w:hAnsi="仿宋" w:eastAsia="仿宋" w:cs="宋体"/>
          <w:color w:val="000000"/>
          <w:kern w:val="0"/>
          <w:sz w:val="24"/>
        </w:rPr>
        <w:t>工期总日历天数：365天。自合同签订之日起计算，  年  月  日起至   年   月   日。</w:t>
      </w:r>
    </w:p>
    <w:p w14:paraId="253F62BB">
      <w:pPr>
        <w:pStyle w:val="4"/>
        <w:keepNext w:val="0"/>
        <w:widowControl/>
        <w:snapToGrid w:val="0"/>
        <w:spacing w:before="120" w:after="120" w:line="360" w:lineRule="auto"/>
        <w:rPr>
          <w:rFonts w:ascii="仿宋" w:hAnsi="仿宋" w:eastAsia="仿宋"/>
          <w:sz w:val="24"/>
          <w:szCs w:val="24"/>
        </w:rPr>
      </w:pPr>
      <w:r>
        <w:rPr>
          <w:rFonts w:hint="eastAsia" w:ascii="仿宋" w:hAnsi="仿宋" w:eastAsia="仿宋" w:cs="宋体"/>
          <w:bCs w:val="0"/>
          <w:sz w:val="24"/>
          <w:szCs w:val="24"/>
        </w:rPr>
        <w:t>三、质量标准</w:t>
      </w:r>
    </w:p>
    <w:p w14:paraId="3384DC83">
      <w:pPr>
        <w:widowControl/>
        <w:snapToGrid w:val="0"/>
        <w:spacing w:line="360" w:lineRule="auto"/>
        <w:ind w:firstLine="459"/>
        <w:rPr>
          <w:rFonts w:ascii="仿宋" w:hAnsi="仿宋" w:eastAsia="仿宋" w:cs="宋体"/>
          <w:kern w:val="0"/>
          <w:sz w:val="24"/>
        </w:rPr>
      </w:pPr>
      <w:r>
        <w:rPr>
          <w:rFonts w:hint="eastAsia" w:ascii="仿宋" w:hAnsi="仿宋" w:eastAsia="仿宋" w:cs="宋体"/>
          <w:kern w:val="0"/>
          <w:sz w:val="24"/>
        </w:rPr>
        <w:t>工程质量符合国家和现行行业标准规定的</w:t>
      </w:r>
      <w:r>
        <w:rPr>
          <w:rFonts w:hint="eastAsia" w:ascii="仿宋" w:hAnsi="仿宋" w:eastAsia="仿宋" w:cs="宋体"/>
          <w:kern w:val="0"/>
          <w:sz w:val="24"/>
          <w:u w:val="single"/>
        </w:rPr>
        <w:t xml:space="preserve"> 合格 </w:t>
      </w:r>
      <w:r>
        <w:rPr>
          <w:rFonts w:hint="eastAsia" w:ascii="仿宋" w:hAnsi="仿宋" w:eastAsia="仿宋" w:cs="宋体"/>
          <w:kern w:val="0"/>
          <w:sz w:val="24"/>
        </w:rPr>
        <w:t>标准。</w:t>
      </w:r>
    </w:p>
    <w:p w14:paraId="79BFC093">
      <w:pPr>
        <w:pStyle w:val="4"/>
        <w:keepNext w:val="0"/>
        <w:widowControl/>
        <w:snapToGrid w:val="0"/>
        <w:spacing w:before="120" w:after="120" w:line="360" w:lineRule="auto"/>
        <w:rPr>
          <w:rFonts w:ascii="仿宋" w:hAnsi="仿宋" w:eastAsia="仿宋"/>
          <w:sz w:val="24"/>
          <w:szCs w:val="24"/>
        </w:rPr>
      </w:pPr>
      <w:r>
        <w:rPr>
          <w:rFonts w:hint="eastAsia" w:ascii="仿宋" w:hAnsi="仿宋" w:eastAsia="仿宋" w:cs="宋体"/>
          <w:bCs w:val="0"/>
          <w:color w:val="000000"/>
          <w:sz w:val="24"/>
          <w:szCs w:val="24"/>
        </w:rPr>
        <w:t>四、暂定合同价与合同价格形式</w:t>
      </w:r>
      <w:r>
        <w:rPr>
          <w:rFonts w:hint="eastAsia" w:ascii="宋体" w:hAnsi="宋体" w:eastAsia="仿宋" w:cs="宋体"/>
          <w:bCs w:val="0"/>
          <w:color w:val="000000"/>
          <w:sz w:val="24"/>
          <w:szCs w:val="24"/>
        </w:rPr>
        <w:t>   </w:t>
      </w:r>
      <w:r>
        <w:rPr>
          <w:rFonts w:hint="eastAsia" w:ascii="仿宋" w:hAnsi="仿宋" w:eastAsia="仿宋" w:cs="宋体"/>
          <w:bCs w:val="0"/>
          <w:color w:val="000000"/>
          <w:sz w:val="24"/>
          <w:szCs w:val="24"/>
        </w:rPr>
        <w:t xml:space="preserve"> </w:t>
      </w:r>
    </w:p>
    <w:p w14:paraId="3CA0E173">
      <w:pPr>
        <w:widowControl/>
        <w:snapToGrid w:val="0"/>
        <w:spacing w:line="360" w:lineRule="auto"/>
        <w:ind w:firstLine="420"/>
        <w:rPr>
          <w:rFonts w:ascii="仿宋" w:hAnsi="仿宋" w:eastAsia="仿宋"/>
          <w:sz w:val="24"/>
        </w:rPr>
      </w:pPr>
      <w:r>
        <w:rPr>
          <w:rFonts w:hint="eastAsia" w:ascii="仿宋" w:hAnsi="仿宋" w:eastAsia="仿宋" w:cs="宋体"/>
          <w:color w:val="000000"/>
          <w:kern w:val="0"/>
          <w:sz w:val="24"/>
        </w:rPr>
        <w:t>1.暂定合同价为：</w:t>
      </w:r>
    </w:p>
    <w:p w14:paraId="1C520FC3">
      <w:pPr>
        <w:widowControl/>
        <w:snapToGrid w:val="0"/>
        <w:spacing w:line="360" w:lineRule="auto"/>
        <w:ind w:firstLine="525"/>
        <w:rPr>
          <w:rFonts w:ascii="仿宋" w:hAnsi="仿宋" w:eastAsia="仿宋"/>
          <w:sz w:val="24"/>
        </w:rPr>
      </w:pPr>
      <w:r>
        <w:rPr>
          <w:rFonts w:hint="eastAsia" w:ascii="仿宋" w:hAnsi="仿宋" w:eastAsia="仿宋" w:cs="宋体"/>
          <w:color w:val="000000"/>
          <w:kern w:val="0"/>
          <w:sz w:val="24"/>
        </w:rPr>
        <w:t>人民币（大写）</w:t>
      </w:r>
      <w:r>
        <w:rPr>
          <w:rFonts w:hint="eastAsia" w:ascii="仿宋" w:hAnsi="仿宋" w:eastAsia="仿宋" w:cs="宋体"/>
          <w:color w:val="000000"/>
          <w:kern w:val="0"/>
          <w:sz w:val="24"/>
          <w:u w:val="single"/>
        </w:rPr>
        <w:t xml:space="preserve">                </w:t>
      </w:r>
      <w:r>
        <w:rPr>
          <w:rFonts w:hint="eastAsia" w:ascii="仿宋" w:hAnsi="仿宋" w:eastAsia="仿宋" w:cs="宋体"/>
          <w:color w:val="000000"/>
          <w:kern w:val="0"/>
          <w:sz w:val="24"/>
        </w:rPr>
        <w:t xml:space="preserve"> (</w:t>
      </w:r>
      <w:r>
        <w:rPr>
          <w:rFonts w:hint="eastAsia" w:ascii="宋体" w:hAnsi="宋体" w:eastAsia="仿宋" w:cs="宋体"/>
          <w:color w:val="000000"/>
          <w:kern w:val="0"/>
          <w:sz w:val="24"/>
        </w:rPr>
        <w:t>¥</w:t>
      </w:r>
      <w:r>
        <w:rPr>
          <w:rFonts w:hint="eastAsia" w:ascii="宋体" w:hAnsi="宋体" w:eastAsia="仿宋" w:cs="宋体"/>
          <w:color w:val="000000"/>
          <w:kern w:val="0"/>
          <w:sz w:val="24"/>
          <w:u w:val="single"/>
        </w:rPr>
        <w:t xml:space="preserve">           </w:t>
      </w:r>
      <w:r>
        <w:rPr>
          <w:rFonts w:hint="eastAsia" w:ascii="仿宋" w:hAnsi="仿宋" w:eastAsia="仿宋" w:cs="宋体"/>
          <w:color w:val="000000"/>
          <w:kern w:val="0"/>
          <w:sz w:val="24"/>
        </w:rPr>
        <w:t>元)</w:t>
      </w:r>
      <w:r>
        <w:rPr>
          <w:rFonts w:ascii="仿宋" w:hAnsi="仿宋" w:eastAsia="仿宋"/>
          <w:sz w:val="24"/>
        </w:rPr>
        <w:t xml:space="preserve"> </w:t>
      </w:r>
    </w:p>
    <w:p w14:paraId="0F3E45F2">
      <w:pPr>
        <w:widowControl/>
        <w:snapToGrid w:val="0"/>
        <w:spacing w:line="360" w:lineRule="auto"/>
        <w:ind w:firstLine="420"/>
        <w:rPr>
          <w:rFonts w:ascii="仿宋" w:hAnsi="仿宋" w:eastAsia="仿宋" w:cs="宋体"/>
          <w:color w:val="000000" w:themeColor="text1"/>
          <w:kern w:val="0"/>
          <w:sz w:val="24"/>
          <w:u w:val="single"/>
          <w14:textFill>
            <w14:solidFill>
              <w14:schemeClr w14:val="tx1"/>
            </w14:solidFill>
          </w14:textFill>
        </w:rPr>
      </w:pPr>
      <w:r>
        <w:rPr>
          <w:rFonts w:hint="eastAsia" w:ascii="仿宋" w:hAnsi="仿宋" w:eastAsia="仿宋" w:cs="宋体"/>
          <w:color w:val="000000"/>
          <w:kern w:val="0"/>
          <w:sz w:val="24"/>
        </w:rPr>
        <w:t>2.中标下浮率：</w:t>
      </w:r>
      <w:r>
        <w:rPr>
          <w:rFonts w:hint="eastAsia" w:ascii="仿宋" w:hAnsi="仿宋" w:eastAsia="仿宋" w:cs="宋体"/>
          <w:color w:val="000000" w:themeColor="text1"/>
          <w:kern w:val="0"/>
          <w:sz w:val="24"/>
          <w:u w:val="single"/>
          <w14:textFill>
            <w14:solidFill>
              <w14:schemeClr w14:val="tx1"/>
            </w14:solidFill>
          </w14:textFill>
        </w:rPr>
        <w:t xml:space="preserve">            </w:t>
      </w:r>
    </w:p>
    <w:p w14:paraId="139D8318">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3.合同价格形式：单价合同，结算价格为审计价格下浮率</w:t>
      </w:r>
      <w:r>
        <w:rPr>
          <w:rFonts w:hint="eastAsia" w:ascii="仿宋" w:hAnsi="仿宋" w:eastAsia="仿宋" w:cs="宋体"/>
          <w:color w:val="000000"/>
          <w:kern w:val="0"/>
          <w:sz w:val="24"/>
          <w:u w:val="single"/>
        </w:rPr>
        <w:t xml:space="preserve">     </w:t>
      </w:r>
      <w:r>
        <w:rPr>
          <w:rFonts w:hint="eastAsia" w:ascii="仿宋" w:hAnsi="仿宋" w:eastAsia="仿宋" w:cs="宋体"/>
          <w:color w:val="000000"/>
          <w:kern w:val="0"/>
          <w:sz w:val="24"/>
        </w:rPr>
        <w:t>，以一个自然年内的最终总价为准。</w:t>
      </w:r>
    </w:p>
    <w:p w14:paraId="4FDE1CF0">
      <w:pPr>
        <w:widowControl/>
        <w:snapToGrid w:val="0"/>
        <w:spacing w:line="360" w:lineRule="auto"/>
        <w:ind w:firstLine="420"/>
        <w:rPr>
          <w:rFonts w:ascii="仿宋" w:hAnsi="仿宋" w:eastAsia="仿宋" w:cs="宋体"/>
          <w:kern w:val="0"/>
          <w:sz w:val="24"/>
        </w:rPr>
      </w:pPr>
      <w:r>
        <w:rPr>
          <w:rFonts w:hint="eastAsia" w:ascii="仿宋" w:hAnsi="仿宋" w:eastAsia="仿宋" w:cs="宋体"/>
          <w:kern w:val="0"/>
          <w:sz w:val="24"/>
        </w:rPr>
        <w:t>4.甲方每次付款前，乙方需向甲方提供等额有效的发票及相应完整的纸质版和电子版资料，如因乙方提供的发票和资料有误导致甲方损失的，乙方应予以赔偿。如因乙方逾期提供发票和资料导致甲方逾期付款的，由乙方承担逾期责任。</w:t>
      </w:r>
    </w:p>
    <w:p w14:paraId="58357F2E">
      <w:pPr>
        <w:widowControl/>
        <w:snapToGrid w:val="0"/>
        <w:spacing w:line="360" w:lineRule="auto"/>
        <w:ind w:firstLine="420"/>
        <w:rPr>
          <w:rFonts w:ascii="仿宋" w:hAnsi="仿宋" w:eastAsia="仿宋" w:cs="宋体"/>
          <w:kern w:val="0"/>
          <w:sz w:val="24"/>
        </w:rPr>
      </w:pPr>
      <w:r>
        <w:rPr>
          <w:rFonts w:hint="eastAsia" w:ascii="仿宋" w:hAnsi="仿宋" w:eastAsia="仿宋" w:cs="宋体"/>
          <w:kern w:val="0"/>
          <w:sz w:val="24"/>
        </w:rPr>
        <w:t>5.甲方按照乙方提供的银行账号转账完成即视为付款完成。乙方应确保本合同中指定的收款账户信息正确无误，否则导致甲方无法办理转账付款手续或转账有误等的一切责任均由乙方自行承担。</w:t>
      </w:r>
    </w:p>
    <w:p w14:paraId="53263150">
      <w:pPr>
        <w:widowControl/>
        <w:snapToGrid w:val="0"/>
        <w:spacing w:line="360" w:lineRule="auto"/>
        <w:rPr>
          <w:rFonts w:ascii="仿宋" w:hAnsi="仿宋" w:eastAsia="仿宋" w:cs="宋体"/>
          <w:b/>
          <w:color w:val="000000"/>
          <w:kern w:val="0"/>
          <w:sz w:val="24"/>
        </w:rPr>
      </w:pPr>
      <w:r>
        <w:rPr>
          <w:rFonts w:hint="eastAsia" w:ascii="仿宋" w:hAnsi="仿宋" w:eastAsia="仿宋" w:cs="宋体"/>
          <w:b/>
          <w:color w:val="000000"/>
          <w:kern w:val="0"/>
          <w:sz w:val="24"/>
        </w:rPr>
        <w:t>五、工程价款及结算方式</w:t>
      </w:r>
    </w:p>
    <w:p w14:paraId="01F03221">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1.本项目工程由众多子项工程组成，子项多，时间长，不宜采用合同到期后统一结算方式；乙方应采用每一个子项工程独立组成文件，分别独立结算，并且每个子项目在乙方施工之日起15个工作日内及时报给甲方。各子项工程的工程内容、工程量以甲方发出的需求派送单为准。后期结算各子项工程价款的依据以甲方发出的需求派送单为准。</w:t>
      </w:r>
    </w:p>
    <w:p w14:paraId="1E5D2C09">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2.乙方各季度的考核（）分数需达到90分办理结算，未达到分数需整改完成后方可办理结算。每一个子项工程，最终费用以实际工程量为准，乙方报送相关结算资料后，由甲方自行审计或第三方审计，结算审计金额（已按</w:t>
      </w:r>
      <w:r>
        <w:rPr>
          <w:rFonts w:hint="eastAsia" w:ascii="仿宋" w:hAnsi="仿宋" w:eastAsia="仿宋" w:cs="宋体"/>
          <w:color w:val="000000"/>
          <w:kern w:val="0"/>
          <w:sz w:val="24"/>
          <w:u w:val="single"/>
        </w:rPr>
        <w:t xml:space="preserve">       </w:t>
      </w:r>
      <w:r>
        <w:rPr>
          <w:rFonts w:hint="eastAsia" w:ascii="仿宋" w:hAnsi="仿宋" w:eastAsia="仿宋" w:cs="宋体"/>
          <w:color w:val="000000"/>
          <w:kern w:val="0"/>
          <w:sz w:val="24"/>
        </w:rPr>
        <w:t>下浮率扣减）经双方确认后，甲方按审计金额的100%支付工程款给乙方。</w:t>
      </w:r>
    </w:p>
    <w:p w14:paraId="6A3B88C6">
      <w:pPr>
        <w:widowControl/>
        <w:snapToGrid w:val="0"/>
        <w:spacing w:line="360" w:lineRule="auto"/>
        <w:rPr>
          <w:rFonts w:ascii="仿宋" w:hAnsi="仿宋" w:eastAsia="仿宋" w:cs="宋体"/>
          <w:color w:val="000000"/>
          <w:kern w:val="0"/>
          <w:sz w:val="24"/>
        </w:rPr>
      </w:pPr>
      <w:r>
        <w:rPr>
          <w:rFonts w:hint="eastAsia" w:ascii="仿宋" w:hAnsi="仿宋" w:eastAsia="仿宋" w:cs="宋体"/>
          <w:color w:val="000000"/>
          <w:kern w:val="0"/>
          <w:sz w:val="24"/>
        </w:rPr>
        <w:t>3.合同签订后，乙方必须向甲方缴纳工程质量保证金人民币</w:t>
      </w:r>
      <w:r>
        <w:rPr>
          <w:rFonts w:hint="eastAsia" w:ascii="仿宋" w:hAnsi="仿宋" w:eastAsia="仿宋" w:cs="宋体"/>
          <w:color w:val="000000"/>
          <w:kern w:val="0"/>
          <w:sz w:val="24"/>
          <w:u w:val="single"/>
        </w:rPr>
        <w:t xml:space="preserve">       </w:t>
      </w:r>
      <w:r>
        <w:rPr>
          <w:rFonts w:hint="eastAsia" w:ascii="仿宋" w:hAnsi="仿宋" w:eastAsia="仿宋" w:cs="宋体"/>
          <w:color w:val="000000"/>
          <w:kern w:val="0"/>
          <w:sz w:val="24"/>
        </w:rPr>
        <w:t>元（</w:t>
      </w:r>
      <w:r>
        <w:rPr>
          <w:rFonts w:ascii="宋体" w:hAnsi="宋体" w:cs="宋体"/>
          <w:color w:val="000000"/>
          <w:kern w:val="0"/>
          <w:sz w:val="24"/>
        </w:rPr>
        <w:t>¥</w:t>
      </w:r>
      <w:r>
        <w:rPr>
          <w:rFonts w:hint="eastAsia" w:ascii="宋体" w:hAnsi="宋体" w:cs="宋体"/>
          <w:color w:val="000000"/>
          <w:kern w:val="0"/>
          <w:sz w:val="24"/>
        </w:rPr>
        <w:t xml:space="preserve"> </w:t>
      </w:r>
      <w:r>
        <w:rPr>
          <w:rFonts w:hint="eastAsia" w:ascii="宋体" w:hAnsi="宋体" w:cs="宋体"/>
          <w:color w:val="000000"/>
          <w:kern w:val="0"/>
          <w:sz w:val="24"/>
          <w:u w:val="single"/>
        </w:rPr>
        <w:t xml:space="preserve">           </w:t>
      </w:r>
      <w:r>
        <w:rPr>
          <w:rFonts w:hint="eastAsia" w:ascii="仿宋" w:hAnsi="仿宋" w:eastAsia="仿宋" w:cs="宋体"/>
          <w:color w:val="000000"/>
          <w:kern w:val="0"/>
          <w:sz w:val="24"/>
        </w:rPr>
        <w:t>），工程质量保修期为一年（各子项目以验收时间之日起计算，保修期满后30日内，经乙方申请，甲方确认后，将予以扣除部分扣除后，甲方一次性无息返还给乙方剩余的工程质量保证金）</w:t>
      </w:r>
    </w:p>
    <w:p w14:paraId="7F242154">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4.工程结算需提供的资料：</w:t>
      </w:r>
    </w:p>
    <w:p w14:paraId="7624407D">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包括纸质版和电子版。</w:t>
      </w:r>
    </w:p>
    <w:p w14:paraId="1458594F">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（1）海口市人民医院房屋设施维修申请单(印制品)或科室维修申请报告；</w:t>
      </w:r>
    </w:p>
    <w:p w14:paraId="542DBD40">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（2）工程竣工验收单；</w:t>
      </w:r>
    </w:p>
    <w:p w14:paraId="169ACD2F">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（3）工程量表或竣工图，施工地点前后施工照片；</w:t>
      </w:r>
    </w:p>
    <w:p w14:paraId="602D2EE0">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（4）工程结算书；</w:t>
      </w:r>
    </w:p>
    <w:p w14:paraId="60F4670F">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（5）各子项工程的工程需求派送单。</w:t>
      </w:r>
    </w:p>
    <w:p w14:paraId="2E3DF188">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5.支付工程款需提供的资料：</w:t>
      </w:r>
    </w:p>
    <w:p w14:paraId="597BB030">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（1）工程结算审计报告；</w:t>
      </w:r>
    </w:p>
    <w:p w14:paraId="059AFF85">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（2）发票和查询结果；</w:t>
      </w:r>
    </w:p>
    <w:p w14:paraId="65577A05">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（3）将施工过程有关所有资料以PDF形式提交电子版至甲方。</w:t>
      </w:r>
    </w:p>
    <w:p w14:paraId="453D7FC3">
      <w:pPr>
        <w:widowControl/>
        <w:snapToGrid w:val="0"/>
        <w:spacing w:line="360" w:lineRule="auto"/>
        <w:rPr>
          <w:rFonts w:ascii="仿宋" w:hAnsi="仿宋" w:eastAsia="仿宋" w:cs="宋体"/>
          <w:color w:val="000000"/>
          <w:kern w:val="0"/>
          <w:sz w:val="24"/>
        </w:rPr>
      </w:pPr>
      <w:r>
        <w:rPr>
          <w:rFonts w:hint="eastAsia" w:ascii="仿宋" w:hAnsi="仿宋" w:eastAsia="仿宋" w:cs="宋体"/>
          <w:b/>
          <w:color w:val="000000"/>
          <w:kern w:val="0"/>
          <w:sz w:val="24"/>
        </w:rPr>
        <w:t>六、双方的权利和义务</w:t>
      </w:r>
    </w:p>
    <w:p w14:paraId="25DF37FC">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1、甲方的权利和义务</w:t>
      </w:r>
    </w:p>
    <w:p w14:paraId="368E6618">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（1）按合同约定支付工程价款。</w:t>
      </w:r>
    </w:p>
    <w:p w14:paraId="3F44192C">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（2）指派专人负责相关的各种签证，检查及协调等工作，并直接对工程质量、进度进行监督。</w:t>
      </w:r>
    </w:p>
    <w:p w14:paraId="65D40016">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2、乙方的权利和义务</w:t>
      </w:r>
    </w:p>
    <w:p w14:paraId="3D1F13BE">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1）乙方应提供24小时技术支持和服务，自乙方通知之时起2小时内作出实质性响应。遇到台风等恶劣自然灾害时要安排专人值班，随时配合甲方实施现场应急处置工作。对于未能及时响应服务需求的，需提交一份未能响应的合理原因纸质版文件，签字并加盖乙方公章，若原因存在出入或无合理原因的，一切后果由乙方承担。因乙方未及时响应甲方服务需求，甲方有权聘请第三方提供服务，由此产生的费用由乙方承担，包括但不限于维修费、零件费、差旅费等，甲方有权从应支付给乙方的任何一笔费用中予以扣除相应费用，并不承认任何给乙方造成损失的责任以及违约责任。</w:t>
      </w:r>
    </w:p>
    <w:p w14:paraId="53D5F045">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2）指派专业人员为乙方驻工地代表，负责合同履行，按甲方要求组织施工，保质、保量、按期完成施工任务，解决由乙方负责的各项事宜；未经甲方书面允许的情况下，不能随意更改施工方案；若出现该情况，无条件并自行承担更改回原施工方案内容的费用。</w:t>
      </w:r>
    </w:p>
    <w:p w14:paraId="63A17181">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3）乙方须签署安全生产责任书，认真贯彻“安全第一，预防为主”的方针，做好人身安全、设备安全、消防安全、环境安全等各种安全质量保障措施，严格执行施工规范、安全操作规程、防火安全规定及环境保护规定，施工期间做好防火、防盗等工作，控制污染、保护环境，严禁对患者及家属和医护人员造成危害和影响；破坏原有环境和内容的，应及时无理由恢复原貌。</w:t>
      </w:r>
    </w:p>
    <w:p w14:paraId="16D2F9A5">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4）严格按照图纸或做法说明进行施工，按国家和行业相关规定做好各项质量检查记录，接受甲方对工程的检查、监督或咨询，服从甲方管理。乙方各子项派工入场前须交代好安全质量规定，如期间发生任何安全质量问题，均视为乙方监管不周，乙方承担全部责任并向甲方提交盖章签字的书面情况说明。</w:t>
      </w:r>
    </w:p>
    <w:p w14:paraId="503FA11F">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5）遵守国家或地方政府及有关部门对施工现场管理的规定，文明施工，施工材料应按照甲方指定地点妥善放置，不得影响院容院貌和交通，妥善保护好施工现场周围建筑物、设备管线不受损坏，做好施工保卫和垃圾及时清理等工作，处理好由于施工带来的扰民问题及与周围单位（住户）的关系。</w:t>
      </w:r>
    </w:p>
    <w:p w14:paraId="2666165C">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6）乙方接到的项目应积极与申请科室沟通，确认好需求后再动工，确认好施工时间后应尽快处理，若因不及时沟通或未及时施工导致施工面扩大，多出工作量由乙方自行承担；施工中未经甲方书面同意或有关部门书面批准，不得随意拆改原建筑物结构及各种设备管线，由此造成的损失由乙方自行承担。</w:t>
      </w:r>
    </w:p>
    <w:p w14:paraId="2F10B09D">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7）乙方需遵从国家和有关法律法规规定的疫情防控管理制度。施工过程必须制定严密的安全措施，保证施工安全，由于乙方原因造成的安全事故，由乙方承担各项责任，甲方因此遭受损失的，乙方应予以赔偿。</w:t>
      </w:r>
      <w:r>
        <w:rPr>
          <w:rFonts w:hint="eastAsia" w:ascii="仿宋" w:hAnsi="仿宋" w:eastAsia="仿宋" w:cs="宋体"/>
          <w:kern w:val="0"/>
          <w:sz w:val="24"/>
        </w:rPr>
        <w:t>非因乙方原因，</w:t>
      </w:r>
      <w:r>
        <w:rPr>
          <w:rFonts w:ascii="仿宋" w:hAnsi="仿宋" w:eastAsia="仿宋" w:cs="宋体"/>
          <w:kern w:val="0"/>
          <w:sz w:val="24"/>
        </w:rPr>
        <w:t>在施工场地内及其毗邻地带造成的</w:t>
      </w:r>
      <w:r>
        <w:rPr>
          <w:rFonts w:hint="eastAsia" w:ascii="仿宋" w:hAnsi="仿宋" w:eastAsia="仿宋" w:cs="宋体"/>
          <w:kern w:val="0"/>
          <w:sz w:val="24"/>
        </w:rPr>
        <w:t>发包人、监理人以及</w:t>
      </w:r>
      <w:r>
        <w:rPr>
          <w:rFonts w:ascii="仿宋" w:hAnsi="仿宋" w:eastAsia="仿宋" w:cs="宋体"/>
          <w:kern w:val="0"/>
          <w:sz w:val="24"/>
        </w:rPr>
        <w:t>第三者人员伤亡和财产损失，</w:t>
      </w:r>
      <w:r>
        <w:rPr>
          <w:rFonts w:hint="eastAsia" w:ascii="仿宋" w:hAnsi="仿宋" w:eastAsia="仿宋" w:cs="宋体"/>
          <w:kern w:val="0"/>
          <w:sz w:val="24"/>
        </w:rPr>
        <w:t>依照相关法律法规处理</w:t>
      </w:r>
      <w:r>
        <w:rPr>
          <w:rFonts w:ascii="仿宋" w:hAnsi="仿宋" w:eastAsia="仿宋" w:cs="宋体"/>
          <w:kern w:val="0"/>
          <w:sz w:val="24"/>
        </w:rPr>
        <w:t>。</w:t>
      </w:r>
      <w:r>
        <w:rPr>
          <w:rFonts w:hint="eastAsia" w:ascii="仿宋" w:hAnsi="仿宋" w:eastAsia="仿宋" w:cs="宋体"/>
          <w:color w:val="000000"/>
          <w:kern w:val="0"/>
          <w:sz w:val="24"/>
        </w:rPr>
        <w:t>乙方</w:t>
      </w:r>
      <w:r>
        <w:rPr>
          <w:rFonts w:ascii="仿宋" w:hAnsi="仿宋" w:eastAsia="仿宋" w:cs="宋体"/>
          <w:color w:val="000000"/>
          <w:kern w:val="0"/>
          <w:sz w:val="24"/>
        </w:rPr>
        <w:t>雇佣人员</w:t>
      </w:r>
      <w:r>
        <w:rPr>
          <w:rFonts w:hint="eastAsia" w:ascii="仿宋" w:hAnsi="仿宋" w:eastAsia="仿宋" w:cs="宋体"/>
          <w:color w:val="000000"/>
          <w:kern w:val="0"/>
          <w:sz w:val="24"/>
        </w:rPr>
        <w:t>由乙方全权负责，若</w:t>
      </w:r>
      <w:r>
        <w:rPr>
          <w:rFonts w:ascii="仿宋" w:hAnsi="仿宋" w:eastAsia="仿宋" w:cs="宋体"/>
          <w:color w:val="000000"/>
          <w:kern w:val="0"/>
          <w:sz w:val="24"/>
        </w:rPr>
        <w:t>在施工中受到伤害的，承包人应立即采取有效措施进行抢救和治疗</w:t>
      </w:r>
      <w:r>
        <w:rPr>
          <w:rFonts w:hint="eastAsia" w:ascii="仿宋" w:hAnsi="仿宋" w:eastAsia="仿宋" w:cs="宋体"/>
          <w:color w:val="000000"/>
          <w:kern w:val="0"/>
          <w:sz w:val="24"/>
        </w:rPr>
        <w:t>，并承担各项法律责任</w:t>
      </w:r>
      <w:r>
        <w:rPr>
          <w:rFonts w:ascii="仿宋" w:hAnsi="仿宋" w:eastAsia="仿宋" w:cs="宋体"/>
          <w:color w:val="000000"/>
          <w:kern w:val="0"/>
          <w:sz w:val="24"/>
        </w:rPr>
        <w:t>。</w:t>
      </w:r>
    </w:p>
    <w:p w14:paraId="1FFC4D65">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（8）工程竣工未移交甲方之前，负责对现场的一切施工和工程产品进行保护，如有毁损、灭失的，由乙方承担全部责任。</w:t>
      </w:r>
    </w:p>
    <w:p w14:paraId="1723AB18">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9）按合同约定将工程按质保期交付甲方使用。因承包人原因造成工程质量未达到合同约定标准的，发包人有权要求承包人返工直至工程质量达到合同约定的标准为止，并由承包人承担由此增加的费用和（或）延误的工期。</w:t>
      </w:r>
    </w:p>
    <w:p w14:paraId="7D2EBEC0">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10）承包人不得将其承包的全部工程转包给第三人，或将其承包的全部工程肢解后以分包的名义转包给第三人。承包人不得将工程主体结构、关键性工作及专用合同条款中禁止分包的专业工程分包给第三人。承包人不得以劳务分包的名义转包或违法分包工程。</w:t>
      </w:r>
    </w:p>
    <w:p w14:paraId="13481779">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（11）乙方人员应严格遵守甲方的防控疫情规定。若有违反，则乙方应向甲方承担500元/人/次的违约金。</w:t>
      </w:r>
    </w:p>
    <w:p w14:paraId="3A105B04">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b/>
          <w:color w:val="000000"/>
          <w:kern w:val="0"/>
          <w:sz w:val="24"/>
        </w:rPr>
        <w:t>七、材料供应</w:t>
      </w:r>
    </w:p>
    <w:p w14:paraId="19CEC31D">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1、乙方采购的主要施工材料、设备，进场时应通知甲方到现场验收，如不符合设计、施工要求或规格有差异，应禁止使用，甲方有权要求更换，如已使用，对工程造成损失的，乙方无条件返工整改并承担其费用，工期不予顺延。甲方验收后，乙方应及时施工并按时完成项目，不得以甲方验收延迟、材料进场延迟为由延长工期。</w:t>
      </w:r>
    </w:p>
    <w:p w14:paraId="7040F3B4">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2、乙方如需变更施工材料、方式、工期、工程量等实质性内容必须事先书面报请甲方，得到甲方书面批准后方可施工，否则由此发生的一切责任事故及经济损失由乙方承担。</w:t>
      </w:r>
    </w:p>
    <w:p w14:paraId="50AF4025">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3、乙方提供的建筑装饰装修材料、设备，必须符合国家质量监督部门规定的相关标准，且是全新、未使用过的原厂正品。</w:t>
      </w:r>
    </w:p>
    <w:p w14:paraId="54771F55">
      <w:pPr>
        <w:widowControl/>
        <w:snapToGrid w:val="0"/>
        <w:spacing w:line="360" w:lineRule="auto"/>
        <w:ind w:firstLine="420"/>
        <w:rPr>
          <w:rFonts w:ascii="仿宋" w:hAnsi="仿宋" w:eastAsia="仿宋" w:cs="宋体"/>
          <w:b/>
          <w:color w:val="000000"/>
          <w:kern w:val="0"/>
          <w:sz w:val="24"/>
        </w:rPr>
      </w:pPr>
      <w:r>
        <w:rPr>
          <w:rFonts w:hint="eastAsia" w:ascii="仿宋" w:hAnsi="仿宋" w:eastAsia="仿宋" w:cs="宋体"/>
          <w:b/>
          <w:color w:val="000000"/>
          <w:kern w:val="0"/>
          <w:sz w:val="24"/>
        </w:rPr>
        <w:t>八、工程质量及验收</w:t>
      </w:r>
    </w:p>
    <w:p w14:paraId="7AB90077">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1、本工程以甲方的要求、经甲方同意的施工方案、国家和当地政府现行的施工及验收规范为质量评定验收标准。</w:t>
      </w:r>
    </w:p>
    <w:p w14:paraId="449627AA">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2、本工程质量须达到国家质量评定合格标准。</w:t>
      </w:r>
    </w:p>
    <w:p w14:paraId="4DC91F4B">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3、甲、乙双方应及时办理隐蔽工程和中间工程的检查与验收手续。乙方应在隐蔽工程和中间工程完工前2天通知甲方验收，甲方无故不按时参加隐蔽工程和中间工程验收，乙方可自行验收，做好验收记录，甲方应予承认。若甲方要求复验收时，乙方应按要求办理复验。若复验合格，甲方应承担复验费用，由此造成停工的，工期顺延；若复验不合格，其复验及返工费用由乙方承担，且工期不予顺延。</w:t>
      </w:r>
    </w:p>
    <w:p w14:paraId="5C29B956">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4、由于乙方原因造成质量事故，其返工费用由乙方承担，工期不顺延。</w:t>
      </w:r>
    </w:p>
    <w:p w14:paraId="467BA663">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5、工程完工后，乙方必须准备好一切合格验收的书面材料，并向甲方提交竣工验收申请，甲方在确认竣工验收申请无误之日起7个工作日内组织有关人员按国家及当地政府现行的规范规定进行验收，若验收不合格的必须限期改正，竣工日以最后验收合格日为准，验收合格后，乙方即时将相关资料移交给甲方，并办理移交手续，如甲方在规定时间内未能组织验收，需及时通知乙方，可另定验收日期，但甲方应承认竣工日期。</w:t>
      </w:r>
    </w:p>
    <w:p w14:paraId="60D8414D">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6、因乙方施工过程中未做好安全防护措施或者因乙方所施工的项目存在质量问题导致甲方或第三方遭受财物损害、人身伤亡等意外事故，由乙方承担各项责任，由此造成甲方损失的，乙方应予以赔偿。</w:t>
      </w:r>
    </w:p>
    <w:p w14:paraId="072A24BB">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b/>
          <w:color w:val="000000"/>
          <w:kern w:val="0"/>
          <w:sz w:val="24"/>
        </w:rPr>
        <w:t>九、工程保修</w:t>
      </w:r>
    </w:p>
    <w:p w14:paraId="56DA5C27">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1、工程保修期： 每一个子项工程保修期按照</w:t>
      </w:r>
      <w:r>
        <w:rPr>
          <w:rFonts w:hint="eastAsia" w:ascii="仿宋" w:hAnsi="仿宋" w:eastAsia="仿宋"/>
          <w:sz w:val="24"/>
        </w:rPr>
        <w:t>《建设工程质量管理条例》执行，最低不得少于</w:t>
      </w:r>
      <w:r>
        <w:rPr>
          <w:rFonts w:hint="eastAsia" w:ascii="仿宋" w:hAnsi="仿宋" w:eastAsia="仿宋" w:cs="宋体"/>
          <w:color w:val="000000"/>
          <w:kern w:val="0"/>
          <w:sz w:val="24"/>
        </w:rPr>
        <w:t>1年；若国家法律法规和行业规定对工程项目的保修期另有规定的，按照相关规定执行，自子项工程竣工验收合格之日起计算。</w:t>
      </w:r>
    </w:p>
    <w:p w14:paraId="3FECF213">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2、保修期内，乙方须尽保修义务，若因乙方施工质量所产生的质量问题，乙方应根据甲方的需求在指定时间内派人进行修复，其费用由乙方承担。如乙方不按约定期限内派人修理，甲方可委托其他人员修理，修理费用从质保金内扣除，如质保金不足以支付的，乙方应向甲方支付由甲方垫付的剩余修理费用。</w:t>
      </w:r>
    </w:p>
    <w:p w14:paraId="268BDDCC">
      <w:pPr>
        <w:widowControl/>
        <w:snapToGrid w:val="0"/>
        <w:spacing w:line="360" w:lineRule="auto"/>
        <w:ind w:firstLine="420"/>
        <w:rPr>
          <w:rFonts w:ascii="仿宋" w:hAnsi="仿宋" w:eastAsia="仿宋" w:cs="宋体"/>
          <w:b/>
          <w:color w:val="000000"/>
          <w:kern w:val="0"/>
          <w:sz w:val="24"/>
        </w:rPr>
      </w:pPr>
      <w:r>
        <w:rPr>
          <w:rFonts w:hint="eastAsia" w:ascii="仿宋" w:hAnsi="仿宋" w:eastAsia="仿宋" w:cs="宋体"/>
          <w:b/>
          <w:color w:val="000000"/>
          <w:kern w:val="0"/>
          <w:sz w:val="24"/>
        </w:rPr>
        <w:t>十、违约责任</w:t>
      </w:r>
    </w:p>
    <w:p w14:paraId="6D3489CF">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1、每一个子项工程单独设定工期，经甲乙双方协商确认。除不可抗力外（包括地震、台风、洪水、政府禁令、法律要求）及甲方原因造成的工期延误外，乙方不得以任何理由拖延工期，每逾期一天，按1000元向甲方支付违约金。</w:t>
      </w:r>
    </w:p>
    <w:p w14:paraId="7F24ECB7">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2、未经甲方书面同意，乙方擅自转让本合同项下权利或义务的行为对甲方不发生效力，甲方有权单方面解除本合同，同时结算审计金额，乙方需按实际审计金额的10 %向甲方支付违约金。</w:t>
      </w:r>
    </w:p>
    <w:p w14:paraId="438BAD35">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3、乙方需向甲方支付的违约金、赔偿金等，甲方有权直接从尚未支付给乙方的合同款项中扣除，不足的部分由乙方在3日内补足。</w:t>
      </w:r>
    </w:p>
    <w:p w14:paraId="70CAA351">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b/>
          <w:color w:val="000000"/>
          <w:kern w:val="0"/>
          <w:sz w:val="24"/>
        </w:rPr>
        <w:t>十一、合同解除或终止</w:t>
      </w:r>
    </w:p>
    <w:p w14:paraId="543B181B">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1、在合同履行期间，甲方无故要求终止或解除合同，甲方应对乙方已进行的工作量和相关费用予以计量、支付，并按合同金额的10%支付违约金给乙方。</w:t>
      </w:r>
    </w:p>
    <w:p w14:paraId="42649FF3">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2、合同生效后，乙方要求终止或解除合同，甲方有权要求乙方返还已支付的费用，乙方已进行的工作量和相关费用不予以计量、支付，并要求乙方承担合同金额10%的违约金。</w:t>
      </w:r>
    </w:p>
    <w:p w14:paraId="447BEC3C">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3、对于施工过程中恶意虚报工程量，经甲方多次核实未改正，造成恶劣影响的，甲方有权解除合同，造成的后果由乙方自行承担。</w:t>
      </w:r>
    </w:p>
    <w:p w14:paraId="174086DD">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4、乙方延误工期超出7日的，则甲方有权单方解除合同。无论因何种导致合同解除的，合同解除后，乙方应在10日内退场，并将施工界面移交甲方，延迟退场一日，则乙方应向甲方承担相当于暂定合同价的万分之五的违约金。</w:t>
      </w:r>
    </w:p>
    <w:p w14:paraId="2C62A638">
      <w:pPr>
        <w:widowControl/>
        <w:snapToGrid w:val="0"/>
        <w:spacing w:line="360" w:lineRule="auto"/>
        <w:ind w:firstLine="420"/>
        <w:rPr>
          <w:rFonts w:ascii="仿宋" w:hAnsi="仿宋" w:eastAsia="仿宋" w:cs="宋体"/>
          <w:b/>
          <w:color w:val="000000"/>
          <w:kern w:val="0"/>
          <w:sz w:val="24"/>
        </w:rPr>
      </w:pPr>
      <w:r>
        <w:rPr>
          <w:rFonts w:hint="eastAsia" w:ascii="仿宋" w:hAnsi="仿宋" w:eastAsia="仿宋" w:cs="宋体"/>
          <w:b/>
          <w:color w:val="000000"/>
          <w:kern w:val="0"/>
          <w:sz w:val="24"/>
        </w:rPr>
        <w:t>十二、争议解决方式</w:t>
      </w:r>
    </w:p>
    <w:p w14:paraId="722BEB37">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本合同在履行过程中发生争议时，双方应协商解决，也可请求相关主管部门调解，若双方不愿协商、调解或者协商、调解不成的，可向海口市美兰区人民法院提起诉讼。为解决纠纷而发生的费用由违约方承担，其中包括但不限于为诉讼而支出的诉讼费用、律师代理费、差旅费用、保全费用、鉴定费用、公证费用等为实现债权而支出的一切费用。</w:t>
      </w:r>
    </w:p>
    <w:p w14:paraId="1656A427">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b/>
          <w:color w:val="000000"/>
          <w:kern w:val="0"/>
          <w:sz w:val="24"/>
        </w:rPr>
        <w:t>十三、  补充协议</w:t>
      </w:r>
    </w:p>
    <w:p w14:paraId="2432BBF7">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本合同未尽事宜，由双方另行协商并签订补充协议，补充协议与本合同具有同等效力。</w:t>
      </w:r>
    </w:p>
    <w:p w14:paraId="6E046477">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b/>
          <w:color w:val="000000"/>
          <w:kern w:val="0"/>
          <w:sz w:val="24"/>
        </w:rPr>
        <w:t>十四、  合同生效</w:t>
      </w:r>
    </w:p>
    <w:p w14:paraId="0154228C">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本合同自双方法定代表人或其授权代理人签字并加盖公章或合同专用章之日起生效。</w:t>
      </w:r>
    </w:p>
    <w:p w14:paraId="2D5FCF95">
      <w:pPr>
        <w:widowControl/>
        <w:snapToGrid w:val="0"/>
        <w:spacing w:line="360" w:lineRule="auto"/>
        <w:ind w:firstLine="420"/>
        <w:rPr>
          <w:rFonts w:ascii="仿宋" w:hAnsi="仿宋" w:eastAsia="仿宋" w:cs="宋体"/>
          <w:b/>
          <w:color w:val="000000"/>
          <w:kern w:val="0"/>
          <w:sz w:val="24"/>
        </w:rPr>
      </w:pPr>
      <w:r>
        <w:rPr>
          <w:rFonts w:hint="eastAsia" w:ascii="仿宋" w:hAnsi="仿宋" w:eastAsia="仿宋" w:cs="宋体"/>
          <w:b/>
          <w:color w:val="000000"/>
          <w:kern w:val="0"/>
          <w:sz w:val="24"/>
        </w:rPr>
        <w:t>十五、 合同份数</w:t>
      </w:r>
    </w:p>
    <w:p w14:paraId="22B2CCC3">
      <w:pPr>
        <w:widowControl/>
        <w:snapToGrid w:val="0"/>
        <w:spacing w:line="360" w:lineRule="auto"/>
        <w:ind w:firstLine="420"/>
        <w:rPr>
          <w:rFonts w:ascii="仿宋" w:hAnsi="仿宋" w:eastAsia="仿宋" w:cs="宋体"/>
          <w:color w:val="000000"/>
          <w:kern w:val="0"/>
          <w:sz w:val="24"/>
        </w:rPr>
      </w:pPr>
      <w:r>
        <w:rPr>
          <w:rFonts w:hint="eastAsia" w:ascii="仿宋" w:hAnsi="仿宋" w:eastAsia="仿宋" w:cs="宋体"/>
          <w:color w:val="000000"/>
          <w:kern w:val="0"/>
          <w:sz w:val="24"/>
        </w:rPr>
        <w:t>本合同一式</w:t>
      </w:r>
      <w:r>
        <w:rPr>
          <w:rFonts w:hint="eastAsia" w:ascii="仿宋" w:hAnsi="仿宋" w:eastAsia="仿宋" w:cs="宋体"/>
          <w:color w:val="000000"/>
          <w:kern w:val="0"/>
          <w:sz w:val="24"/>
          <w:u w:val="single"/>
        </w:rPr>
        <w:t xml:space="preserve">  捌 </w:t>
      </w:r>
      <w:r>
        <w:rPr>
          <w:rFonts w:hint="eastAsia" w:ascii="仿宋" w:hAnsi="仿宋" w:eastAsia="仿宋" w:cs="宋体"/>
          <w:color w:val="000000"/>
          <w:kern w:val="0"/>
          <w:sz w:val="24"/>
        </w:rPr>
        <w:t>份，甲方执</w:t>
      </w:r>
      <w:r>
        <w:rPr>
          <w:rFonts w:hint="eastAsia" w:ascii="仿宋" w:hAnsi="仿宋" w:eastAsia="仿宋" w:cs="宋体"/>
          <w:color w:val="000000"/>
          <w:kern w:val="0"/>
          <w:sz w:val="24"/>
          <w:u w:val="single"/>
        </w:rPr>
        <w:t xml:space="preserve"> 伍 </w:t>
      </w:r>
      <w:r>
        <w:rPr>
          <w:rFonts w:hint="eastAsia" w:ascii="仿宋" w:hAnsi="仿宋" w:eastAsia="仿宋" w:cs="宋体"/>
          <w:color w:val="000000"/>
          <w:kern w:val="0"/>
          <w:sz w:val="24"/>
        </w:rPr>
        <w:t>份，乙方执</w:t>
      </w:r>
      <w:r>
        <w:rPr>
          <w:rFonts w:hint="eastAsia" w:ascii="仿宋" w:hAnsi="仿宋" w:eastAsia="仿宋" w:cs="宋体"/>
          <w:color w:val="000000"/>
          <w:kern w:val="0"/>
          <w:sz w:val="24"/>
          <w:u w:val="single"/>
        </w:rPr>
        <w:t xml:space="preserve"> 叁 </w:t>
      </w:r>
      <w:r>
        <w:rPr>
          <w:rFonts w:hint="eastAsia" w:ascii="仿宋" w:hAnsi="仿宋" w:eastAsia="仿宋" w:cs="宋体"/>
          <w:color w:val="000000"/>
          <w:kern w:val="0"/>
          <w:sz w:val="24"/>
        </w:rPr>
        <w:t>份，均具有同等法律效力。</w:t>
      </w:r>
    </w:p>
    <w:p w14:paraId="0B333A73">
      <w:pPr>
        <w:tabs>
          <w:tab w:val="left" w:pos="426"/>
          <w:tab w:val="left" w:pos="1701"/>
        </w:tabs>
        <w:autoSpaceDE w:val="0"/>
        <w:autoSpaceDN w:val="0"/>
        <w:adjustRightInd w:val="0"/>
        <w:snapToGrid w:val="0"/>
        <w:spacing w:before="156" w:beforeLines="50" w:after="156" w:afterLines="50"/>
        <w:jc w:val="left"/>
        <w:rPr>
          <w:bCs/>
          <w:kern w:val="0"/>
          <w:sz w:val="24"/>
        </w:rPr>
      </w:pPr>
    </w:p>
    <w:p w14:paraId="510B7CEE">
      <w:pPr>
        <w:rPr>
          <w:bCs/>
          <w:kern w:val="0"/>
          <w:sz w:val="24"/>
        </w:rPr>
      </w:pPr>
      <w:r>
        <w:rPr>
          <w:bCs/>
          <w:kern w:val="0"/>
          <w:sz w:val="24"/>
        </w:rPr>
        <w:br w:type="page"/>
      </w:r>
    </w:p>
    <w:p w14:paraId="1E0252D4">
      <w:pPr>
        <w:tabs>
          <w:tab w:val="left" w:pos="426"/>
          <w:tab w:val="left" w:pos="1701"/>
        </w:tabs>
        <w:autoSpaceDE w:val="0"/>
        <w:autoSpaceDN w:val="0"/>
        <w:adjustRightInd w:val="0"/>
        <w:snapToGrid w:val="0"/>
        <w:spacing w:before="156" w:beforeLines="50" w:after="156" w:afterLines="50"/>
        <w:jc w:val="left"/>
      </w:pPr>
      <w:r>
        <w:rPr>
          <w:bCs/>
          <w:kern w:val="0"/>
          <w:sz w:val="24"/>
        </w:rPr>
        <w:t>附表</w:t>
      </w:r>
      <w:r>
        <w:rPr>
          <w:rFonts w:hint="eastAsia"/>
          <w:bCs/>
          <w:kern w:val="0"/>
          <w:sz w:val="24"/>
        </w:rPr>
        <w:t>1：季度考核表（所有分包通用）</w:t>
      </w:r>
    </w:p>
    <w:tbl>
      <w:tblPr>
        <w:tblStyle w:val="5"/>
        <w:tblW w:w="8260" w:type="dxa"/>
        <w:tblInd w:w="0" w:type="dxa"/>
        <w:tblLayout w:type="autofit"/>
        <w:tblCellMar>
          <w:top w:w="0" w:type="dxa"/>
          <w:left w:w="0" w:type="dxa"/>
          <w:bottom w:w="0" w:type="dxa"/>
          <w:right w:w="0" w:type="dxa"/>
        </w:tblCellMar>
      </w:tblPr>
      <w:tblGrid>
        <w:gridCol w:w="691"/>
        <w:gridCol w:w="2211"/>
        <w:gridCol w:w="1201"/>
        <w:gridCol w:w="1903"/>
        <w:gridCol w:w="1123"/>
        <w:gridCol w:w="1131"/>
      </w:tblGrid>
      <w:tr w14:paraId="19A30654">
        <w:tblPrEx>
          <w:tblCellMar>
            <w:top w:w="0" w:type="dxa"/>
            <w:left w:w="0" w:type="dxa"/>
            <w:bottom w:w="0" w:type="dxa"/>
            <w:right w:w="0" w:type="dxa"/>
          </w:tblCellMar>
        </w:tblPrEx>
        <w:trPr>
          <w:trHeight w:val="653" w:hRule="atLeast"/>
        </w:trPr>
        <w:tc>
          <w:tcPr>
            <w:tcW w:w="8260" w:type="dxa"/>
            <w:gridSpan w:val="6"/>
            <w:tcBorders>
              <w:top w:val="nil"/>
              <w:left w:val="nil"/>
              <w:bottom w:val="nil"/>
              <w:right w:val="nil"/>
            </w:tcBorders>
            <w:shd w:val="clear" w:color="auto" w:fill="auto"/>
            <w:noWrap/>
            <w:tcMar>
              <w:top w:w="15" w:type="dxa"/>
              <w:left w:w="15" w:type="dxa"/>
              <w:right w:w="15" w:type="dxa"/>
            </w:tcMar>
            <w:vAlign w:val="center"/>
          </w:tcPr>
          <w:p w14:paraId="39406915">
            <w:pPr>
              <w:widowControl/>
              <w:jc w:val="center"/>
              <w:textAlignment w:val="center"/>
              <w:rPr>
                <w:rFonts w:ascii="宋体" w:hAnsi="宋体" w:cs="宋体"/>
                <w:b/>
                <w:color w:val="000000"/>
                <w:sz w:val="40"/>
                <w:szCs w:val="40"/>
              </w:rPr>
            </w:pPr>
            <w:r>
              <w:rPr>
                <w:rFonts w:hint="eastAsia" w:ascii="宋体" w:hAnsi="宋体" w:cs="宋体"/>
                <w:b/>
                <w:color w:val="000000"/>
                <w:kern w:val="0"/>
                <w:sz w:val="40"/>
                <w:szCs w:val="40"/>
                <w:lang w:bidi="ar"/>
              </w:rPr>
              <w:t>海口市人民医院零星维修季度考核表</w:t>
            </w:r>
          </w:p>
        </w:tc>
      </w:tr>
      <w:tr w14:paraId="5EEF992C">
        <w:tblPrEx>
          <w:tblCellMar>
            <w:top w:w="0" w:type="dxa"/>
            <w:left w:w="0" w:type="dxa"/>
            <w:bottom w:w="0" w:type="dxa"/>
            <w:right w:w="0" w:type="dxa"/>
          </w:tblCellMar>
        </w:tblPrEx>
        <w:trPr>
          <w:trHeight w:val="680" w:hRule="atLeast"/>
        </w:trPr>
        <w:tc>
          <w:tcPr>
            <w:tcW w:w="69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7929D524">
            <w:pPr>
              <w:widowControl/>
              <w:jc w:val="center"/>
              <w:textAlignment w:val="center"/>
              <w:rPr>
                <w:rFonts w:ascii="宋体" w:hAnsi="宋体" w:cs="宋体"/>
                <w:color w:val="000000"/>
                <w:sz w:val="22"/>
                <w:szCs w:val="22"/>
              </w:rPr>
            </w:pPr>
            <w:r>
              <w:rPr>
                <w:rStyle w:val="9"/>
                <w:rFonts w:hint="default"/>
                <w:lang w:bidi="ar"/>
              </w:rPr>
              <w:t>类别</w:t>
            </w:r>
          </w:p>
        </w:tc>
        <w:tc>
          <w:tcPr>
            <w:tcW w:w="2211"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1334D5C5">
            <w:pPr>
              <w:widowControl/>
              <w:jc w:val="center"/>
              <w:textAlignment w:val="center"/>
              <w:rPr>
                <w:rFonts w:ascii="宋体" w:hAnsi="宋体" w:cs="宋体"/>
                <w:color w:val="000000"/>
                <w:sz w:val="22"/>
                <w:szCs w:val="22"/>
              </w:rPr>
            </w:pPr>
            <w:r>
              <w:rPr>
                <w:rStyle w:val="9"/>
                <w:rFonts w:hint="default"/>
                <w:lang w:bidi="ar"/>
              </w:rPr>
              <w:t>考核评分项目</w:t>
            </w:r>
          </w:p>
        </w:tc>
        <w:tc>
          <w:tcPr>
            <w:tcW w:w="1201"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2262AA2B">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基础分数</w:t>
            </w:r>
          </w:p>
        </w:tc>
        <w:tc>
          <w:tcPr>
            <w:tcW w:w="1903"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6E06B2E2">
            <w:pPr>
              <w:widowControl/>
              <w:jc w:val="center"/>
              <w:textAlignment w:val="center"/>
              <w:rPr>
                <w:rFonts w:ascii="宋体" w:hAnsi="宋体" w:cs="宋体"/>
                <w:color w:val="000000"/>
                <w:sz w:val="22"/>
                <w:szCs w:val="22"/>
              </w:rPr>
            </w:pPr>
            <w:r>
              <w:rPr>
                <w:rStyle w:val="9"/>
                <w:rFonts w:hint="default"/>
                <w:lang w:bidi="ar"/>
              </w:rPr>
              <w:t>评分标准</w:t>
            </w:r>
          </w:p>
        </w:tc>
        <w:tc>
          <w:tcPr>
            <w:tcW w:w="1123"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18507827">
            <w:pPr>
              <w:widowControl/>
              <w:jc w:val="center"/>
              <w:textAlignment w:val="center"/>
              <w:rPr>
                <w:rFonts w:ascii="宋体" w:hAnsi="宋体" w:cs="宋体"/>
                <w:color w:val="000000"/>
                <w:sz w:val="22"/>
                <w:szCs w:val="22"/>
              </w:rPr>
            </w:pPr>
            <w:r>
              <w:rPr>
                <w:rStyle w:val="9"/>
                <w:rFonts w:hint="default"/>
                <w:lang w:bidi="ar"/>
              </w:rPr>
              <w:t>扣分</w:t>
            </w:r>
          </w:p>
        </w:tc>
        <w:tc>
          <w:tcPr>
            <w:tcW w:w="1131"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5B4CB9CA">
            <w:pPr>
              <w:widowControl/>
              <w:jc w:val="center"/>
              <w:textAlignment w:val="center"/>
              <w:rPr>
                <w:rFonts w:ascii="宋体" w:hAnsi="宋体" w:cs="宋体"/>
                <w:color w:val="000000"/>
                <w:sz w:val="22"/>
                <w:szCs w:val="22"/>
              </w:rPr>
            </w:pPr>
            <w:r>
              <w:rPr>
                <w:rStyle w:val="9"/>
                <w:rFonts w:hint="default"/>
                <w:lang w:bidi="ar"/>
              </w:rPr>
              <w:t>得分</w:t>
            </w:r>
          </w:p>
        </w:tc>
      </w:tr>
      <w:tr w14:paraId="409F72ED">
        <w:tblPrEx>
          <w:tblCellMar>
            <w:top w:w="0" w:type="dxa"/>
            <w:left w:w="0" w:type="dxa"/>
            <w:bottom w:w="0" w:type="dxa"/>
            <w:right w:w="0" w:type="dxa"/>
          </w:tblCellMar>
        </w:tblPrEx>
        <w:trPr>
          <w:trHeight w:val="1004" w:hRule="atLeast"/>
        </w:trPr>
        <w:tc>
          <w:tcPr>
            <w:tcW w:w="69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023FA46F">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施工管理（35分）</w:t>
            </w:r>
          </w:p>
        </w:tc>
        <w:tc>
          <w:tcPr>
            <w:tcW w:w="221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3AD86BD">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1.服从管理，遵守规章制度，充分配合院内开展施工</w:t>
            </w:r>
          </w:p>
        </w:tc>
        <w:tc>
          <w:tcPr>
            <w:tcW w:w="12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F4C1FC1">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5分</w:t>
            </w:r>
          </w:p>
        </w:tc>
        <w:tc>
          <w:tcPr>
            <w:tcW w:w="190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B3D92B4">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未满足1次，扣1分。</w:t>
            </w:r>
          </w:p>
        </w:tc>
        <w:tc>
          <w:tcPr>
            <w:tcW w:w="112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A1B9360">
            <w:pPr>
              <w:jc w:val="center"/>
              <w:rPr>
                <w:rFonts w:ascii="宋体" w:hAnsi="宋体" w:cs="宋体"/>
                <w:color w:val="000000"/>
                <w:sz w:val="22"/>
                <w:szCs w:val="22"/>
              </w:rPr>
            </w:pPr>
          </w:p>
        </w:tc>
        <w:tc>
          <w:tcPr>
            <w:tcW w:w="11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BF3AA66">
            <w:pPr>
              <w:jc w:val="center"/>
              <w:rPr>
                <w:rFonts w:ascii="宋体" w:hAnsi="宋体" w:cs="宋体"/>
                <w:color w:val="000000"/>
                <w:sz w:val="22"/>
                <w:szCs w:val="22"/>
              </w:rPr>
            </w:pPr>
          </w:p>
        </w:tc>
      </w:tr>
      <w:tr w14:paraId="3A462737">
        <w:tblPrEx>
          <w:tblCellMar>
            <w:top w:w="0" w:type="dxa"/>
            <w:left w:w="0" w:type="dxa"/>
            <w:bottom w:w="0" w:type="dxa"/>
            <w:right w:w="0" w:type="dxa"/>
          </w:tblCellMar>
        </w:tblPrEx>
        <w:trPr>
          <w:trHeight w:val="1290" w:hRule="atLeast"/>
        </w:trPr>
        <w:tc>
          <w:tcPr>
            <w:tcW w:w="69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6E899AAB">
            <w:pPr>
              <w:jc w:val="center"/>
              <w:rPr>
                <w:rFonts w:ascii="宋体" w:hAnsi="宋体" w:cs="宋体"/>
                <w:color w:val="000000"/>
                <w:sz w:val="22"/>
                <w:szCs w:val="22"/>
              </w:rPr>
            </w:pPr>
          </w:p>
        </w:tc>
        <w:tc>
          <w:tcPr>
            <w:tcW w:w="221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0ABF3ED">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2.按时进场，施工有序，遵守工期，责任明确到位</w:t>
            </w:r>
          </w:p>
        </w:tc>
        <w:tc>
          <w:tcPr>
            <w:tcW w:w="12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F9CD1EE">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6分</w:t>
            </w:r>
          </w:p>
        </w:tc>
        <w:tc>
          <w:tcPr>
            <w:tcW w:w="190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9573F46">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每提前完成1次，加0.5分，每滞后完成1次，扣0.5分。</w:t>
            </w:r>
          </w:p>
        </w:tc>
        <w:tc>
          <w:tcPr>
            <w:tcW w:w="112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20FD612">
            <w:pPr>
              <w:jc w:val="center"/>
              <w:rPr>
                <w:rFonts w:ascii="宋体" w:hAnsi="宋体" w:cs="宋体"/>
                <w:color w:val="000000"/>
                <w:sz w:val="22"/>
                <w:szCs w:val="22"/>
              </w:rPr>
            </w:pPr>
          </w:p>
        </w:tc>
        <w:tc>
          <w:tcPr>
            <w:tcW w:w="11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93ED3B6">
            <w:pPr>
              <w:jc w:val="center"/>
              <w:rPr>
                <w:rFonts w:ascii="宋体" w:hAnsi="宋体" w:cs="宋体"/>
                <w:color w:val="000000"/>
                <w:sz w:val="22"/>
                <w:szCs w:val="22"/>
              </w:rPr>
            </w:pPr>
          </w:p>
        </w:tc>
      </w:tr>
      <w:tr w14:paraId="59C70059">
        <w:tblPrEx>
          <w:tblCellMar>
            <w:top w:w="0" w:type="dxa"/>
            <w:left w:w="0" w:type="dxa"/>
            <w:bottom w:w="0" w:type="dxa"/>
            <w:right w:w="0" w:type="dxa"/>
          </w:tblCellMar>
        </w:tblPrEx>
        <w:trPr>
          <w:trHeight w:val="1004" w:hRule="atLeast"/>
        </w:trPr>
        <w:tc>
          <w:tcPr>
            <w:tcW w:w="69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7F7EBE6C">
            <w:pPr>
              <w:jc w:val="center"/>
              <w:rPr>
                <w:rFonts w:ascii="宋体" w:hAnsi="宋体" w:cs="宋体"/>
                <w:color w:val="000000"/>
                <w:sz w:val="22"/>
                <w:szCs w:val="22"/>
              </w:rPr>
            </w:pPr>
          </w:p>
        </w:tc>
        <w:tc>
          <w:tcPr>
            <w:tcW w:w="221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6F4CAAE">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3.施工设计方案等制定报批完善</w:t>
            </w:r>
          </w:p>
        </w:tc>
        <w:tc>
          <w:tcPr>
            <w:tcW w:w="12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F2D180B">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6分</w:t>
            </w:r>
          </w:p>
        </w:tc>
        <w:tc>
          <w:tcPr>
            <w:tcW w:w="190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0CC40E9">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未按照使用科室或管理部门同意而实施的，每次扣2分。</w:t>
            </w:r>
          </w:p>
        </w:tc>
        <w:tc>
          <w:tcPr>
            <w:tcW w:w="112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51912C6">
            <w:pPr>
              <w:jc w:val="center"/>
              <w:rPr>
                <w:rFonts w:ascii="宋体" w:hAnsi="宋体" w:cs="宋体"/>
                <w:color w:val="000000"/>
                <w:sz w:val="22"/>
                <w:szCs w:val="22"/>
              </w:rPr>
            </w:pPr>
          </w:p>
        </w:tc>
        <w:tc>
          <w:tcPr>
            <w:tcW w:w="11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C817E69">
            <w:pPr>
              <w:jc w:val="center"/>
              <w:rPr>
                <w:rFonts w:ascii="宋体" w:hAnsi="宋体" w:cs="宋体"/>
                <w:color w:val="000000"/>
                <w:sz w:val="22"/>
                <w:szCs w:val="22"/>
              </w:rPr>
            </w:pPr>
          </w:p>
        </w:tc>
      </w:tr>
      <w:tr w14:paraId="4CBAC870">
        <w:tblPrEx>
          <w:tblCellMar>
            <w:top w:w="0" w:type="dxa"/>
            <w:left w:w="0" w:type="dxa"/>
            <w:bottom w:w="0" w:type="dxa"/>
            <w:right w:w="0" w:type="dxa"/>
          </w:tblCellMar>
        </w:tblPrEx>
        <w:trPr>
          <w:trHeight w:val="1004" w:hRule="atLeast"/>
        </w:trPr>
        <w:tc>
          <w:tcPr>
            <w:tcW w:w="69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3C581D56">
            <w:pPr>
              <w:jc w:val="center"/>
              <w:rPr>
                <w:rFonts w:ascii="宋体" w:hAnsi="宋体" w:cs="宋体"/>
                <w:color w:val="000000"/>
                <w:sz w:val="22"/>
                <w:szCs w:val="22"/>
              </w:rPr>
            </w:pPr>
          </w:p>
        </w:tc>
        <w:tc>
          <w:tcPr>
            <w:tcW w:w="221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1009CBF">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4.根据用户需求提出欠考虑的因素，并提出建设性意见</w:t>
            </w:r>
          </w:p>
        </w:tc>
        <w:tc>
          <w:tcPr>
            <w:tcW w:w="12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D741280">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6分</w:t>
            </w:r>
          </w:p>
        </w:tc>
        <w:tc>
          <w:tcPr>
            <w:tcW w:w="190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29ED3F0">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每提出1次积极性意见，加1分。</w:t>
            </w:r>
          </w:p>
        </w:tc>
        <w:tc>
          <w:tcPr>
            <w:tcW w:w="112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7B4B636">
            <w:pPr>
              <w:jc w:val="center"/>
              <w:rPr>
                <w:rFonts w:ascii="宋体" w:hAnsi="宋体" w:cs="宋体"/>
                <w:color w:val="000000"/>
                <w:sz w:val="22"/>
                <w:szCs w:val="22"/>
              </w:rPr>
            </w:pPr>
          </w:p>
        </w:tc>
        <w:tc>
          <w:tcPr>
            <w:tcW w:w="11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AB214BF">
            <w:pPr>
              <w:jc w:val="center"/>
              <w:rPr>
                <w:rFonts w:ascii="宋体" w:hAnsi="宋体" w:cs="宋体"/>
                <w:color w:val="000000"/>
                <w:sz w:val="22"/>
                <w:szCs w:val="22"/>
              </w:rPr>
            </w:pPr>
          </w:p>
        </w:tc>
      </w:tr>
      <w:tr w14:paraId="4E3CAA92">
        <w:tblPrEx>
          <w:tblCellMar>
            <w:top w:w="0" w:type="dxa"/>
            <w:left w:w="0" w:type="dxa"/>
            <w:bottom w:w="0" w:type="dxa"/>
            <w:right w:w="0" w:type="dxa"/>
          </w:tblCellMar>
        </w:tblPrEx>
        <w:trPr>
          <w:trHeight w:val="1316" w:hRule="atLeast"/>
        </w:trPr>
        <w:tc>
          <w:tcPr>
            <w:tcW w:w="69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4FD83E92">
            <w:pPr>
              <w:jc w:val="center"/>
              <w:rPr>
                <w:rFonts w:ascii="宋体" w:hAnsi="宋体" w:cs="宋体"/>
                <w:color w:val="000000"/>
                <w:sz w:val="22"/>
                <w:szCs w:val="22"/>
              </w:rPr>
            </w:pPr>
          </w:p>
        </w:tc>
        <w:tc>
          <w:tcPr>
            <w:tcW w:w="221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F3C0D8D">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5.做好建材记录，施工前、中、后影像记录，统计工作，规范台账资料</w:t>
            </w:r>
          </w:p>
        </w:tc>
        <w:tc>
          <w:tcPr>
            <w:tcW w:w="12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5EEB54B">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6分</w:t>
            </w:r>
          </w:p>
        </w:tc>
        <w:tc>
          <w:tcPr>
            <w:tcW w:w="190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B6DE9BC">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未按规范要求及时完整收集施工相关资料，发现一项扣1分。</w:t>
            </w:r>
          </w:p>
        </w:tc>
        <w:tc>
          <w:tcPr>
            <w:tcW w:w="112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7A6EFB8">
            <w:pPr>
              <w:jc w:val="center"/>
              <w:rPr>
                <w:rFonts w:ascii="宋体" w:hAnsi="宋体" w:cs="宋体"/>
                <w:color w:val="000000"/>
                <w:sz w:val="22"/>
                <w:szCs w:val="22"/>
              </w:rPr>
            </w:pPr>
          </w:p>
        </w:tc>
        <w:tc>
          <w:tcPr>
            <w:tcW w:w="11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9D85378">
            <w:pPr>
              <w:jc w:val="center"/>
              <w:rPr>
                <w:rFonts w:ascii="宋体" w:hAnsi="宋体" w:cs="宋体"/>
                <w:color w:val="000000"/>
                <w:sz w:val="22"/>
                <w:szCs w:val="22"/>
              </w:rPr>
            </w:pPr>
          </w:p>
        </w:tc>
      </w:tr>
      <w:tr w14:paraId="2DC333E4">
        <w:tblPrEx>
          <w:tblCellMar>
            <w:top w:w="0" w:type="dxa"/>
            <w:left w:w="0" w:type="dxa"/>
            <w:bottom w:w="0" w:type="dxa"/>
            <w:right w:w="0" w:type="dxa"/>
          </w:tblCellMar>
        </w:tblPrEx>
        <w:trPr>
          <w:trHeight w:val="1628" w:hRule="atLeast"/>
        </w:trPr>
        <w:tc>
          <w:tcPr>
            <w:tcW w:w="69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17CCFDF0">
            <w:pPr>
              <w:jc w:val="center"/>
              <w:rPr>
                <w:rFonts w:ascii="宋体" w:hAnsi="宋体" w:cs="宋体"/>
                <w:color w:val="000000"/>
                <w:sz w:val="22"/>
                <w:szCs w:val="22"/>
              </w:rPr>
            </w:pPr>
          </w:p>
        </w:tc>
        <w:tc>
          <w:tcPr>
            <w:tcW w:w="221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CB54DFE">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6.施工前约定时间内必须到场施工，若有其它合理原因导致工期延后须告知使用单位和管理处</w:t>
            </w:r>
          </w:p>
        </w:tc>
        <w:tc>
          <w:tcPr>
            <w:tcW w:w="12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E6124A5">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6分</w:t>
            </w:r>
          </w:p>
        </w:tc>
        <w:tc>
          <w:tcPr>
            <w:tcW w:w="190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44947B6">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未告知一次原因合理，扣0.5分；原因不合理，扣1分。</w:t>
            </w:r>
          </w:p>
        </w:tc>
        <w:tc>
          <w:tcPr>
            <w:tcW w:w="112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C4EFCF8">
            <w:pPr>
              <w:jc w:val="center"/>
              <w:rPr>
                <w:rFonts w:ascii="宋体" w:hAnsi="宋体" w:cs="宋体"/>
                <w:color w:val="000000"/>
                <w:sz w:val="22"/>
                <w:szCs w:val="22"/>
              </w:rPr>
            </w:pPr>
          </w:p>
        </w:tc>
        <w:tc>
          <w:tcPr>
            <w:tcW w:w="11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72AEB2B">
            <w:pPr>
              <w:jc w:val="center"/>
              <w:rPr>
                <w:rFonts w:ascii="宋体" w:hAnsi="宋体" w:cs="宋体"/>
                <w:color w:val="000000"/>
                <w:sz w:val="22"/>
                <w:szCs w:val="22"/>
              </w:rPr>
            </w:pPr>
          </w:p>
        </w:tc>
      </w:tr>
      <w:tr w14:paraId="143F655D">
        <w:tblPrEx>
          <w:tblCellMar>
            <w:top w:w="0" w:type="dxa"/>
            <w:left w:w="0" w:type="dxa"/>
            <w:bottom w:w="0" w:type="dxa"/>
            <w:right w:w="0" w:type="dxa"/>
          </w:tblCellMar>
        </w:tblPrEx>
        <w:trPr>
          <w:trHeight w:val="976" w:hRule="atLeast"/>
        </w:trPr>
        <w:tc>
          <w:tcPr>
            <w:tcW w:w="69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348E2924">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施工安全与质量（40分）</w:t>
            </w:r>
          </w:p>
        </w:tc>
        <w:tc>
          <w:tcPr>
            <w:tcW w:w="221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E33D522">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1.施工人员严格按照规范做好安全防护措施</w:t>
            </w:r>
          </w:p>
        </w:tc>
        <w:tc>
          <w:tcPr>
            <w:tcW w:w="12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B9CB2A7">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15分</w:t>
            </w:r>
          </w:p>
        </w:tc>
        <w:tc>
          <w:tcPr>
            <w:tcW w:w="190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8BC2033">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发现未采取合理措施，扣3分。</w:t>
            </w:r>
          </w:p>
        </w:tc>
        <w:tc>
          <w:tcPr>
            <w:tcW w:w="112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5844467">
            <w:pPr>
              <w:jc w:val="center"/>
              <w:rPr>
                <w:rFonts w:ascii="宋体" w:hAnsi="宋体" w:cs="宋体"/>
                <w:color w:val="000000"/>
                <w:sz w:val="22"/>
                <w:szCs w:val="22"/>
              </w:rPr>
            </w:pPr>
          </w:p>
        </w:tc>
        <w:tc>
          <w:tcPr>
            <w:tcW w:w="11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90471BC">
            <w:pPr>
              <w:jc w:val="center"/>
              <w:rPr>
                <w:rFonts w:ascii="宋体" w:hAnsi="宋体" w:cs="宋体"/>
                <w:color w:val="000000"/>
                <w:sz w:val="22"/>
                <w:szCs w:val="22"/>
              </w:rPr>
            </w:pPr>
          </w:p>
        </w:tc>
      </w:tr>
      <w:tr w14:paraId="419B7F86">
        <w:tblPrEx>
          <w:tblCellMar>
            <w:top w:w="0" w:type="dxa"/>
            <w:left w:w="0" w:type="dxa"/>
            <w:bottom w:w="0" w:type="dxa"/>
            <w:right w:w="0" w:type="dxa"/>
          </w:tblCellMar>
        </w:tblPrEx>
        <w:trPr>
          <w:trHeight w:val="1316" w:hRule="atLeast"/>
        </w:trPr>
        <w:tc>
          <w:tcPr>
            <w:tcW w:w="69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04393CF4">
            <w:pPr>
              <w:jc w:val="center"/>
              <w:rPr>
                <w:rFonts w:ascii="宋体" w:hAnsi="宋体" w:cs="宋体"/>
                <w:color w:val="000000"/>
                <w:sz w:val="22"/>
                <w:szCs w:val="22"/>
              </w:rPr>
            </w:pPr>
          </w:p>
        </w:tc>
        <w:tc>
          <w:tcPr>
            <w:tcW w:w="221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896C487">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2.施工场地、材料堆放、施工现场标牌等各项文明施工管理均应符合要求</w:t>
            </w:r>
          </w:p>
        </w:tc>
        <w:tc>
          <w:tcPr>
            <w:tcW w:w="12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AF3A353">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3分</w:t>
            </w:r>
          </w:p>
        </w:tc>
        <w:tc>
          <w:tcPr>
            <w:tcW w:w="190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14DF12B">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每发现一处不符合要求扣1分。</w:t>
            </w:r>
          </w:p>
        </w:tc>
        <w:tc>
          <w:tcPr>
            <w:tcW w:w="112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659DB23">
            <w:pPr>
              <w:jc w:val="center"/>
              <w:rPr>
                <w:rFonts w:ascii="宋体" w:hAnsi="宋体" w:cs="宋体"/>
                <w:color w:val="000000"/>
                <w:sz w:val="22"/>
                <w:szCs w:val="22"/>
              </w:rPr>
            </w:pPr>
          </w:p>
        </w:tc>
        <w:tc>
          <w:tcPr>
            <w:tcW w:w="11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C67C14D">
            <w:pPr>
              <w:jc w:val="center"/>
              <w:rPr>
                <w:rFonts w:ascii="宋体" w:hAnsi="宋体" w:cs="宋体"/>
                <w:color w:val="000000"/>
                <w:sz w:val="22"/>
                <w:szCs w:val="22"/>
              </w:rPr>
            </w:pPr>
          </w:p>
        </w:tc>
      </w:tr>
      <w:tr w14:paraId="4CCAAAA0">
        <w:tblPrEx>
          <w:tblCellMar>
            <w:top w:w="0" w:type="dxa"/>
            <w:left w:w="0" w:type="dxa"/>
            <w:bottom w:w="0" w:type="dxa"/>
            <w:right w:w="0" w:type="dxa"/>
          </w:tblCellMar>
        </w:tblPrEx>
        <w:trPr>
          <w:trHeight w:val="763" w:hRule="atLeast"/>
        </w:trPr>
        <w:tc>
          <w:tcPr>
            <w:tcW w:w="69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21733411">
            <w:pPr>
              <w:jc w:val="center"/>
              <w:rPr>
                <w:rFonts w:ascii="宋体" w:hAnsi="宋体" w:cs="宋体"/>
                <w:color w:val="000000"/>
                <w:sz w:val="22"/>
                <w:szCs w:val="22"/>
              </w:rPr>
            </w:pPr>
          </w:p>
        </w:tc>
        <w:tc>
          <w:tcPr>
            <w:tcW w:w="221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90D15FF">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3.文明施工，施工现场及时清理</w:t>
            </w:r>
          </w:p>
        </w:tc>
        <w:tc>
          <w:tcPr>
            <w:tcW w:w="12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43116ED">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2分</w:t>
            </w:r>
          </w:p>
        </w:tc>
        <w:tc>
          <w:tcPr>
            <w:tcW w:w="190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D31FFA8">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不符合一次，扣1分。</w:t>
            </w:r>
          </w:p>
        </w:tc>
        <w:tc>
          <w:tcPr>
            <w:tcW w:w="112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B929451">
            <w:pPr>
              <w:jc w:val="center"/>
              <w:rPr>
                <w:rFonts w:ascii="宋体" w:hAnsi="宋体" w:cs="宋体"/>
                <w:color w:val="000000"/>
                <w:sz w:val="22"/>
                <w:szCs w:val="22"/>
              </w:rPr>
            </w:pPr>
          </w:p>
        </w:tc>
        <w:tc>
          <w:tcPr>
            <w:tcW w:w="11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9524BDA">
            <w:pPr>
              <w:jc w:val="center"/>
              <w:rPr>
                <w:rFonts w:ascii="宋体" w:hAnsi="宋体" w:cs="宋体"/>
                <w:color w:val="000000"/>
                <w:sz w:val="22"/>
                <w:szCs w:val="22"/>
              </w:rPr>
            </w:pPr>
          </w:p>
        </w:tc>
      </w:tr>
      <w:tr w14:paraId="4359F392">
        <w:tblPrEx>
          <w:tblCellMar>
            <w:top w:w="0" w:type="dxa"/>
            <w:left w:w="0" w:type="dxa"/>
            <w:bottom w:w="0" w:type="dxa"/>
            <w:right w:w="0" w:type="dxa"/>
          </w:tblCellMar>
        </w:tblPrEx>
        <w:trPr>
          <w:trHeight w:val="2250" w:hRule="atLeast"/>
        </w:trPr>
        <w:tc>
          <w:tcPr>
            <w:tcW w:w="69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6703E213">
            <w:pPr>
              <w:jc w:val="center"/>
              <w:rPr>
                <w:rFonts w:ascii="宋体" w:hAnsi="宋体" w:cs="宋体"/>
                <w:color w:val="000000"/>
                <w:sz w:val="22"/>
                <w:szCs w:val="22"/>
              </w:rPr>
            </w:pPr>
          </w:p>
        </w:tc>
        <w:tc>
          <w:tcPr>
            <w:tcW w:w="221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3871703">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4.按照工程设计图和技术标准施工，质量有保障。</w:t>
            </w:r>
          </w:p>
        </w:tc>
        <w:tc>
          <w:tcPr>
            <w:tcW w:w="12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A90B87B">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10分</w:t>
            </w:r>
          </w:p>
        </w:tc>
        <w:tc>
          <w:tcPr>
            <w:tcW w:w="190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76AA06A">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每发现一处擅自修改设计、偷工减料，扣3分；</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发现一处质量问题，扣3分；</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发现一处工程观感较差，扣2分。</w:t>
            </w:r>
          </w:p>
        </w:tc>
        <w:tc>
          <w:tcPr>
            <w:tcW w:w="112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69FE6D4">
            <w:pPr>
              <w:jc w:val="center"/>
              <w:rPr>
                <w:rFonts w:ascii="宋体" w:hAnsi="宋体" w:cs="宋体"/>
                <w:color w:val="000000"/>
                <w:sz w:val="22"/>
                <w:szCs w:val="22"/>
              </w:rPr>
            </w:pPr>
          </w:p>
        </w:tc>
        <w:tc>
          <w:tcPr>
            <w:tcW w:w="11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1798688">
            <w:pPr>
              <w:jc w:val="center"/>
              <w:rPr>
                <w:rFonts w:ascii="宋体" w:hAnsi="宋体" w:cs="宋体"/>
                <w:color w:val="000000"/>
                <w:sz w:val="22"/>
                <w:szCs w:val="22"/>
              </w:rPr>
            </w:pPr>
          </w:p>
        </w:tc>
      </w:tr>
      <w:tr w14:paraId="2B73D0FF">
        <w:tblPrEx>
          <w:tblCellMar>
            <w:top w:w="0" w:type="dxa"/>
            <w:left w:w="0" w:type="dxa"/>
            <w:bottom w:w="0" w:type="dxa"/>
            <w:right w:w="0" w:type="dxa"/>
          </w:tblCellMar>
        </w:tblPrEx>
        <w:trPr>
          <w:trHeight w:val="1938" w:hRule="atLeast"/>
        </w:trPr>
        <w:tc>
          <w:tcPr>
            <w:tcW w:w="69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219BF834">
            <w:pPr>
              <w:jc w:val="center"/>
              <w:rPr>
                <w:rFonts w:ascii="宋体" w:hAnsi="宋体" w:cs="宋体"/>
                <w:color w:val="000000"/>
                <w:sz w:val="22"/>
                <w:szCs w:val="22"/>
              </w:rPr>
            </w:pPr>
          </w:p>
        </w:tc>
        <w:tc>
          <w:tcPr>
            <w:tcW w:w="221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14B38FE">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5.对出现质量问题、质量事故的整改到位、处理妥当</w:t>
            </w:r>
          </w:p>
        </w:tc>
        <w:tc>
          <w:tcPr>
            <w:tcW w:w="12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1C07F81">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10分</w:t>
            </w:r>
          </w:p>
        </w:tc>
        <w:tc>
          <w:tcPr>
            <w:tcW w:w="190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A68C9EF">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发现问题每处扣2分；造成局部返工每处扣3分；问题较严重，返工处理影响到科室使用的，每处扣5分</w:t>
            </w:r>
          </w:p>
        </w:tc>
        <w:tc>
          <w:tcPr>
            <w:tcW w:w="112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5E2172E">
            <w:pPr>
              <w:jc w:val="center"/>
              <w:rPr>
                <w:rFonts w:ascii="宋体" w:hAnsi="宋体" w:cs="宋体"/>
                <w:color w:val="000000"/>
                <w:sz w:val="22"/>
                <w:szCs w:val="22"/>
              </w:rPr>
            </w:pPr>
          </w:p>
        </w:tc>
        <w:tc>
          <w:tcPr>
            <w:tcW w:w="11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4B0ED5F">
            <w:pPr>
              <w:jc w:val="center"/>
              <w:rPr>
                <w:rFonts w:ascii="宋体" w:hAnsi="宋体" w:cs="宋体"/>
                <w:color w:val="000000"/>
                <w:sz w:val="22"/>
                <w:szCs w:val="22"/>
              </w:rPr>
            </w:pPr>
          </w:p>
        </w:tc>
      </w:tr>
      <w:tr w14:paraId="430918A3">
        <w:tblPrEx>
          <w:tblCellMar>
            <w:top w:w="0" w:type="dxa"/>
            <w:left w:w="0" w:type="dxa"/>
            <w:bottom w:w="0" w:type="dxa"/>
            <w:right w:w="0" w:type="dxa"/>
          </w:tblCellMar>
        </w:tblPrEx>
        <w:trPr>
          <w:trHeight w:val="1004" w:hRule="atLeast"/>
        </w:trPr>
        <w:tc>
          <w:tcPr>
            <w:tcW w:w="691"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685CE4DB">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签证规范与验收（20分）</w:t>
            </w:r>
          </w:p>
        </w:tc>
        <w:tc>
          <w:tcPr>
            <w:tcW w:w="221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9C75FB0">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1.预算书、结算书编制规范，报价合理</w:t>
            </w:r>
          </w:p>
        </w:tc>
        <w:tc>
          <w:tcPr>
            <w:tcW w:w="12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7C1AB49">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10分</w:t>
            </w:r>
          </w:p>
        </w:tc>
        <w:tc>
          <w:tcPr>
            <w:tcW w:w="190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08C6F4C">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每发现一次报价虚高或者联合他人共同虚假报价扣5分。</w:t>
            </w:r>
          </w:p>
        </w:tc>
        <w:tc>
          <w:tcPr>
            <w:tcW w:w="112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59BA9F2">
            <w:pPr>
              <w:jc w:val="center"/>
              <w:rPr>
                <w:rFonts w:ascii="宋体" w:hAnsi="宋体" w:cs="宋体"/>
                <w:color w:val="000000"/>
                <w:sz w:val="22"/>
                <w:szCs w:val="22"/>
              </w:rPr>
            </w:pPr>
          </w:p>
        </w:tc>
        <w:tc>
          <w:tcPr>
            <w:tcW w:w="11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57E5D23">
            <w:pPr>
              <w:jc w:val="center"/>
              <w:rPr>
                <w:rFonts w:ascii="宋体" w:hAnsi="宋体" w:cs="宋体"/>
                <w:color w:val="000000"/>
                <w:sz w:val="22"/>
                <w:szCs w:val="22"/>
              </w:rPr>
            </w:pPr>
          </w:p>
        </w:tc>
      </w:tr>
      <w:tr w14:paraId="25A9B8DE">
        <w:tblPrEx>
          <w:tblCellMar>
            <w:top w:w="0" w:type="dxa"/>
            <w:left w:w="0" w:type="dxa"/>
            <w:bottom w:w="0" w:type="dxa"/>
            <w:right w:w="0" w:type="dxa"/>
          </w:tblCellMar>
        </w:tblPrEx>
        <w:trPr>
          <w:trHeight w:val="1004"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4BBFC9D4">
            <w:pPr>
              <w:jc w:val="center"/>
              <w:rPr>
                <w:rFonts w:ascii="宋体" w:hAnsi="宋体" w:cs="宋体"/>
                <w:color w:val="000000"/>
                <w:sz w:val="22"/>
                <w:szCs w:val="22"/>
              </w:rPr>
            </w:pPr>
          </w:p>
        </w:tc>
        <w:tc>
          <w:tcPr>
            <w:tcW w:w="221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E67F7F0">
            <w:pPr>
              <w:widowControl/>
              <w:jc w:val="left"/>
              <w:textAlignment w:val="center"/>
              <w:rPr>
                <w:color w:val="000000"/>
                <w:sz w:val="22"/>
                <w:szCs w:val="22"/>
              </w:rPr>
            </w:pPr>
            <w:r>
              <w:rPr>
                <w:color w:val="000000"/>
                <w:kern w:val="0"/>
                <w:sz w:val="22"/>
                <w:szCs w:val="22"/>
                <w:lang w:bidi="ar"/>
              </w:rPr>
              <w:t>2</w:t>
            </w:r>
            <w:r>
              <w:rPr>
                <w:rStyle w:val="10"/>
                <w:rFonts w:hint="default"/>
                <w:lang w:bidi="ar"/>
              </w:rPr>
              <w:t>.签证、验收、结算手续及时，材料完整</w:t>
            </w:r>
          </w:p>
        </w:tc>
        <w:tc>
          <w:tcPr>
            <w:tcW w:w="12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145640A">
            <w:pPr>
              <w:widowControl/>
              <w:jc w:val="center"/>
              <w:textAlignment w:val="center"/>
              <w:rPr>
                <w:color w:val="000000"/>
                <w:sz w:val="22"/>
                <w:szCs w:val="22"/>
              </w:rPr>
            </w:pPr>
            <w:r>
              <w:rPr>
                <w:color w:val="000000"/>
                <w:kern w:val="0"/>
                <w:sz w:val="22"/>
                <w:szCs w:val="22"/>
                <w:lang w:bidi="ar"/>
              </w:rPr>
              <w:t>5</w:t>
            </w:r>
            <w:r>
              <w:rPr>
                <w:rStyle w:val="10"/>
                <w:rFonts w:hint="default"/>
                <w:lang w:bidi="ar"/>
              </w:rPr>
              <w:t>分</w:t>
            </w:r>
          </w:p>
        </w:tc>
        <w:tc>
          <w:tcPr>
            <w:tcW w:w="190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BFF70EE">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每发现一次手续不完善、材料缺失扣2分。</w:t>
            </w:r>
          </w:p>
        </w:tc>
        <w:tc>
          <w:tcPr>
            <w:tcW w:w="112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A04CCC8">
            <w:pPr>
              <w:jc w:val="center"/>
              <w:rPr>
                <w:rFonts w:ascii="宋体" w:hAnsi="宋体" w:cs="宋体"/>
                <w:color w:val="000000"/>
                <w:sz w:val="22"/>
                <w:szCs w:val="22"/>
              </w:rPr>
            </w:pPr>
          </w:p>
        </w:tc>
        <w:tc>
          <w:tcPr>
            <w:tcW w:w="11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20237C7">
            <w:pPr>
              <w:jc w:val="center"/>
              <w:rPr>
                <w:rFonts w:ascii="宋体" w:hAnsi="宋体" w:cs="宋体"/>
                <w:color w:val="000000"/>
                <w:sz w:val="22"/>
                <w:szCs w:val="22"/>
              </w:rPr>
            </w:pPr>
          </w:p>
        </w:tc>
      </w:tr>
      <w:tr w14:paraId="3A9DC872">
        <w:tblPrEx>
          <w:tblCellMar>
            <w:top w:w="0" w:type="dxa"/>
            <w:left w:w="0" w:type="dxa"/>
            <w:bottom w:w="0" w:type="dxa"/>
            <w:right w:w="0" w:type="dxa"/>
          </w:tblCellMar>
        </w:tblPrEx>
        <w:trPr>
          <w:trHeight w:val="763"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5F02D2D9">
            <w:pPr>
              <w:jc w:val="center"/>
              <w:rPr>
                <w:rFonts w:ascii="宋体" w:hAnsi="宋体" w:cs="宋体"/>
                <w:color w:val="000000"/>
                <w:sz w:val="22"/>
                <w:szCs w:val="22"/>
              </w:rPr>
            </w:pPr>
          </w:p>
        </w:tc>
        <w:tc>
          <w:tcPr>
            <w:tcW w:w="221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C9B0015">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3.预算书、结算书编制及时、送审及时</w:t>
            </w:r>
          </w:p>
        </w:tc>
        <w:tc>
          <w:tcPr>
            <w:tcW w:w="120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AD5E0FE">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5分</w:t>
            </w:r>
          </w:p>
        </w:tc>
        <w:tc>
          <w:tcPr>
            <w:tcW w:w="190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0156255">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未按时报送预结算材料，每次扣2分。</w:t>
            </w:r>
          </w:p>
        </w:tc>
        <w:tc>
          <w:tcPr>
            <w:tcW w:w="112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CBA7209">
            <w:pPr>
              <w:jc w:val="center"/>
              <w:rPr>
                <w:rFonts w:ascii="宋体" w:hAnsi="宋体" w:cs="宋体"/>
                <w:color w:val="000000"/>
                <w:sz w:val="22"/>
                <w:szCs w:val="22"/>
              </w:rPr>
            </w:pPr>
          </w:p>
        </w:tc>
        <w:tc>
          <w:tcPr>
            <w:tcW w:w="11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017B719">
            <w:pPr>
              <w:jc w:val="center"/>
              <w:rPr>
                <w:rFonts w:ascii="宋体" w:hAnsi="宋体" w:cs="宋体"/>
                <w:color w:val="000000"/>
                <w:sz w:val="22"/>
                <w:szCs w:val="22"/>
              </w:rPr>
            </w:pPr>
          </w:p>
        </w:tc>
      </w:tr>
      <w:tr w14:paraId="5273C2FC">
        <w:tblPrEx>
          <w:tblCellMar>
            <w:top w:w="0" w:type="dxa"/>
            <w:left w:w="0" w:type="dxa"/>
            <w:bottom w:w="0" w:type="dxa"/>
            <w:right w:w="0" w:type="dxa"/>
          </w:tblCellMar>
        </w:tblPrEx>
        <w:trPr>
          <w:trHeight w:val="1604" w:hRule="atLeast"/>
        </w:trPr>
        <w:tc>
          <w:tcPr>
            <w:tcW w:w="691"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14:paraId="36082350">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廉洁自律情况</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（5分）</w:t>
            </w:r>
          </w:p>
        </w:tc>
        <w:tc>
          <w:tcPr>
            <w:tcW w:w="2211" w:type="dxa"/>
            <w:tcBorders>
              <w:top w:val="nil"/>
              <w:left w:val="nil"/>
              <w:bottom w:val="nil"/>
              <w:right w:val="single" w:color="000000" w:sz="8" w:space="0"/>
            </w:tcBorders>
            <w:shd w:val="clear" w:color="auto" w:fill="auto"/>
            <w:tcMar>
              <w:top w:w="15" w:type="dxa"/>
              <w:left w:w="15" w:type="dxa"/>
              <w:right w:w="15" w:type="dxa"/>
            </w:tcMar>
            <w:vAlign w:val="center"/>
          </w:tcPr>
          <w:p w14:paraId="3D322074">
            <w:pPr>
              <w:widowControl/>
              <w:textAlignment w:val="center"/>
              <w:rPr>
                <w:rFonts w:ascii="宋体" w:hAnsi="宋体" w:cs="宋体"/>
                <w:color w:val="000000"/>
                <w:sz w:val="22"/>
                <w:szCs w:val="22"/>
              </w:rPr>
            </w:pPr>
            <w:r>
              <w:rPr>
                <w:rFonts w:hint="eastAsia" w:ascii="宋体" w:hAnsi="宋体" w:cs="宋体"/>
                <w:color w:val="000000"/>
                <w:kern w:val="0"/>
                <w:sz w:val="22"/>
                <w:szCs w:val="22"/>
                <w:lang w:bidi="ar"/>
              </w:rPr>
              <w:t>在服务期间内无违规违纪和违反项目合同的行为</w:t>
            </w:r>
          </w:p>
        </w:tc>
        <w:tc>
          <w:tcPr>
            <w:tcW w:w="1201" w:type="dxa"/>
            <w:tcBorders>
              <w:top w:val="nil"/>
              <w:left w:val="nil"/>
              <w:bottom w:val="nil"/>
              <w:right w:val="single" w:color="000000" w:sz="8" w:space="0"/>
            </w:tcBorders>
            <w:shd w:val="clear" w:color="auto" w:fill="auto"/>
            <w:tcMar>
              <w:top w:w="15" w:type="dxa"/>
              <w:left w:w="15" w:type="dxa"/>
              <w:right w:w="15" w:type="dxa"/>
            </w:tcMar>
            <w:vAlign w:val="center"/>
          </w:tcPr>
          <w:p w14:paraId="45FC39E6">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5分</w:t>
            </w:r>
          </w:p>
        </w:tc>
        <w:tc>
          <w:tcPr>
            <w:tcW w:w="1903" w:type="dxa"/>
            <w:tcBorders>
              <w:top w:val="nil"/>
              <w:left w:val="nil"/>
              <w:bottom w:val="nil"/>
              <w:right w:val="single" w:color="000000" w:sz="8" w:space="0"/>
            </w:tcBorders>
            <w:shd w:val="clear" w:color="auto" w:fill="auto"/>
            <w:tcMar>
              <w:top w:w="15" w:type="dxa"/>
              <w:left w:w="15" w:type="dxa"/>
              <w:right w:w="15" w:type="dxa"/>
            </w:tcMar>
            <w:vAlign w:val="center"/>
          </w:tcPr>
          <w:p w14:paraId="002F2FC9">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发现违法违纪行为，不得分；自私转包每次扣3分。</w:t>
            </w:r>
          </w:p>
        </w:tc>
        <w:tc>
          <w:tcPr>
            <w:tcW w:w="1123" w:type="dxa"/>
            <w:tcBorders>
              <w:top w:val="nil"/>
              <w:left w:val="nil"/>
              <w:bottom w:val="nil"/>
              <w:right w:val="single" w:color="000000" w:sz="8" w:space="0"/>
            </w:tcBorders>
            <w:shd w:val="clear" w:color="auto" w:fill="auto"/>
            <w:tcMar>
              <w:top w:w="15" w:type="dxa"/>
              <w:left w:w="15" w:type="dxa"/>
              <w:right w:w="15" w:type="dxa"/>
            </w:tcMar>
            <w:vAlign w:val="center"/>
          </w:tcPr>
          <w:p w14:paraId="324204E5">
            <w:pPr>
              <w:jc w:val="center"/>
              <w:rPr>
                <w:rFonts w:ascii="宋体" w:hAnsi="宋体" w:cs="宋体"/>
                <w:color w:val="000000"/>
                <w:sz w:val="22"/>
                <w:szCs w:val="22"/>
              </w:rPr>
            </w:pPr>
          </w:p>
        </w:tc>
        <w:tc>
          <w:tcPr>
            <w:tcW w:w="1131" w:type="dxa"/>
            <w:tcBorders>
              <w:top w:val="nil"/>
              <w:left w:val="nil"/>
              <w:bottom w:val="nil"/>
              <w:right w:val="single" w:color="000000" w:sz="8" w:space="0"/>
            </w:tcBorders>
            <w:shd w:val="clear" w:color="auto" w:fill="auto"/>
            <w:tcMar>
              <w:top w:w="15" w:type="dxa"/>
              <w:left w:w="15" w:type="dxa"/>
              <w:right w:w="15" w:type="dxa"/>
            </w:tcMar>
            <w:vAlign w:val="center"/>
          </w:tcPr>
          <w:p w14:paraId="142E3BDA">
            <w:pPr>
              <w:jc w:val="center"/>
              <w:rPr>
                <w:rFonts w:ascii="宋体" w:hAnsi="宋体" w:cs="宋体"/>
                <w:color w:val="000000"/>
                <w:sz w:val="22"/>
                <w:szCs w:val="22"/>
              </w:rPr>
            </w:pPr>
          </w:p>
        </w:tc>
      </w:tr>
      <w:tr w14:paraId="59815A42">
        <w:tblPrEx>
          <w:tblCellMar>
            <w:top w:w="0" w:type="dxa"/>
            <w:left w:w="0" w:type="dxa"/>
            <w:bottom w:w="0" w:type="dxa"/>
            <w:right w:w="0" w:type="dxa"/>
          </w:tblCellMar>
        </w:tblPrEx>
        <w:trPr>
          <w:trHeight w:val="929" w:hRule="atLeast"/>
        </w:trPr>
        <w:tc>
          <w:tcPr>
            <w:tcW w:w="4103"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4337B112">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总分：</w:t>
            </w:r>
          </w:p>
        </w:tc>
        <w:tc>
          <w:tcPr>
            <w:tcW w:w="4157"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616E4546">
            <w:pPr>
              <w:jc w:val="center"/>
              <w:rPr>
                <w:rFonts w:ascii="宋体" w:hAnsi="宋体" w:cs="宋体"/>
                <w:b/>
                <w:color w:val="000000"/>
                <w:sz w:val="22"/>
                <w:szCs w:val="22"/>
              </w:rPr>
            </w:pPr>
          </w:p>
        </w:tc>
      </w:tr>
      <w:tr w14:paraId="278B945F">
        <w:tblPrEx>
          <w:tblCellMar>
            <w:top w:w="0" w:type="dxa"/>
            <w:left w:w="0" w:type="dxa"/>
            <w:bottom w:w="0" w:type="dxa"/>
            <w:right w:w="0" w:type="dxa"/>
          </w:tblCellMar>
        </w:tblPrEx>
        <w:trPr>
          <w:trHeight w:val="693" w:hRule="atLeast"/>
        </w:trPr>
        <w:tc>
          <w:tcPr>
            <w:tcW w:w="8260" w:type="dxa"/>
            <w:gridSpan w:val="6"/>
            <w:tcBorders>
              <w:top w:val="nil"/>
              <w:left w:val="single" w:color="000000" w:sz="8" w:space="0"/>
              <w:bottom w:val="nil"/>
              <w:right w:val="single" w:color="000000" w:sz="8" w:space="0"/>
            </w:tcBorders>
            <w:shd w:val="clear" w:color="auto" w:fill="auto"/>
            <w:tcMar>
              <w:top w:w="15" w:type="dxa"/>
              <w:left w:w="15" w:type="dxa"/>
              <w:right w:w="15" w:type="dxa"/>
            </w:tcMar>
          </w:tcPr>
          <w:p w14:paraId="64B59931">
            <w:pPr>
              <w:widowControl/>
              <w:textAlignment w:val="top"/>
              <w:rPr>
                <w:rFonts w:ascii="宋体" w:hAnsi="宋体" w:cs="宋体"/>
                <w:color w:val="000000"/>
                <w:sz w:val="28"/>
                <w:szCs w:val="28"/>
              </w:rPr>
            </w:pPr>
            <w:r>
              <w:rPr>
                <w:rFonts w:hint="eastAsia" w:ascii="宋体" w:hAnsi="宋体" w:cs="宋体"/>
                <w:color w:val="000000"/>
                <w:kern w:val="0"/>
                <w:sz w:val="28"/>
                <w:szCs w:val="28"/>
                <w:lang w:bidi="ar"/>
              </w:rPr>
              <w:t>季度总评：</w:t>
            </w:r>
          </w:p>
        </w:tc>
      </w:tr>
      <w:tr w14:paraId="09208AF8">
        <w:tblPrEx>
          <w:tblCellMar>
            <w:top w:w="0" w:type="dxa"/>
            <w:left w:w="0" w:type="dxa"/>
            <w:bottom w:w="0" w:type="dxa"/>
            <w:right w:w="0" w:type="dxa"/>
          </w:tblCellMar>
        </w:tblPrEx>
        <w:trPr>
          <w:trHeight w:val="341" w:hRule="atLeast"/>
        </w:trPr>
        <w:tc>
          <w:tcPr>
            <w:tcW w:w="0" w:type="auto"/>
            <w:gridSpan w:val="6"/>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14:paraId="7F2A5E22">
            <w:pPr>
              <w:rPr>
                <w:rFonts w:ascii="宋体" w:hAnsi="宋体" w:cs="宋体"/>
                <w:color w:val="000000"/>
                <w:sz w:val="24"/>
              </w:rPr>
            </w:pPr>
          </w:p>
        </w:tc>
      </w:tr>
      <w:tr w14:paraId="5A356BB1">
        <w:tblPrEx>
          <w:tblCellMar>
            <w:top w:w="0" w:type="dxa"/>
            <w:left w:w="0" w:type="dxa"/>
            <w:bottom w:w="0" w:type="dxa"/>
            <w:right w:w="0" w:type="dxa"/>
          </w:tblCellMar>
        </w:tblPrEx>
        <w:trPr>
          <w:trHeight w:val="341" w:hRule="atLeast"/>
        </w:trPr>
        <w:tc>
          <w:tcPr>
            <w:tcW w:w="8260" w:type="dxa"/>
            <w:gridSpan w:val="6"/>
            <w:tcBorders>
              <w:top w:val="nil"/>
              <w:left w:val="single" w:color="000000" w:sz="8" w:space="0"/>
              <w:bottom w:val="nil"/>
              <w:right w:val="single" w:color="000000" w:sz="8" w:space="0"/>
            </w:tcBorders>
            <w:shd w:val="clear" w:color="auto" w:fill="auto"/>
            <w:tcMar>
              <w:top w:w="15" w:type="dxa"/>
              <w:left w:w="15" w:type="dxa"/>
              <w:right w:w="15" w:type="dxa"/>
            </w:tcMar>
          </w:tcPr>
          <w:p w14:paraId="0BA76BD1">
            <w:pPr>
              <w:rPr>
                <w:rFonts w:ascii="Calibri" w:hAnsi="Calibri" w:cs="Calibri"/>
                <w:color w:val="000000"/>
                <w:szCs w:val="21"/>
              </w:rPr>
            </w:pPr>
          </w:p>
        </w:tc>
      </w:tr>
      <w:tr w14:paraId="1D3ECD16">
        <w:tblPrEx>
          <w:tblCellMar>
            <w:top w:w="0" w:type="dxa"/>
            <w:left w:w="0" w:type="dxa"/>
            <w:bottom w:w="0" w:type="dxa"/>
            <w:right w:w="0" w:type="dxa"/>
          </w:tblCellMar>
        </w:tblPrEx>
        <w:trPr>
          <w:trHeight w:val="341" w:hRule="atLeast"/>
        </w:trPr>
        <w:tc>
          <w:tcPr>
            <w:tcW w:w="8260" w:type="dxa"/>
            <w:gridSpan w:val="6"/>
            <w:tcBorders>
              <w:top w:val="nil"/>
              <w:left w:val="single" w:color="000000" w:sz="8" w:space="0"/>
              <w:bottom w:val="nil"/>
              <w:right w:val="single" w:color="000000" w:sz="8" w:space="0"/>
            </w:tcBorders>
            <w:shd w:val="clear" w:color="auto" w:fill="auto"/>
            <w:tcMar>
              <w:top w:w="15" w:type="dxa"/>
              <w:left w:w="15" w:type="dxa"/>
              <w:right w:w="15" w:type="dxa"/>
            </w:tcMar>
          </w:tcPr>
          <w:p w14:paraId="3E461E6F">
            <w:pPr>
              <w:rPr>
                <w:color w:val="000000"/>
                <w:szCs w:val="21"/>
              </w:rPr>
            </w:pPr>
          </w:p>
        </w:tc>
      </w:tr>
      <w:tr w14:paraId="54AD2474">
        <w:tblPrEx>
          <w:tblCellMar>
            <w:top w:w="0" w:type="dxa"/>
            <w:left w:w="0" w:type="dxa"/>
            <w:bottom w:w="0" w:type="dxa"/>
            <w:right w:w="0" w:type="dxa"/>
          </w:tblCellMar>
        </w:tblPrEx>
        <w:trPr>
          <w:trHeight w:val="341" w:hRule="atLeast"/>
        </w:trPr>
        <w:tc>
          <w:tcPr>
            <w:tcW w:w="8260" w:type="dxa"/>
            <w:gridSpan w:val="6"/>
            <w:tcBorders>
              <w:top w:val="nil"/>
              <w:left w:val="single" w:color="000000" w:sz="8" w:space="0"/>
              <w:bottom w:val="nil"/>
              <w:right w:val="single" w:color="000000" w:sz="8" w:space="0"/>
            </w:tcBorders>
            <w:shd w:val="clear" w:color="auto" w:fill="auto"/>
            <w:tcMar>
              <w:top w:w="15" w:type="dxa"/>
              <w:left w:w="15" w:type="dxa"/>
              <w:right w:w="15" w:type="dxa"/>
            </w:tcMar>
          </w:tcPr>
          <w:p w14:paraId="36920A4A">
            <w:pPr>
              <w:widowControl/>
              <w:textAlignment w:val="top"/>
              <w:rPr>
                <w:rFonts w:ascii="宋体" w:hAnsi="宋体" w:cs="宋体"/>
                <w:color w:val="000000"/>
                <w:sz w:val="22"/>
                <w:szCs w:val="22"/>
              </w:rPr>
            </w:pPr>
            <w:r>
              <w:rPr>
                <w:rStyle w:val="9"/>
                <w:rFonts w:hint="default"/>
                <w:lang w:bidi="ar"/>
              </w:rPr>
              <w:t xml:space="preserve">                                      </w:t>
            </w:r>
          </w:p>
        </w:tc>
      </w:tr>
      <w:tr w14:paraId="500EDDA6">
        <w:tblPrEx>
          <w:tblCellMar>
            <w:top w:w="0" w:type="dxa"/>
            <w:left w:w="0" w:type="dxa"/>
            <w:bottom w:w="0" w:type="dxa"/>
            <w:right w:w="0" w:type="dxa"/>
          </w:tblCellMar>
        </w:tblPrEx>
        <w:trPr>
          <w:trHeight w:val="90" w:hRule="atLeast"/>
        </w:trPr>
        <w:tc>
          <w:tcPr>
            <w:tcW w:w="4103" w:type="dxa"/>
            <w:gridSpan w:val="3"/>
            <w:tcBorders>
              <w:top w:val="nil"/>
              <w:left w:val="single" w:color="000000" w:sz="8" w:space="0"/>
              <w:bottom w:val="single" w:color="000000" w:sz="8" w:space="0"/>
              <w:right w:val="nil"/>
            </w:tcBorders>
            <w:shd w:val="clear" w:color="auto" w:fill="auto"/>
            <w:tcMar>
              <w:top w:w="15" w:type="dxa"/>
              <w:left w:w="15" w:type="dxa"/>
              <w:right w:w="15" w:type="dxa"/>
            </w:tcMar>
            <w:vAlign w:val="center"/>
          </w:tcPr>
          <w:p w14:paraId="23EC9524">
            <w:pPr>
              <w:widowControl/>
              <w:jc w:val="left"/>
              <w:textAlignment w:val="center"/>
              <w:rPr>
                <w:rFonts w:ascii="宋体" w:hAnsi="宋体" w:cs="宋体"/>
                <w:color w:val="000000"/>
                <w:sz w:val="28"/>
                <w:szCs w:val="28"/>
              </w:rPr>
            </w:pPr>
            <w:r>
              <w:rPr>
                <w:rFonts w:hint="eastAsia" w:ascii="宋体" w:hAnsi="宋体" w:cs="宋体"/>
                <w:color w:val="000000"/>
                <w:kern w:val="0"/>
                <w:sz w:val="28"/>
                <w:szCs w:val="28"/>
                <w:lang w:bidi="ar"/>
              </w:rPr>
              <w:t xml:space="preserve"> 签名：           </w:t>
            </w:r>
          </w:p>
        </w:tc>
        <w:tc>
          <w:tcPr>
            <w:tcW w:w="4157"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34FFA52">
            <w:pPr>
              <w:widowControl/>
              <w:jc w:val="left"/>
              <w:textAlignment w:val="center"/>
              <w:rPr>
                <w:rFonts w:ascii="宋体" w:hAnsi="宋体" w:cs="宋体"/>
                <w:color w:val="000000"/>
                <w:sz w:val="28"/>
                <w:szCs w:val="28"/>
              </w:rPr>
            </w:pPr>
            <w:r>
              <w:rPr>
                <w:rFonts w:hint="eastAsia" w:ascii="宋体" w:hAnsi="宋体" w:cs="宋体"/>
                <w:color w:val="000000"/>
                <w:kern w:val="0"/>
                <w:sz w:val="28"/>
                <w:szCs w:val="28"/>
                <w:lang w:bidi="ar"/>
              </w:rPr>
              <w:t>日期：        年    月    日</w:t>
            </w:r>
          </w:p>
        </w:tc>
      </w:tr>
    </w:tbl>
    <w:p w14:paraId="29BFBCA2">
      <w:pPr>
        <w:pStyle w:val="8"/>
        <w:ind w:firstLine="480"/>
        <w:rPr>
          <w:rFonts w:ascii="仿宋" w:hAnsi="仿宋" w:eastAsia="仿宋" w:cs="宋体"/>
          <w:color w:val="000000"/>
          <w:kern w:val="0"/>
          <w:sz w:val="24"/>
        </w:rPr>
      </w:pPr>
    </w:p>
    <w:p w14:paraId="674EB505">
      <w:pPr>
        <w:pStyle w:val="8"/>
        <w:ind w:firstLine="480"/>
        <w:rPr>
          <w:rFonts w:ascii="仿宋" w:hAnsi="仿宋" w:eastAsia="仿宋" w:cs="宋体"/>
          <w:color w:val="000000"/>
          <w:kern w:val="0"/>
          <w:sz w:val="24"/>
        </w:rPr>
      </w:pPr>
      <w:r>
        <w:rPr>
          <w:rFonts w:hint="eastAsia" w:ascii="仿宋" w:hAnsi="仿宋" w:eastAsia="仿宋" w:cs="宋体"/>
          <w:color w:val="000000"/>
          <w:kern w:val="0"/>
          <w:sz w:val="24"/>
        </w:rPr>
        <w:t>本页以下无正文</w:t>
      </w:r>
    </w:p>
    <w:p w14:paraId="6D523B4B">
      <w:pPr>
        <w:rPr>
          <w:rFonts w:ascii="仿宋" w:hAnsi="仿宋" w:eastAsia="仿宋" w:cs="宋体"/>
          <w:color w:val="000000"/>
          <w:kern w:val="0"/>
          <w:sz w:val="24"/>
        </w:rPr>
      </w:pPr>
      <w:r>
        <w:rPr>
          <w:rFonts w:hint="eastAsia" w:ascii="仿宋" w:hAnsi="仿宋" w:eastAsia="仿宋" w:cs="宋体"/>
          <w:color w:val="000000"/>
          <w:kern w:val="0"/>
          <w:sz w:val="24"/>
        </w:rPr>
        <w:br w:type="page"/>
      </w:r>
    </w:p>
    <w:p w14:paraId="6B920B59">
      <w:pPr>
        <w:pStyle w:val="8"/>
        <w:ind w:firstLine="480"/>
        <w:rPr>
          <w:rFonts w:ascii="仿宋" w:hAnsi="仿宋" w:eastAsia="仿宋" w:cs="宋体"/>
          <w:color w:val="000000"/>
          <w:kern w:val="0"/>
          <w:sz w:val="24"/>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6"/>
        <w:gridCol w:w="4356"/>
      </w:tblGrid>
      <w:tr w14:paraId="604C0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6" w:type="dxa"/>
            <w:tcBorders>
              <w:top w:val="nil"/>
              <w:left w:val="nil"/>
              <w:bottom w:val="nil"/>
              <w:right w:val="nil"/>
            </w:tcBorders>
          </w:tcPr>
          <w:p w14:paraId="6FDFC5D0">
            <w:pPr>
              <w:widowControl/>
              <w:snapToGrid w:val="0"/>
              <w:spacing w:line="360" w:lineRule="auto"/>
            </w:pPr>
            <w:r>
              <w:rPr>
                <w:rFonts w:hint="eastAsia" w:ascii="仿宋" w:hAnsi="仿宋" w:eastAsia="仿宋" w:cs="宋体"/>
                <w:color w:val="000000"/>
                <w:kern w:val="0"/>
                <w:sz w:val="24"/>
              </w:rPr>
              <w:t>发包人：海口市人民医院</w:t>
            </w:r>
          </w:p>
        </w:tc>
        <w:tc>
          <w:tcPr>
            <w:tcW w:w="4356" w:type="dxa"/>
            <w:tcBorders>
              <w:top w:val="nil"/>
              <w:left w:val="nil"/>
              <w:bottom w:val="nil"/>
              <w:right w:val="nil"/>
            </w:tcBorders>
          </w:tcPr>
          <w:p w14:paraId="257EA6E3">
            <w:pPr>
              <w:widowControl/>
              <w:snapToGrid w:val="0"/>
              <w:spacing w:line="360" w:lineRule="auto"/>
              <w:rPr>
                <w:rFonts w:eastAsia="仿宋"/>
              </w:rPr>
            </w:pPr>
            <w:r>
              <w:rPr>
                <w:rFonts w:hint="eastAsia" w:ascii="仿宋" w:hAnsi="仿宋" w:eastAsia="仿宋" w:cs="宋体"/>
                <w:color w:val="000000"/>
                <w:kern w:val="0"/>
                <w:sz w:val="24"/>
              </w:rPr>
              <w:t xml:space="preserve">承包人： </w:t>
            </w:r>
          </w:p>
        </w:tc>
      </w:tr>
      <w:tr w14:paraId="5871F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6" w:type="dxa"/>
            <w:tcBorders>
              <w:top w:val="nil"/>
              <w:left w:val="nil"/>
              <w:bottom w:val="nil"/>
              <w:right w:val="nil"/>
            </w:tcBorders>
          </w:tcPr>
          <w:p w14:paraId="70699E7E">
            <w:pPr>
              <w:widowControl/>
              <w:snapToGrid w:val="0"/>
              <w:spacing w:line="360" w:lineRule="auto"/>
            </w:pPr>
            <w:r>
              <w:rPr>
                <w:rFonts w:hint="eastAsia" w:ascii="仿宋" w:hAnsi="仿宋" w:eastAsia="仿宋" w:cs="宋体"/>
                <w:color w:val="000000"/>
                <w:kern w:val="0"/>
                <w:sz w:val="24"/>
              </w:rPr>
              <w:t>（盖章）</w:t>
            </w:r>
          </w:p>
        </w:tc>
        <w:tc>
          <w:tcPr>
            <w:tcW w:w="4356" w:type="dxa"/>
            <w:tcBorders>
              <w:top w:val="nil"/>
              <w:left w:val="nil"/>
              <w:bottom w:val="nil"/>
              <w:right w:val="nil"/>
            </w:tcBorders>
          </w:tcPr>
          <w:p w14:paraId="46DD5D16">
            <w:pPr>
              <w:widowControl/>
              <w:snapToGrid w:val="0"/>
              <w:spacing w:line="360" w:lineRule="auto"/>
            </w:pPr>
            <w:r>
              <w:rPr>
                <w:rFonts w:hint="eastAsia" w:ascii="仿宋" w:hAnsi="仿宋" w:eastAsia="仿宋" w:cs="宋体"/>
                <w:color w:val="000000"/>
                <w:kern w:val="0"/>
                <w:sz w:val="24"/>
              </w:rPr>
              <w:t>（盖章）</w:t>
            </w:r>
          </w:p>
        </w:tc>
      </w:tr>
      <w:tr w14:paraId="26FC9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6" w:type="dxa"/>
            <w:tcBorders>
              <w:top w:val="nil"/>
              <w:left w:val="nil"/>
              <w:bottom w:val="nil"/>
              <w:right w:val="nil"/>
            </w:tcBorders>
          </w:tcPr>
          <w:p w14:paraId="023ED180">
            <w:pPr>
              <w:widowControl/>
              <w:snapToGrid w:val="0"/>
              <w:spacing w:line="360" w:lineRule="auto"/>
            </w:pPr>
            <w:r>
              <w:rPr>
                <w:rFonts w:hint="eastAsia" w:ascii="仿宋" w:hAnsi="仿宋" w:eastAsia="仿宋" w:cs="宋体"/>
                <w:color w:val="000000"/>
                <w:kern w:val="0"/>
                <w:sz w:val="24"/>
              </w:rPr>
              <w:t>法定代表人：</w:t>
            </w:r>
          </w:p>
        </w:tc>
        <w:tc>
          <w:tcPr>
            <w:tcW w:w="4356" w:type="dxa"/>
            <w:tcBorders>
              <w:top w:val="nil"/>
              <w:left w:val="nil"/>
              <w:bottom w:val="nil"/>
              <w:right w:val="nil"/>
            </w:tcBorders>
          </w:tcPr>
          <w:p w14:paraId="6D2D6CE0">
            <w:pPr>
              <w:widowControl/>
              <w:snapToGrid w:val="0"/>
              <w:spacing w:line="360" w:lineRule="auto"/>
            </w:pPr>
            <w:r>
              <w:rPr>
                <w:rFonts w:hint="eastAsia" w:ascii="仿宋" w:hAnsi="仿宋" w:eastAsia="仿宋" w:cs="宋体"/>
                <w:color w:val="000000"/>
                <w:kern w:val="0"/>
                <w:sz w:val="24"/>
              </w:rPr>
              <w:t>法定代表人：</w:t>
            </w:r>
          </w:p>
        </w:tc>
      </w:tr>
      <w:tr w14:paraId="5F1BC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6" w:type="dxa"/>
            <w:tcBorders>
              <w:top w:val="nil"/>
              <w:left w:val="nil"/>
              <w:bottom w:val="nil"/>
              <w:right w:val="nil"/>
            </w:tcBorders>
          </w:tcPr>
          <w:p w14:paraId="3B557589">
            <w:pPr>
              <w:widowControl/>
              <w:snapToGrid w:val="0"/>
              <w:spacing w:line="360" w:lineRule="auto"/>
            </w:pPr>
            <w:r>
              <w:rPr>
                <w:rFonts w:hint="eastAsia" w:ascii="仿宋" w:hAnsi="仿宋" w:eastAsia="仿宋" w:cs="宋体"/>
                <w:color w:val="000000"/>
                <w:kern w:val="0"/>
                <w:sz w:val="24"/>
              </w:rPr>
              <w:t>（签字）</w:t>
            </w:r>
          </w:p>
        </w:tc>
        <w:tc>
          <w:tcPr>
            <w:tcW w:w="4356" w:type="dxa"/>
            <w:tcBorders>
              <w:top w:val="nil"/>
              <w:left w:val="nil"/>
              <w:bottom w:val="nil"/>
              <w:right w:val="nil"/>
            </w:tcBorders>
          </w:tcPr>
          <w:p w14:paraId="3437EEA2">
            <w:pPr>
              <w:widowControl/>
              <w:snapToGrid w:val="0"/>
              <w:spacing w:line="360" w:lineRule="auto"/>
            </w:pPr>
            <w:r>
              <w:rPr>
                <w:rFonts w:hint="eastAsia" w:ascii="仿宋" w:hAnsi="仿宋" w:eastAsia="仿宋" w:cs="宋体"/>
                <w:color w:val="000000"/>
                <w:kern w:val="0"/>
                <w:sz w:val="24"/>
              </w:rPr>
              <w:t>（签字）</w:t>
            </w:r>
          </w:p>
        </w:tc>
      </w:tr>
      <w:tr w14:paraId="600D3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6" w:type="dxa"/>
            <w:tcBorders>
              <w:top w:val="nil"/>
              <w:left w:val="nil"/>
              <w:bottom w:val="nil"/>
              <w:right w:val="nil"/>
            </w:tcBorders>
          </w:tcPr>
          <w:p w14:paraId="44D382D8">
            <w:pPr>
              <w:widowControl/>
              <w:snapToGrid w:val="0"/>
              <w:spacing w:line="360" w:lineRule="auto"/>
            </w:pPr>
            <w:r>
              <w:rPr>
                <w:rFonts w:hint="eastAsia" w:ascii="仿宋" w:hAnsi="仿宋" w:eastAsia="仿宋" w:cs="宋体"/>
                <w:color w:val="000000"/>
                <w:kern w:val="0"/>
                <w:sz w:val="24"/>
              </w:rPr>
              <w:t>电话：</w:t>
            </w:r>
          </w:p>
        </w:tc>
        <w:tc>
          <w:tcPr>
            <w:tcW w:w="4356" w:type="dxa"/>
            <w:tcBorders>
              <w:top w:val="nil"/>
              <w:left w:val="nil"/>
              <w:bottom w:val="nil"/>
              <w:right w:val="nil"/>
            </w:tcBorders>
          </w:tcPr>
          <w:p w14:paraId="511A5789">
            <w:pPr>
              <w:widowControl/>
              <w:snapToGrid w:val="0"/>
              <w:spacing w:line="360" w:lineRule="auto"/>
              <w:rPr>
                <w:rFonts w:eastAsia="仿宋"/>
              </w:rPr>
            </w:pPr>
            <w:r>
              <w:rPr>
                <w:rFonts w:hint="eastAsia" w:ascii="仿宋" w:hAnsi="仿宋" w:eastAsia="仿宋" w:cs="宋体"/>
                <w:color w:val="000000"/>
                <w:kern w:val="0"/>
                <w:sz w:val="24"/>
              </w:rPr>
              <w:t>电话：</w:t>
            </w:r>
          </w:p>
        </w:tc>
      </w:tr>
      <w:tr w14:paraId="499F7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6" w:type="dxa"/>
            <w:tcBorders>
              <w:top w:val="nil"/>
              <w:left w:val="nil"/>
              <w:bottom w:val="nil"/>
              <w:right w:val="nil"/>
            </w:tcBorders>
          </w:tcPr>
          <w:p w14:paraId="2E47DA71">
            <w:pPr>
              <w:widowControl/>
              <w:snapToGrid w:val="0"/>
              <w:spacing w:line="360" w:lineRule="auto"/>
            </w:pPr>
            <w:r>
              <w:rPr>
                <w:rFonts w:hint="eastAsia" w:ascii="仿宋" w:hAnsi="仿宋" w:eastAsia="仿宋" w:cs="宋体"/>
                <w:color w:val="000000"/>
                <w:kern w:val="0"/>
                <w:sz w:val="24"/>
              </w:rPr>
              <w:t>传真：</w:t>
            </w:r>
          </w:p>
        </w:tc>
        <w:tc>
          <w:tcPr>
            <w:tcW w:w="4356" w:type="dxa"/>
            <w:tcBorders>
              <w:top w:val="nil"/>
              <w:left w:val="nil"/>
              <w:bottom w:val="nil"/>
              <w:right w:val="nil"/>
            </w:tcBorders>
          </w:tcPr>
          <w:p w14:paraId="6C76C6AA">
            <w:pPr>
              <w:widowControl/>
              <w:snapToGrid w:val="0"/>
              <w:spacing w:line="360" w:lineRule="auto"/>
              <w:rPr>
                <w:rFonts w:eastAsia="仿宋"/>
              </w:rPr>
            </w:pPr>
            <w:r>
              <w:rPr>
                <w:rFonts w:hint="eastAsia" w:ascii="仿宋" w:hAnsi="仿宋" w:eastAsia="仿宋" w:cs="宋体"/>
                <w:color w:val="000000"/>
                <w:kern w:val="0"/>
                <w:sz w:val="24"/>
              </w:rPr>
              <w:t>传真：</w:t>
            </w:r>
          </w:p>
        </w:tc>
      </w:tr>
      <w:tr w14:paraId="5484A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6" w:type="dxa"/>
            <w:tcBorders>
              <w:top w:val="nil"/>
              <w:left w:val="nil"/>
              <w:bottom w:val="nil"/>
              <w:right w:val="nil"/>
            </w:tcBorders>
          </w:tcPr>
          <w:p w14:paraId="7227814C">
            <w:pPr>
              <w:widowControl/>
              <w:snapToGrid w:val="0"/>
              <w:spacing w:line="360" w:lineRule="auto"/>
            </w:pPr>
            <w:r>
              <w:rPr>
                <w:rFonts w:hint="eastAsia" w:ascii="仿宋" w:hAnsi="仿宋" w:eastAsia="仿宋" w:cs="宋体"/>
                <w:color w:val="000000"/>
                <w:kern w:val="0"/>
                <w:sz w:val="24"/>
              </w:rPr>
              <w:t>住所：</w:t>
            </w:r>
          </w:p>
        </w:tc>
        <w:tc>
          <w:tcPr>
            <w:tcW w:w="4356" w:type="dxa"/>
            <w:tcBorders>
              <w:top w:val="nil"/>
              <w:left w:val="nil"/>
              <w:bottom w:val="nil"/>
              <w:right w:val="nil"/>
            </w:tcBorders>
          </w:tcPr>
          <w:p w14:paraId="5130BE17">
            <w:pPr>
              <w:widowControl/>
              <w:snapToGrid w:val="0"/>
              <w:spacing w:line="360" w:lineRule="auto"/>
              <w:ind w:left="720" w:hanging="720" w:hangingChars="300"/>
              <w:rPr>
                <w:rFonts w:eastAsia="仿宋"/>
                <w:b/>
                <w:bCs/>
              </w:rPr>
            </w:pPr>
            <w:r>
              <w:rPr>
                <w:rFonts w:hint="eastAsia" w:ascii="仿宋" w:hAnsi="仿宋" w:eastAsia="仿宋" w:cs="宋体"/>
                <w:color w:val="000000"/>
                <w:kern w:val="0"/>
                <w:sz w:val="24"/>
              </w:rPr>
              <w:t xml:space="preserve">住所： </w:t>
            </w:r>
          </w:p>
        </w:tc>
      </w:tr>
      <w:tr w14:paraId="0FC31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6" w:type="dxa"/>
            <w:tcBorders>
              <w:top w:val="nil"/>
              <w:left w:val="nil"/>
              <w:bottom w:val="nil"/>
              <w:right w:val="nil"/>
            </w:tcBorders>
          </w:tcPr>
          <w:p w14:paraId="09DAB686">
            <w:pPr>
              <w:widowControl/>
              <w:snapToGrid w:val="0"/>
              <w:spacing w:line="360" w:lineRule="auto"/>
            </w:pPr>
            <w:r>
              <w:rPr>
                <w:rFonts w:hint="eastAsia" w:ascii="仿宋" w:hAnsi="仿宋" w:eastAsia="仿宋" w:cs="宋体"/>
                <w:color w:val="000000"/>
                <w:kern w:val="0"/>
                <w:sz w:val="24"/>
              </w:rPr>
              <w:t>邮编：</w:t>
            </w:r>
          </w:p>
        </w:tc>
        <w:tc>
          <w:tcPr>
            <w:tcW w:w="4356" w:type="dxa"/>
            <w:tcBorders>
              <w:top w:val="nil"/>
              <w:left w:val="nil"/>
              <w:bottom w:val="nil"/>
              <w:right w:val="nil"/>
            </w:tcBorders>
          </w:tcPr>
          <w:p w14:paraId="06732992">
            <w:pPr>
              <w:widowControl/>
              <w:snapToGrid w:val="0"/>
              <w:spacing w:line="360" w:lineRule="auto"/>
              <w:rPr>
                <w:rFonts w:eastAsia="仿宋"/>
              </w:rPr>
            </w:pPr>
            <w:r>
              <w:rPr>
                <w:rFonts w:hint="eastAsia" w:ascii="仿宋" w:hAnsi="仿宋" w:eastAsia="仿宋" w:cs="宋体"/>
                <w:color w:val="000000"/>
                <w:kern w:val="0"/>
                <w:sz w:val="24"/>
              </w:rPr>
              <w:t>邮编：</w:t>
            </w:r>
          </w:p>
        </w:tc>
      </w:tr>
      <w:tr w14:paraId="3A12A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6" w:type="dxa"/>
            <w:tcBorders>
              <w:top w:val="nil"/>
              <w:left w:val="nil"/>
              <w:bottom w:val="nil"/>
              <w:right w:val="nil"/>
            </w:tcBorders>
          </w:tcPr>
          <w:p w14:paraId="0D34C05D">
            <w:pPr>
              <w:widowControl/>
              <w:snapToGrid w:val="0"/>
              <w:spacing w:line="360" w:lineRule="auto"/>
            </w:pPr>
            <w:r>
              <w:rPr>
                <w:rFonts w:hint="eastAsia" w:ascii="仿宋" w:hAnsi="仿宋" w:eastAsia="仿宋" w:cs="宋体"/>
                <w:color w:val="000000"/>
                <w:kern w:val="0"/>
                <w:sz w:val="24"/>
              </w:rPr>
              <w:t>开户银行：</w:t>
            </w:r>
          </w:p>
        </w:tc>
        <w:tc>
          <w:tcPr>
            <w:tcW w:w="4356" w:type="dxa"/>
            <w:tcBorders>
              <w:top w:val="nil"/>
              <w:left w:val="nil"/>
              <w:bottom w:val="nil"/>
              <w:right w:val="nil"/>
            </w:tcBorders>
          </w:tcPr>
          <w:p w14:paraId="2505AB54">
            <w:pPr>
              <w:widowControl/>
              <w:snapToGrid w:val="0"/>
              <w:spacing w:line="360" w:lineRule="auto"/>
              <w:rPr>
                <w:rFonts w:eastAsia="仿宋"/>
              </w:rPr>
            </w:pPr>
            <w:r>
              <w:rPr>
                <w:rFonts w:hint="eastAsia" w:ascii="仿宋" w:hAnsi="仿宋" w:eastAsia="仿宋" w:cs="宋体"/>
                <w:color w:val="000000"/>
                <w:kern w:val="0"/>
                <w:sz w:val="24"/>
              </w:rPr>
              <w:t>开户银行：</w:t>
            </w:r>
          </w:p>
        </w:tc>
      </w:tr>
      <w:tr w14:paraId="79ED6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6" w:type="dxa"/>
            <w:tcBorders>
              <w:top w:val="nil"/>
              <w:left w:val="nil"/>
              <w:bottom w:val="nil"/>
              <w:right w:val="nil"/>
            </w:tcBorders>
          </w:tcPr>
          <w:p w14:paraId="3DF6D978">
            <w:pPr>
              <w:widowControl/>
              <w:snapToGrid w:val="0"/>
              <w:spacing w:line="360" w:lineRule="auto"/>
            </w:pPr>
            <w:r>
              <w:rPr>
                <w:rFonts w:hint="eastAsia" w:ascii="仿宋" w:hAnsi="仿宋" w:eastAsia="仿宋" w:cs="宋体"/>
                <w:color w:val="000000"/>
                <w:kern w:val="0"/>
                <w:sz w:val="24"/>
              </w:rPr>
              <w:t>银行账号：</w:t>
            </w:r>
          </w:p>
        </w:tc>
        <w:tc>
          <w:tcPr>
            <w:tcW w:w="4356" w:type="dxa"/>
            <w:tcBorders>
              <w:top w:val="nil"/>
              <w:left w:val="nil"/>
              <w:bottom w:val="nil"/>
              <w:right w:val="nil"/>
            </w:tcBorders>
          </w:tcPr>
          <w:p w14:paraId="7953A6CA">
            <w:pPr>
              <w:widowControl/>
              <w:snapToGrid w:val="0"/>
              <w:spacing w:line="360" w:lineRule="auto"/>
              <w:rPr>
                <w:rFonts w:eastAsia="仿宋"/>
              </w:rPr>
            </w:pPr>
            <w:r>
              <w:rPr>
                <w:rFonts w:hint="eastAsia" w:ascii="仿宋" w:hAnsi="仿宋" w:eastAsia="仿宋" w:cs="宋体"/>
                <w:color w:val="000000"/>
                <w:kern w:val="0"/>
                <w:sz w:val="24"/>
              </w:rPr>
              <w:t>银行账号：</w:t>
            </w:r>
          </w:p>
        </w:tc>
      </w:tr>
    </w:tbl>
    <w:p w14:paraId="33825293">
      <w:pPr>
        <w:widowControl/>
        <w:snapToGrid w:val="0"/>
        <w:spacing w:line="360" w:lineRule="auto"/>
        <w:ind w:firstLine="420"/>
        <w:rPr>
          <w:rFonts w:ascii="仿宋" w:hAnsi="仿宋" w:eastAsia="仿宋" w:cs="宋体"/>
          <w:color w:val="000000"/>
          <w:kern w:val="0"/>
          <w:sz w:val="24"/>
        </w:rPr>
      </w:pPr>
    </w:p>
    <w:p w14:paraId="1790023D">
      <w:pPr>
        <w:widowControl/>
        <w:snapToGrid w:val="0"/>
        <w:spacing w:line="360" w:lineRule="auto"/>
        <w:jc w:val="center"/>
        <w:rPr>
          <w:rFonts w:ascii="仿宋" w:hAnsi="仿宋" w:eastAsia="仿宋" w:cs="宋体"/>
          <w:color w:val="000000"/>
          <w:kern w:val="0"/>
          <w:sz w:val="24"/>
        </w:rPr>
      </w:pPr>
      <w:r>
        <w:rPr>
          <w:rFonts w:hint="eastAsia" w:ascii="仿宋" w:hAnsi="仿宋" w:eastAsia="仿宋" w:cs="宋体"/>
          <w:color w:val="000000"/>
          <w:kern w:val="0"/>
          <w:sz w:val="24"/>
        </w:rPr>
        <w:t xml:space="preserve">                           </w:t>
      </w:r>
    </w:p>
    <w:p w14:paraId="571CEB0C">
      <w:pPr>
        <w:widowControl/>
        <w:snapToGrid w:val="0"/>
        <w:spacing w:line="360" w:lineRule="auto"/>
        <w:jc w:val="center"/>
        <w:rPr>
          <w:rFonts w:ascii="仿宋" w:hAnsi="仿宋" w:eastAsia="仿宋" w:cs="宋体"/>
          <w:color w:val="000000"/>
          <w:kern w:val="0"/>
          <w:sz w:val="24"/>
        </w:rPr>
      </w:pPr>
      <w:r>
        <w:rPr>
          <w:rFonts w:hint="eastAsia" w:ascii="仿宋" w:hAnsi="仿宋" w:eastAsia="仿宋" w:cs="宋体"/>
          <w:color w:val="000000"/>
          <w:kern w:val="0"/>
          <w:sz w:val="24"/>
        </w:rPr>
        <w:t xml:space="preserve">   合同签订日期：        年     月    日</w:t>
      </w:r>
    </w:p>
    <w:p w14:paraId="4B863C2F">
      <w:pPr>
        <w:rPr>
          <w:rFonts w:hint="eastAsia" w:eastAsia="仿宋_GB231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286D46"/>
    <w:rsid w:val="4B8B339F"/>
    <w:rsid w:val="76852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snapToGrid w:val="0"/>
      <w:ind w:firstLine="420" w:firstLineChars="200"/>
    </w:pPr>
    <w:rPr>
      <w:rFonts w:ascii="仿宋_GB2312" w:eastAsia="仿宋_GB2312"/>
      <w:bCs/>
      <w:szCs w:val="21"/>
    </w:rPr>
  </w:style>
  <w:style w:type="paragraph" w:styleId="3">
    <w:name w:val="Body Text Indent"/>
    <w:basedOn w:val="1"/>
    <w:qFormat/>
    <w:uiPriority w:val="0"/>
    <w:pPr>
      <w:spacing w:after="120"/>
      <w:ind w:left="420" w:leftChars="2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正文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jc w:val="both"/>
    </w:pPr>
    <w:rPr>
      <w:rFonts w:asciiTheme="minorHAnsi" w:hAnsiTheme="minorHAnsi" w:eastAsiaTheme="minorEastAsia" w:cstheme="minorBidi"/>
      <w:kern w:val="2"/>
      <w:sz w:val="21"/>
      <w:szCs w:val="24"/>
      <w:lang w:val="en-US" w:eastAsia="zh-CN" w:bidi="ar-SA"/>
    </w:rPr>
  </w:style>
  <w:style w:type="character" w:customStyle="1" w:styleId="9">
    <w:name w:val="font21"/>
    <w:basedOn w:val="7"/>
    <w:qFormat/>
    <w:uiPriority w:val="0"/>
    <w:rPr>
      <w:rFonts w:hint="eastAsia" w:ascii="宋体" w:hAnsi="宋体" w:eastAsia="宋体" w:cs="宋体"/>
      <w:color w:val="000000"/>
      <w:sz w:val="22"/>
      <w:szCs w:val="22"/>
      <w:u w:val="none"/>
    </w:rPr>
  </w:style>
  <w:style w:type="character" w:customStyle="1" w:styleId="10">
    <w:name w:val="font8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2025-06-27T15:54:50Z</dcterms:created>
  <dc:creator>rhm</dc:creator>
  <cp:lastModifiedBy>苦咖啡</cp:lastModifiedBy>
  <dcterms:modified xsi:type="dcterms:W3CDTF">2025-06-27T15:57:08Z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eyJoZGlkIjoiNGQ3YWVjYjhhYWQzZmQ3MWZiNTM4NWY3Y2JmYmFjMmQiLCJ1c2VySWQiOiIzOTg3NjM3MDIifQ==</vt:lpwstr>
  </property>
  <property fmtid="{D5CDD505-2E9C-101B-9397-08002B2CF9AE}" pid="4" name="ICV">
    <vt:lpwstr>C5AAE597B616470DA914E6CB20003BE6_12</vt:lpwstr>
  </property>
</Properties>
</file>