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9" w:line="360" w:lineRule="auto"/>
        <w:jc w:val="center"/>
        <w:rPr>
          <w:rFonts w:hint="eastAsia" w:ascii="宋体" w:hAnsi="宋体" w:cs="宋体"/>
          <w:sz w:val="24"/>
        </w:rPr>
      </w:pPr>
      <w:bookmarkStart w:id="20" w:name="_GoBack"/>
      <w:bookmarkEnd w:id="20"/>
      <w:r>
        <w:rPr>
          <w:rFonts w:ascii="仿宋_GB2312" w:hAnsi="仿宋_GB2312" w:eastAsia="仿宋_GB2312" w:cs="仿宋_GB2312"/>
          <w:b/>
          <w:sz w:val="36"/>
        </w:rPr>
        <w:t>政府采购合同</w:t>
      </w:r>
    </w:p>
    <w:p>
      <w:pPr>
        <w:snapToGrid w:val="0"/>
        <w:spacing w:before="19" w:line="360" w:lineRule="auto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 w:cs="宋体"/>
          <w:sz w:val="24"/>
        </w:rPr>
        <w:t>注：采购人和中标单位应按照《财政部关于进一步加强政府采购需求和履约验收管理的指导意见》第二条第四项中“采购合同的具体条款应当包括项目的验收要求、与履约验收挂钩的资金支付条件及时间、争议处理规定、采购人及供应商各自权利义务等内容。采购需求、项目验收标准和程序应当作为采购合同的附件”的规定签订采购合同。</w:t>
      </w:r>
      <w:r>
        <w:rPr>
          <w:rFonts w:hint="eastAsia" w:ascii="宋体" w:hAnsi="宋体"/>
          <w:b/>
          <w:sz w:val="36"/>
          <w:szCs w:val="36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合同通用条款部分</w:t>
      </w:r>
    </w:p>
    <w:p>
      <w:pPr>
        <w:jc w:val="center"/>
        <w:rPr>
          <w:sz w:val="24"/>
        </w:rPr>
      </w:pPr>
      <w:r>
        <w:rPr>
          <w:rFonts w:hint="eastAsia"/>
          <w:b/>
          <w:sz w:val="36"/>
          <w:szCs w:val="36"/>
        </w:rPr>
        <w:t>(略)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合同专用条款部分</w:t>
      </w:r>
    </w:p>
    <w:p>
      <w:pPr>
        <w:snapToGrid w:val="0"/>
        <w:spacing w:before="19" w:line="500" w:lineRule="exact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sz w:val="24"/>
        </w:rPr>
        <w:t>甲方: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sz w:val="24"/>
          <w:u w:val="single"/>
        </w:rPr>
        <w:t xml:space="preserve">                            </w:t>
      </w:r>
    </w:p>
    <w:p>
      <w:pPr>
        <w:snapToGrid w:val="0"/>
        <w:spacing w:before="19" w:line="500" w:lineRule="exact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sz w:val="24"/>
        </w:rPr>
        <w:t>乙方:</w:t>
      </w:r>
      <w:r>
        <w:rPr>
          <w:rFonts w:hint="eastAsia"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 xml:space="preserve">                           </w:t>
      </w:r>
    </w:p>
    <w:p>
      <w:pPr>
        <w:snapToGrid w:val="0"/>
        <w:spacing w:before="19" w:line="500" w:lineRule="exact"/>
        <w:rPr>
          <w:rFonts w:ascii="宋体" w:hAnsi="宋体"/>
          <w:b/>
          <w:sz w:val="24"/>
          <w:u w:val="single"/>
        </w:rPr>
      </w:pPr>
    </w:p>
    <w:p>
      <w:pPr>
        <w:pStyle w:val="9"/>
        <w:spacing w:before="240" w:after="240"/>
        <w:ind w:firstLine="0" w:firstLineChars="0"/>
        <w:rPr>
          <w:b/>
          <w:sz w:val="36"/>
          <w:szCs w:val="36"/>
        </w:rPr>
      </w:pPr>
      <w:r>
        <w:rPr>
          <w:rFonts w:hint="eastAsia" w:ascii="宋体" w:hAnsi="宋体"/>
        </w:rPr>
        <w:t xml:space="preserve">    甲乙双方根据</w:t>
      </w:r>
      <w:r>
        <w:rPr>
          <w:rFonts w:hint="eastAsia" w:ascii="宋体" w:hAnsi="宋体"/>
          <w:u w:val="single"/>
        </w:rPr>
        <w:t xml:space="preserve">       </w:t>
      </w:r>
      <w:r>
        <w:rPr>
          <w:rFonts w:hint="eastAsia" w:ascii="宋体" w:hAnsi="宋体"/>
        </w:rPr>
        <w:t>年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</w:rPr>
        <w:t>日</w:t>
      </w:r>
      <w:r>
        <w:rPr>
          <w:rFonts w:hint="eastAsia" w:ascii="宋体" w:hAnsi="宋体" w:cs="宋体"/>
        </w:rPr>
        <w:t>（项目编号:HNZC2025-040-005、医疗责任保险）</w:t>
      </w:r>
      <w:r>
        <w:rPr>
          <w:rFonts w:hint="eastAsia" w:ascii="宋体" w:hAnsi="宋体"/>
        </w:rPr>
        <w:t>竞争性谈判及竞争性谈判文件的要求,经协商一致,同意以下专用条款作为本项目合同条款的补充。当合同条款与专用条款不一致时，以专用条款为准。</w:t>
      </w:r>
    </w:p>
    <w:p>
      <w:pPr>
        <w:numPr>
          <w:ilvl w:val="0"/>
          <w:numId w:val="1"/>
        </w:numPr>
        <w:snapToGrid w:val="0"/>
        <w:spacing w:before="19"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合同标的及金额等(详见附件清单)</w:t>
      </w:r>
    </w:p>
    <w:tbl>
      <w:tblPr>
        <w:tblStyle w:val="7"/>
        <w:tblW w:w="85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2153"/>
        <w:gridCol w:w="2346"/>
        <w:gridCol w:w="3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15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234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  <w:tc>
          <w:tcPr>
            <w:tcW w:w="30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9" w:hRule="atLeast"/>
        </w:trPr>
        <w:tc>
          <w:tcPr>
            <w:tcW w:w="101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153" w:type="dxa"/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</w:p>
        </w:tc>
        <w:tc>
          <w:tcPr>
            <w:tcW w:w="2346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15" w:type="dxa"/>
            <w:tcBorders>
              <w:tr2bl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  <w:tc>
          <w:tcPr>
            <w:tcW w:w="2153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   计</w:t>
            </w:r>
          </w:p>
        </w:tc>
        <w:tc>
          <w:tcPr>
            <w:tcW w:w="54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项目地点：</w:t>
            </w:r>
          </w:p>
          <w:p>
            <w:pPr>
              <w:rPr>
                <w:rFonts w:ascii="宋体" w:hAnsi="宋体" w:cs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8"/>
                <w:szCs w:val="28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报价总计：</w:t>
            </w:r>
            <w:r>
              <w:rPr>
                <w:rFonts w:hint="eastAsia" w:ascii="宋体" w:hAnsi="宋体"/>
                <w:b/>
                <w:bCs/>
                <w:sz w:val="24"/>
              </w:rPr>
              <w:t>¥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u w:val="single"/>
              </w:rPr>
              <w:t xml:space="preserve">                         </w:t>
            </w:r>
          </w:p>
          <w:p>
            <w:pPr>
              <w:rPr>
                <w:rFonts w:ascii="宋体" w:hAnsi="宋体" w:cs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  <w:u w:val="single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人民币（大写）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                              </w:t>
            </w:r>
          </w:p>
        </w:tc>
      </w:tr>
    </w:tbl>
    <w:p>
      <w:pPr>
        <w:tabs>
          <w:tab w:val="left" w:pos="1980"/>
        </w:tabs>
        <w:snapToGrid w:val="0"/>
        <w:spacing w:before="19" w:line="360" w:lineRule="auto"/>
        <w:ind w:firstLine="480" w:firstLineChars="200"/>
        <w:rPr>
          <w:rFonts w:ascii="宋体" w:hAnsi="宋体"/>
          <w:b/>
          <w:bCs/>
          <w:sz w:val="24"/>
        </w:rPr>
      </w:pPr>
      <w:bookmarkStart w:id="0" w:name="_Toc5234"/>
      <w:bookmarkStart w:id="1" w:name="_Toc19195"/>
      <w:bookmarkStart w:id="2" w:name="_Toc15350"/>
      <w:r>
        <w:rPr>
          <w:rFonts w:hint="eastAsia" w:ascii="宋体" w:hAnsi="宋体"/>
          <w:sz w:val="24"/>
        </w:rPr>
        <w:t>二</w:t>
      </w:r>
      <w:r>
        <w:rPr>
          <w:rFonts w:hint="eastAsia" w:ascii="宋体" w:hAnsi="宋体"/>
          <w:b/>
          <w:bCs/>
          <w:sz w:val="24"/>
        </w:rPr>
        <w:t>、</w:t>
      </w:r>
      <w:r>
        <w:rPr>
          <w:rFonts w:hint="eastAsia" w:ascii="宋体" w:hAnsi="宋体" w:cs="宋体"/>
          <w:b/>
          <w:bCs/>
          <w:sz w:val="24"/>
        </w:rPr>
        <w:t>服务地点：</w:t>
      </w:r>
      <w:r>
        <w:rPr>
          <w:rFonts w:hint="eastAsia" w:ascii="宋体" w:hAnsi="宋体"/>
          <w:b/>
          <w:bCs/>
          <w:sz w:val="24"/>
        </w:rPr>
        <w:t>用户指定。</w:t>
      </w:r>
      <w:bookmarkEnd w:id="0"/>
      <w:bookmarkEnd w:id="1"/>
      <w:bookmarkEnd w:id="2"/>
      <w:r>
        <w:rPr>
          <w:rFonts w:hint="eastAsia" w:ascii="宋体" w:hAnsi="宋体"/>
          <w:b/>
          <w:bCs/>
          <w:sz w:val="24"/>
        </w:rPr>
        <w:t xml:space="preserve"> </w:t>
      </w:r>
    </w:p>
    <w:p>
      <w:pPr>
        <w:snapToGrid w:val="0"/>
        <w:spacing w:line="360" w:lineRule="auto"/>
        <w:ind w:firstLine="482" w:firstLineChars="200"/>
        <w:rPr>
          <w:rFonts w:ascii="宋体" w:hAnsi="宋体" w:cs="宋体"/>
          <w:sz w:val="24"/>
        </w:rPr>
      </w:pPr>
      <w:bookmarkStart w:id="3" w:name="_Toc20290"/>
      <w:bookmarkStart w:id="4" w:name="_Toc19628"/>
      <w:bookmarkStart w:id="5" w:name="_Toc29260"/>
      <w:r>
        <w:rPr>
          <w:rFonts w:hint="eastAsia" w:ascii="宋体" w:hAnsi="宋体"/>
          <w:b/>
          <w:bCs/>
          <w:sz w:val="24"/>
        </w:rPr>
        <w:t>三、</w:t>
      </w:r>
      <w:r>
        <w:rPr>
          <w:rFonts w:hint="eastAsia" w:ascii="宋体" w:hAnsi="宋体" w:cs="宋体"/>
          <w:b/>
          <w:bCs/>
          <w:sz w:val="24"/>
        </w:rPr>
        <w:t>服务内容、要求、付款等其他事项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 w:cs="宋体"/>
          <w:sz w:val="24"/>
        </w:rPr>
        <w:t>见用户需求书。</w:t>
      </w:r>
      <w:bookmarkEnd w:id="3"/>
      <w:bookmarkEnd w:id="4"/>
      <w:bookmarkEnd w:id="5"/>
    </w:p>
    <w:p>
      <w:pPr>
        <w:snapToGrid w:val="0"/>
        <w:spacing w:before="19" w:line="360" w:lineRule="auto"/>
        <w:ind w:firstLine="482" w:firstLineChars="200"/>
        <w:rPr>
          <w:rFonts w:ascii="宋体" w:hAnsi="宋体"/>
          <w:sz w:val="24"/>
        </w:rPr>
      </w:pPr>
      <w:bookmarkStart w:id="6" w:name="_Toc10006"/>
      <w:bookmarkStart w:id="7" w:name="_Toc26095"/>
      <w:r>
        <w:rPr>
          <w:rFonts w:hint="eastAsia" w:ascii="宋体" w:hAnsi="宋体"/>
          <w:b/>
          <w:sz w:val="24"/>
        </w:rPr>
        <w:t>四、合同纠纷处理：</w:t>
      </w:r>
      <w:r>
        <w:rPr>
          <w:rFonts w:hint="eastAsia" w:ascii="宋体" w:hAnsi="宋体"/>
          <w:sz w:val="24"/>
        </w:rPr>
        <w:t>本合同执行过程中如发生纠纷，双方先行协商解决，协商不成，按以下第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种方式解决：（诉讼和仲裁选其一）</w:t>
      </w:r>
      <w:bookmarkEnd w:id="6"/>
      <w:bookmarkEnd w:id="7"/>
    </w:p>
    <w:p>
      <w:pPr>
        <w:numPr>
          <w:ilvl w:val="0"/>
          <w:numId w:val="2"/>
        </w:numPr>
        <w:snapToGrid w:val="0"/>
        <w:spacing w:before="19" w:line="360" w:lineRule="auto"/>
        <w:ind w:firstLine="480" w:firstLineChars="200"/>
        <w:rPr>
          <w:rFonts w:ascii="宋体" w:hAnsi="宋体"/>
          <w:sz w:val="24"/>
        </w:rPr>
      </w:pPr>
      <w:bookmarkStart w:id="8" w:name="_Toc525"/>
      <w:bookmarkStart w:id="9" w:name="_Toc12293"/>
      <w:r>
        <w:rPr>
          <w:rFonts w:hint="eastAsia" w:ascii="宋体" w:hAnsi="宋体"/>
          <w:sz w:val="24"/>
        </w:rPr>
        <w:t>申请仲裁。仲裁机构为海南国际仲裁院。</w:t>
      </w:r>
      <w:bookmarkEnd w:id="8"/>
      <w:bookmarkEnd w:id="9"/>
    </w:p>
    <w:p>
      <w:pPr>
        <w:snapToGrid w:val="0"/>
        <w:spacing w:before="19" w:line="360" w:lineRule="auto"/>
        <w:ind w:firstLine="480" w:firstLineChars="200"/>
        <w:rPr>
          <w:rFonts w:ascii="宋体" w:hAnsi="宋体"/>
          <w:sz w:val="24"/>
        </w:rPr>
      </w:pPr>
      <w:bookmarkStart w:id="10" w:name="_Toc26613"/>
      <w:bookmarkStart w:id="11" w:name="_Toc22653"/>
      <w:r>
        <w:rPr>
          <w:rFonts w:hint="eastAsia" w:ascii="宋体" w:hAnsi="宋体"/>
          <w:sz w:val="24"/>
        </w:rPr>
        <w:t>2、提起诉讼。向甲方所在地有管辖权的人民法院提起诉讼。</w:t>
      </w:r>
      <w:bookmarkEnd w:id="10"/>
      <w:bookmarkEnd w:id="11"/>
    </w:p>
    <w:p>
      <w:pPr>
        <w:snapToGrid w:val="0"/>
        <w:spacing w:before="19" w:line="360" w:lineRule="auto"/>
        <w:ind w:left="555"/>
        <w:rPr>
          <w:rFonts w:ascii="宋体" w:hAnsi="宋体"/>
          <w:sz w:val="24"/>
        </w:rPr>
      </w:pPr>
      <w:bookmarkStart w:id="12" w:name="_Toc13090"/>
      <w:bookmarkStart w:id="13" w:name="_Toc11777"/>
      <w:r>
        <w:rPr>
          <w:rFonts w:hint="eastAsia" w:ascii="宋体" w:hAnsi="宋体"/>
          <w:b/>
          <w:sz w:val="24"/>
        </w:rPr>
        <w:t>五、合同生效：</w:t>
      </w:r>
      <w:r>
        <w:rPr>
          <w:rFonts w:hint="eastAsia" w:ascii="宋体" w:hAnsi="宋体"/>
          <w:sz w:val="24"/>
        </w:rPr>
        <w:t>本合同由甲乙双方签字盖章后生效。</w:t>
      </w:r>
      <w:bookmarkEnd w:id="12"/>
      <w:bookmarkEnd w:id="13"/>
    </w:p>
    <w:p>
      <w:pPr>
        <w:snapToGrid w:val="0"/>
        <w:spacing w:before="19" w:line="360" w:lineRule="auto"/>
        <w:ind w:firstLine="482" w:firstLineChars="200"/>
        <w:rPr>
          <w:rFonts w:ascii="宋体" w:hAnsi="宋体"/>
          <w:b/>
          <w:sz w:val="24"/>
        </w:rPr>
      </w:pPr>
      <w:bookmarkStart w:id="14" w:name="_Toc3465"/>
      <w:bookmarkStart w:id="15" w:name="_Toc16633"/>
      <w:r>
        <w:rPr>
          <w:rFonts w:hint="eastAsia" w:ascii="宋体" w:hAnsi="宋体"/>
          <w:b/>
          <w:sz w:val="24"/>
        </w:rPr>
        <w:t>六、 合同鉴证</w:t>
      </w:r>
      <w:r>
        <w:rPr>
          <w:rFonts w:hint="eastAsia" w:ascii="宋体" w:hAnsi="宋体"/>
          <w:b/>
          <w:bCs/>
          <w:sz w:val="24"/>
        </w:rPr>
        <w:t>：</w:t>
      </w:r>
      <w:r>
        <w:rPr>
          <w:rFonts w:hint="eastAsia" w:ascii="宋体" w:hAnsi="宋体"/>
          <w:sz w:val="24"/>
        </w:rPr>
        <w:t>采购代理机构应当在本合同上签章。</w:t>
      </w:r>
      <w:bookmarkEnd w:id="14"/>
      <w:bookmarkEnd w:id="15"/>
    </w:p>
    <w:p>
      <w:pPr>
        <w:snapToGrid w:val="0"/>
        <w:spacing w:before="19" w:line="360" w:lineRule="auto"/>
        <w:ind w:firstLine="482" w:firstLineChars="200"/>
        <w:rPr>
          <w:rFonts w:ascii="宋体" w:hAnsi="宋体"/>
          <w:b/>
          <w:sz w:val="24"/>
        </w:rPr>
      </w:pPr>
      <w:bookmarkStart w:id="16" w:name="_Toc3242"/>
      <w:bookmarkStart w:id="17" w:name="_Toc29377"/>
      <w:r>
        <w:rPr>
          <w:rFonts w:hint="eastAsia" w:ascii="宋体" w:hAnsi="宋体"/>
          <w:b/>
          <w:sz w:val="24"/>
        </w:rPr>
        <w:t>七、组成本合同的文件包括：</w:t>
      </w:r>
      <w:bookmarkEnd w:id="16"/>
      <w:bookmarkEnd w:id="17"/>
    </w:p>
    <w:p>
      <w:pPr>
        <w:snapToGrid w:val="0"/>
        <w:spacing w:before="19" w:line="360" w:lineRule="auto"/>
        <w:ind w:left="555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（一）合同通用条款和专用条款；</w:t>
      </w:r>
    </w:p>
    <w:p>
      <w:pPr>
        <w:snapToGrid w:val="0"/>
        <w:spacing w:before="19" w:line="360" w:lineRule="auto"/>
        <w:ind w:left="555"/>
        <w:rPr>
          <w:rFonts w:ascii="宋体" w:hAnsi="宋体" w:cs="宋体"/>
          <w:bCs/>
          <w:sz w:val="24"/>
        </w:rPr>
      </w:pPr>
      <w:r>
        <w:rPr>
          <w:rFonts w:hint="eastAsia" w:ascii="宋体" w:hAnsi="宋体"/>
          <w:bCs/>
          <w:sz w:val="24"/>
        </w:rPr>
        <w:t>（二）乙方的开标一览表及报价明细表；</w:t>
      </w:r>
    </w:p>
    <w:p>
      <w:pPr>
        <w:snapToGrid w:val="0"/>
        <w:spacing w:before="19" w:line="360" w:lineRule="auto"/>
        <w:ind w:left="555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（三）中标通知书；</w:t>
      </w:r>
    </w:p>
    <w:p>
      <w:pPr>
        <w:snapToGrid w:val="0"/>
        <w:spacing w:before="19" w:line="360" w:lineRule="auto"/>
        <w:ind w:left="555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（四）甲乙双方商定的其他必要文件。</w:t>
      </w:r>
    </w:p>
    <w:p>
      <w:pPr>
        <w:snapToGrid w:val="0"/>
        <w:spacing w:before="19"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上述合同文件内容互为补充，如有不明确，由甲方负责解释。</w:t>
      </w:r>
    </w:p>
    <w:p>
      <w:pPr>
        <w:snapToGrid w:val="0"/>
        <w:spacing w:before="19" w:line="360" w:lineRule="auto"/>
        <w:ind w:firstLine="555"/>
        <w:rPr>
          <w:rFonts w:ascii="宋体" w:hAnsi="宋体"/>
          <w:b/>
          <w:bCs/>
          <w:sz w:val="24"/>
        </w:rPr>
      </w:pPr>
      <w:bookmarkStart w:id="18" w:name="_Toc16375"/>
      <w:bookmarkStart w:id="19" w:name="_Toc2943"/>
      <w:r>
        <w:rPr>
          <w:rFonts w:hint="eastAsia" w:ascii="宋体" w:hAnsi="宋体"/>
          <w:b/>
          <w:bCs/>
          <w:sz w:val="24"/>
        </w:rPr>
        <w:t>八、合同备案</w:t>
      </w:r>
      <w:bookmarkEnd w:id="18"/>
      <w:bookmarkEnd w:id="19"/>
    </w:p>
    <w:p>
      <w:pPr>
        <w:snapToGrid w:val="0"/>
        <w:spacing w:before="19"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本合同一式肆份，中文书写。甲方、乙方各执贰份。</w:t>
      </w:r>
    </w:p>
    <w:p>
      <w:pPr>
        <w:snapToGrid w:val="0"/>
        <w:spacing w:before="19" w:line="360" w:lineRule="auto"/>
        <w:ind w:firstLine="480" w:firstLineChars="200"/>
        <w:rPr>
          <w:rFonts w:ascii="宋体" w:hAnsi="宋体"/>
          <w:bCs/>
          <w:sz w:val="24"/>
        </w:rPr>
      </w:pPr>
    </w:p>
    <w:p>
      <w:pPr>
        <w:snapToGrid w:val="0"/>
        <w:spacing w:before="19" w:line="360" w:lineRule="auto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甲方：</w:t>
      </w:r>
      <w:r>
        <w:rPr>
          <w:rFonts w:hint="eastAsia" w:ascii="宋体" w:hAnsi="宋体"/>
          <w:b/>
          <w:sz w:val="24"/>
          <w:u w:val="single"/>
        </w:rPr>
        <w:t xml:space="preserve">                    （盖章）</w:t>
      </w:r>
    </w:p>
    <w:p>
      <w:pPr>
        <w:snapToGrid w:val="0"/>
        <w:spacing w:before="19"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地址：</w:t>
      </w:r>
      <w:r>
        <w:rPr>
          <w:rFonts w:hint="eastAsia" w:ascii="宋体" w:hAnsi="宋体"/>
          <w:sz w:val="24"/>
          <w:u w:val="single"/>
        </w:rPr>
        <w:t xml:space="preserve">                              </w:t>
      </w:r>
    </w:p>
    <w:p>
      <w:pPr>
        <w:snapToGrid w:val="0"/>
        <w:spacing w:before="19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法定（授权）代表人：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p>
      <w:pPr>
        <w:snapToGrid w:val="0"/>
        <w:spacing w:before="19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</w:p>
    <w:p>
      <w:pPr>
        <w:snapToGrid w:val="0"/>
        <w:spacing w:before="19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乙方：</w:t>
      </w:r>
      <w:r>
        <w:rPr>
          <w:rFonts w:hint="eastAsia" w:ascii="宋体" w:hAnsi="宋体"/>
          <w:b/>
          <w:sz w:val="24"/>
          <w:u w:val="single"/>
        </w:rPr>
        <w:t xml:space="preserve">                         （盖章）</w:t>
      </w:r>
    </w:p>
    <w:p>
      <w:pPr>
        <w:snapToGrid w:val="0"/>
        <w:spacing w:before="19"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地址：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</w:p>
    <w:p>
      <w:pPr>
        <w:snapToGrid w:val="0"/>
        <w:spacing w:before="19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法定（授权）代表人</w:t>
      </w:r>
      <w:r>
        <w:rPr>
          <w:rFonts w:hint="eastAsia" w:ascii="宋体" w:hAnsi="宋体"/>
          <w:sz w:val="24"/>
          <w:u w:val="single"/>
        </w:rPr>
        <w:t xml:space="preserve">：        </w:t>
      </w:r>
    </w:p>
    <w:p>
      <w:pPr>
        <w:snapToGrid w:val="0"/>
        <w:spacing w:before="19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</w:p>
    <w:p>
      <w:pPr>
        <w:snapToGrid w:val="0"/>
        <w:spacing w:before="19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户名：</w:t>
      </w:r>
      <w:r>
        <w:rPr>
          <w:rFonts w:hint="eastAsia"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</w:t>
      </w:r>
    </w:p>
    <w:p>
      <w:pPr>
        <w:snapToGrid w:val="0"/>
        <w:spacing w:before="19"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开户银行：</w:t>
      </w:r>
      <w:r>
        <w:rPr>
          <w:rFonts w:hint="eastAsia" w:ascii="宋体" w:hAnsi="宋体"/>
          <w:sz w:val="24"/>
          <w:u w:val="single"/>
        </w:rPr>
        <w:t xml:space="preserve">                                 </w:t>
      </w:r>
    </w:p>
    <w:p>
      <w:pPr>
        <w:pStyle w:val="10"/>
        <w:rPr>
          <w:rFonts w:hint="default"/>
        </w:rPr>
      </w:pPr>
      <w:r>
        <w:rPr>
          <w:rFonts w:ascii="宋体" w:hAnsi="宋体"/>
          <w:color w:val="000000"/>
          <w:sz w:val="24"/>
        </w:rPr>
        <w:t>账号：</w:t>
      </w:r>
      <w:r>
        <w:rPr>
          <w:rFonts w:ascii="宋体" w:hAnsi="宋体"/>
          <w:color w:val="000000"/>
          <w:sz w:val="24"/>
          <w:u w:val="single"/>
        </w:rPr>
        <w:t xml:space="preserve">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FB8F75"/>
    <w:multiLevelType w:val="singleLevel"/>
    <w:tmpl w:val="F9FB8F7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52A6ED2"/>
    <w:multiLevelType w:val="singleLevel"/>
    <w:tmpl w:val="552A6ED2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31E7B"/>
    <w:rsid w:val="13DA7422"/>
    <w:rsid w:val="1B53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/>
    </w:pPr>
    <w:rPr>
      <w:rFonts w:ascii="Arial Unicode MS" w:hAnsi="Arial Unicode MS" w:eastAsia="宋体" w:cs="Arial Unicode MS"/>
      <w:color w:val="000000"/>
      <w:sz w:val="22"/>
      <w:szCs w:val="22"/>
      <w:u w:color="000000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semiHidden/>
    <w:unhideWhenUsed/>
    <w:qFormat/>
    <w:uiPriority w:val="99"/>
    <w:pPr>
      <w:spacing w:after="120"/>
      <w:ind w:left="420" w:leftChars="200"/>
    </w:pPr>
  </w:style>
  <w:style w:type="paragraph" w:styleId="4">
    <w:name w:val="envelope return"/>
    <w:basedOn w:val="1"/>
    <w:qFormat/>
    <w:uiPriority w:val="0"/>
    <w:pPr>
      <w:adjustRightInd w:val="0"/>
      <w:snapToGrid w:val="0"/>
    </w:pPr>
    <w:rPr>
      <w:rFonts w:ascii="Arial" w:hAnsi="Arial" w:eastAsia="微软雅黑"/>
    </w:rPr>
  </w:style>
  <w:style w:type="paragraph" w:styleId="5">
    <w:name w:val="Body Text"/>
    <w:basedOn w:val="1"/>
    <w:next w:val="1"/>
    <w:qFormat/>
    <w:uiPriority w:val="0"/>
    <w:rPr>
      <w:kern w:val="2"/>
      <w:sz w:val="21"/>
      <w:szCs w:val="24"/>
    </w:rPr>
  </w:style>
  <w:style w:type="paragraph" w:customStyle="1" w:styleId="8">
    <w:name w:val="样式1"/>
    <w:basedOn w:val="1"/>
    <w:uiPriority w:val="0"/>
    <w:rPr>
      <w:rFonts w:ascii="Calibri" w:hAnsi="Calibri" w:eastAsia="宋体" w:cs="Times New Roman"/>
      <w:sz w:val="44"/>
    </w:rPr>
  </w:style>
  <w:style w:type="paragraph" w:customStyle="1" w:styleId="9">
    <w:name w:val="标准小四"/>
    <w:basedOn w:val="1"/>
    <w:qFormat/>
    <w:uiPriority w:val="0"/>
    <w:pPr>
      <w:spacing w:line="360" w:lineRule="auto"/>
      <w:ind w:firstLine="480" w:firstLineChars="200"/>
    </w:pPr>
    <w:rPr>
      <w:rFonts w:ascii="Arial" w:hAnsi="Arial"/>
      <w:kern w:val="2"/>
      <w:sz w:val="2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2025-06-24T02:22:00Z</dcterms:created>
  <dc:creator>Administrator</dc:creator>
  <cp:lastModifiedBy>Administrator</cp:lastModifiedBy>
  <dcterms:modified xsi:type="dcterms:W3CDTF">2025-06-24T02:23:05Z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