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7EAE880A">
      <w:pPr>
        <w:pStyle w:val="6"/>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3"/>
        <w:pageBreakBefore w:val="0"/>
        <w:kinsoku/>
        <w:overflowPunct/>
        <w:topLinePunct w:val="0"/>
        <w:autoSpaceDE/>
        <w:autoSpaceDN/>
        <w:bidi w:val="0"/>
        <w:spacing w:before="0" w:after="0" w:line="360" w:lineRule="auto"/>
        <w:textAlignment w:val="auto"/>
        <w:rPr>
          <w:rFonts w:hint="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3"/>
        <w:pageBreakBefore w:val="0"/>
        <w:kinsoku/>
        <w:overflowPunct/>
        <w:topLinePunct w:val="0"/>
        <w:autoSpaceDE/>
        <w:autoSpaceDN/>
        <w:bidi w:val="0"/>
        <w:spacing w:before="0" w:after="0" w:line="360" w:lineRule="auto"/>
        <w:textAlignment w:val="auto"/>
        <w:rPr>
          <w:rFonts w:hint="eastAsia"/>
          <w:color w:val="auto"/>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28CC0E2B">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color w:val="auto"/>
          <w:sz w:val="21"/>
          <w:szCs w:val="21"/>
        </w:rPr>
      </w:pPr>
    </w:p>
    <w:p w14:paraId="0919B888">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0F3D0709">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14、与本项目投标有关的一切正式往来通讯请寄：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60EF20F5">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E7DE94D">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C1F7D0D">
      <w:pPr>
        <w:pStyle w:val="14"/>
        <w:pageBreakBefore w:val="0"/>
        <w:widowControl/>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73BC26BB">
      <w:pPr>
        <w:pStyle w:val="14"/>
        <w:pageBreakBefore w:val="0"/>
        <w:kinsoku/>
        <w:wordWrap w:val="0"/>
        <w:overflowPunct/>
        <w:topLinePunct w:val="0"/>
        <w:autoSpaceDE/>
        <w:autoSpaceDN/>
        <w:bidi w:val="0"/>
        <w:adjustRightInd w:val="0"/>
        <w:snapToGrid w:val="0"/>
        <w:spacing w:line="360" w:lineRule="auto"/>
        <w:jc w:val="center"/>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法定代表人身份证明书</w:t>
      </w:r>
    </w:p>
    <w:p w14:paraId="2E1A658C">
      <w:pPr>
        <w:pageBreakBefore w:val="0"/>
        <w:kinsoku/>
        <w:wordWrap w:val="0"/>
        <w:overflowPunct/>
        <w:topLinePunct w:val="0"/>
        <w:autoSpaceDE/>
        <w:autoSpaceDN/>
        <w:bidi w:val="0"/>
        <w:adjustRightInd w:val="0"/>
        <w:snapToGrid w:val="0"/>
        <w:spacing w:line="360" w:lineRule="auto"/>
        <w:rPr>
          <w:rFonts w:hint="eastAsia" w:ascii="宋体" w:hAnsi="宋体" w:eastAsia="宋体" w:cs="宋体"/>
          <w:bCs/>
          <w:color w:val="auto"/>
          <w:sz w:val="21"/>
          <w:szCs w:val="21"/>
        </w:rPr>
      </w:pPr>
    </w:p>
    <w:p w14:paraId="46BD3964">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p>
    <w:p w14:paraId="1C776AC4">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投标人名称：</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76BDE71A">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单位性质：</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16FF6E4F">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地址：</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313ABBC">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成立时间：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w:t>
      </w:r>
    </w:p>
    <w:p w14:paraId="36976582">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经营期限：</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75303138">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姓名：</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性别：</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年龄：</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职务：</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896453D">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系</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（投标人名称）的法定代表人。</w:t>
      </w:r>
    </w:p>
    <w:p w14:paraId="3214A0C8">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特此证明。 </w:t>
      </w:r>
    </w:p>
    <w:p w14:paraId="3A63E538">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p>
    <w:p w14:paraId="7815988F">
      <w:pPr>
        <w:pageBreakBefore w:val="0"/>
        <w:kinsoku/>
        <w:wordWrap w:val="0"/>
        <w:overflowPunct/>
        <w:topLinePunct w:val="0"/>
        <w:autoSpaceDE/>
        <w:autoSpaceDN/>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附：法定代表人身份证复印件。</w:t>
      </w:r>
    </w:p>
    <w:p w14:paraId="1B53AAEF">
      <w:pPr>
        <w:pageBreakBefore w:val="0"/>
        <w:kinsoku/>
        <w:wordWrap w:val="0"/>
        <w:overflowPunct/>
        <w:topLinePunct w:val="0"/>
        <w:autoSpaceDE/>
        <w:autoSpaceDN/>
        <w:bidi w:val="0"/>
        <w:adjustRightInd w:val="0"/>
        <w:snapToGrid w:val="0"/>
        <w:spacing w:line="360" w:lineRule="auto"/>
        <w:ind w:firstLine="561"/>
        <w:jc w:val="righ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p>
    <w:p w14:paraId="65C68F5E">
      <w:pPr>
        <w:pageBreakBefore w:val="0"/>
        <w:kinsoku/>
        <w:wordWrap w:val="0"/>
        <w:overflowPunct/>
        <w:topLinePunct w:val="0"/>
        <w:autoSpaceDE/>
        <w:autoSpaceDN/>
        <w:bidi w:val="0"/>
        <w:adjustRightInd w:val="0"/>
        <w:snapToGrid w:val="0"/>
        <w:spacing w:line="360" w:lineRule="auto"/>
        <w:ind w:firstLine="561"/>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投标人：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Cs/>
          <w:color w:val="auto"/>
          <w:sz w:val="21"/>
          <w:szCs w:val="21"/>
        </w:rPr>
        <w:t>）</w:t>
      </w:r>
    </w:p>
    <w:p w14:paraId="6AF6EE77">
      <w:pPr>
        <w:pageBreakBefore w:val="0"/>
        <w:kinsoku/>
        <w:wordWrap w:val="0"/>
        <w:overflowPunct/>
        <w:topLinePunct w:val="0"/>
        <w:autoSpaceDE/>
        <w:autoSpaceDN/>
        <w:bidi w:val="0"/>
        <w:adjustRightInd w:val="0"/>
        <w:snapToGrid w:val="0"/>
        <w:spacing w:line="360" w:lineRule="auto"/>
        <w:ind w:firstLine="561"/>
        <w:jc w:val="righ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p>
    <w:p w14:paraId="3C892220">
      <w:pPr>
        <w:pStyle w:val="14"/>
        <w:pageBreakBefore w:val="0"/>
        <w:kinsoku/>
        <w:wordWrap w:val="0"/>
        <w:overflowPunct/>
        <w:topLinePunct w:val="0"/>
        <w:autoSpaceDE/>
        <w:autoSpaceDN/>
        <w:bidi w:val="0"/>
        <w:adjustRightInd w:val="0"/>
        <w:snapToGrid w:val="0"/>
        <w:spacing w:line="360" w:lineRule="auto"/>
        <w:jc w:val="right"/>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年      月    日   </w:t>
      </w:r>
    </w:p>
    <w:p w14:paraId="575341D7">
      <w:pPr>
        <w:pageBreakBefore w:val="0"/>
        <w:widowControl/>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E4C0EE0">
      <w:pPr>
        <w:pageBreakBefore w:val="0"/>
        <w:widowControl/>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208EBA01">
      <w:pPr>
        <w:pStyle w:val="14"/>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5D5FD82E">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w:t>
      </w:r>
      <w:r>
        <w:rPr>
          <w:rFonts w:hint="eastAsia" w:ascii="宋体" w:hAnsi="宋体" w:eastAsia="宋体" w:cs="宋体"/>
          <w:b w:val="0"/>
          <w:bCs w:val="0"/>
          <w:color w:val="auto"/>
          <w:sz w:val="21"/>
          <w:szCs w:val="21"/>
          <w:highlight w:val="none"/>
          <w:lang w:val="en-US" w:eastAsia="zh-CN"/>
        </w:rPr>
        <w:t>公</w:t>
      </w:r>
      <w:r>
        <w:rPr>
          <w:rFonts w:hint="eastAsia" w:ascii="宋体" w:hAnsi="宋体" w:eastAsia="宋体" w:cs="宋体"/>
          <w:b w:val="0"/>
          <w:bCs w:val="0"/>
          <w:color w:val="auto"/>
          <w:sz w:val="21"/>
          <w:szCs w:val="21"/>
          <w:highlight w:val="none"/>
        </w:rPr>
        <w:t>章</w:t>
      </w:r>
      <w:r>
        <w:rPr>
          <w:rFonts w:hint="eastAsia" w:ascii="宋体" w:hAnsi="宋体" w:eastAsia="宋体" w:cs="宋体"/>
          <w:bCs/>
          <w:color w:val="auto"/>
          <w:sz w:val="21"/>
          <w:szCs w:val="21"/>
          <w:highlight w:val="none"/>
        </w:rPr>
        <w:t>）</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5F460731">
      <w:pPr>
        <w:pStyle w:val="14"/>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39B67F09">
      <w:pPr>
        <w:pStyle w:val="14"/>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303CC08">
      <w:pPr>
        <w:pStyle w:val="14"/>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4"/>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4"/>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1E57C73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A92210F">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Style w:val="14"/>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r>
        <w:rPr>
          <w:rFonts w:hint="eastAsia" w:ascii="宋体" w:hAnsi="宋体" w:eastAsia="宋体" w:cs="宋体"/>
          <w:b/>
          <w:bCs/>
          <w:color w:val="auto"/>
          <w:sz w:val="21"/>
          <w:szCs w:val="21"/>
          <w:highlight w:val="none"/>
          <w:lang w:val="en-US" w:eastAsia="zh-CN"/>
        </w:rPr>
        <w:t xml:space="preserve">       </w:t>
      </w:r>
    </w:p>
    <w:p w14:paraId="17D2C03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E8DDD">
      <w:pPr>
        <w:pageBreakBefore w:val="0"/>
        <w:kinsoku/>
        <w:wordWrap w:val="0"/>
        <w:overflowPunct/>
        <w:topLinePunct w:val="0"/>
        <w:autoSpaceDE/>
        <w:autoSpaceDN/>
        <w:bidi w:val="0"/>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6</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rPr>
        <w:t>中小企业声明函（服务）</w:t>
      </w:r>
    </w:p>
    <w:p w14:paraId="01E0A76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                 </w:t>
      </w:r>
    </w:p>
    <w:p w14:paraId="55AC1C72">
      <w:pPr>
        <w:pageBreakBefore w:val="0"/>
        <w:kinsoku/>
        <w:wordWrap w:val="0"/>
        <w:overflowPunct/>
        <w:topLinePunct w:val="0"/>
        <w:autoSpaceDE/>
        <w:autoSpaceDN/>
        <w:bidi w:val="0"/>
        <w:adjustRightInd w:val="0"/>
        <w:snapToGrid w:val="0"/>
        <w:spacing w:line="360" w:lineRule="auto"/>
        <w:jc w:val="center"/>
        <w:rPr>
          <w:rFonts w:hint="eastAsia" w:ascii="宋体" w:hAnsi="宋体" w:eastAsia="宋体" w:cs="宋体"/>
          <w:bCs/>
          <w:color w:val="auto"/>
          <w:sz w:val="21"/>
          <w:szCs w:val="21"/>
        </w:rPr>
      </w:pPr>
      <w:r>
        <w:rPr>
          <w:rFonts w:hint="eastAsia" w:ascii="宋体" w:hAnsi="宋体" w:eastAsia="宋体" w:cs="宋体"/>
          <w:b/>
          <w:color w:val="auto"/>
          <w:sz w:val="21"/>
          <w:szCs w:val="21"/>
        </w:rPr>
        <w:t>中小企业声明函（服务）</w:t>
      </w:r>
    </w:p>
    <w:p w14:paraId="776C7FF4">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本公司（联合体）郑重声明，根据《政府采购促进中小企业发展管理办法》（财库﹝2020﹞46号）的规定，本公司（联合体）参加</w:t>
      </w:r>
      <w:r>
        <w:rPr>
          <w:rFonts w:hint="eastAsia" w:ascii="宋体" w:hAnsi="宋体" w:eastAsia="宋体" w:cs="宋体"/>
          <w:bCs/>
          <w:color w:val="auto"/>
          <w:sz w:val="21"/>
          <w:szCs w:val="21"/>
          <w:u w:val="single"/>
        </w:rPr>
        <w:t xml:space="preserve">  （单位名称）</w:t>
      </w:r>
      <w:r>
        <w:rPr>
          <w:rFonts w:hint="eastAsia" w:ascii="宋体" w:hAnsi="宋体" w:eastAsia="宋体" w:cs="宋体"/>
          <w:bCs/>
          <w:color w:val="auto"/>
          <w:sz w:val="21"/>
          <w:szCs w:val="21"/>
        </w:rPr>
        <w:t>的</w:t>
      </w:r>
      <w:r>
        <w:rPr>
          <w:rFonts w:hint="eastAsia" w:ascii="宋体" w:hAnsi="宋体" w:eastAsia="宋体" w:cs="宋体"/>
          <w:bCs/>
          <w:color w:val="auto"/>
          <w:sz w:val="21"/>
          <w:szCs w:val="21"/>
          <w:u w:val="single"/>
        </w:rPr>
        <w:t xml:space="preserve">  （项目名称）</w:t>
      </w:r>
      <w:r>
        <w:rPr>
          <w:rFonts w:hint="eastAsia" w:ascii="宋体" w:hAnsi="宋体" w:eastAsia="宋体" w:cs="宋体"/>
          <w:bCs/>
          <w:color w:val="auto"/>
          <w:sz w:val="21"/>
          <w:szCs w:val="21"/>
        </w:rPr>
        <w:t>采购活动，服务全部由符合政策要求的中小企业承接。相关企业（含联合体中的中小企业、签订分包意向协议的中小企业）的具体情况如下：</w:t>
      </w:r>
    </w:p>
    <w:p w14:paraId="6F341B06">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1.</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；承接企业为</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378824C3">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2.</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；承接企业为</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4788E622">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w:t>
      </w:r>
    </w:p>
    <w:p w14:paraId="378467EE">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以上企业，不属于大企业的分支机构，不存在控股股东为大企业的情形，也不存在与大企业的负责人为同一人的情形。</w:t>
      </w:r>
    </w:p>
    <w:p w14:paraId="541168D6">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本企业对上述声明内容的真实性负责。如有虚假，将依法承担相应责任。</w:t>
      </w:r>
    </w:p>
    <w:p w14:paraId="739F4BFC">
      <w:pPr>
        <w:pageBreakBefore w:val="0"/>
        <w:kinsoku/>
        <w:wordWrap w:val="0"/>
        <w:overflowPunct/>
        <w:topLinePunct w:val="0"/>
        <w:autoSpaceDE/>
        <w:autoSpaceDN/>
        <w:bidi w:val="0"/>
        <w:adjustRightInd w:val="0"/>
        <w:snapToGrid w:val="0"/>
        <w:spacing w:line="360" w:lineRule="auto"/>
        <w:ind w:firstLine="2940" w:firstLineChars="1400"/>
        <w:rPr>
          <w:rFonts w:hint="eastAsia" w:ascii="宋体" w:hAnsi="宋体" w:eastAsia="宋体" w:cs="宋体"/>
          <w:bCs/>
          <w:color w:val="auto"/>
          <w:sz w:val="21"/>
          <w:szCs w:val="21"/>
        </w:rPr>
      </w:pPr>
    </w:p>
    <w:p w14:paraId="28F67AA4">
      <w:pPr>
        <w:pStyle w:val="5"/>
        <w:pageBreakBefore w:val="0"/>
        <w:kinsoku/>
        <w:wordWrap w:val="0"/>
        <w:overflowPunct/>
        <w:topLinePunct w:val="0"/>
        <w:autoSpaceDE/>
        <w:autoSpaceDN/>
        <w:bidi w:val="0"/>
        <w:adjustRightInd w:val="0"/>
        <w:snapToGrid w:val="0"/>
        <w:spacing w:line="360" w:lineRule="auto"/>
        <w:ind w:firstLine="3990" w:firstLineChars="1900"/>
        <w:rPr>
          <w:rFonts w:hint="eastAsia" w:ascii="宋体" w:hAnsi="宋体" w:eastAsia="宋体" w:cs="宋体"/>
          <w:bCs/>
          <w:color w:val="auto"/>
          <w:sz w:val="21"/>
          <w:szCs w:val="21"/>
        </w:rPr>
      </w:pPr>
      <w:r>
        <w:rPr>
          <w:rFonts w:hint="eastAsia" w:ascii="宋体" w:hAnsi="宋体" w:eastAsia="宋体" w:cs="宋体"/>
          <w:bCs/>
          <w:color w:val="auto"/>
          <w:sz w:val="21"/>
          <w:szCs w:val="21"/>
        </w:rPr>
        <w:t>投标人名称（盖章）：</w:t>
      </w:r>
    </w:p>
    <w:p w14:paraId="6790D31E">
      <w:pPr>
        <w:pageBreakBefore w:val="0"/>
        <w:kinsoku/>
        <w:wordWrap w:val="0"/>
        <w:overflowPunct/>
        <w:topLinePunct w:val="0"/>
        <w:autoSpaceDE/>
        <w:autoSpaceDN/>
        <w:bidi w:val="0"/>
        <w:adjustRightInd w:val="0"/>
        <w:snapToGrid w:val="0"/>
        <w:spacing w:line="360" w:lineRule="auto"/>
        <w:ind w:firstLine="3990" w:firstLineChars="1900"/>
        <w:rPr>
          <w:rFonts w:hint="eastAsia" w:ascii="宋体" w:hAnsi="宋体" w:eastAsia="宋体" w:cs="宋体"/>
          <w:bCs/>
          <w:color w:val="auto"/>
          <w:sz w:val="21"/>
          <w:szCs w:val="21"/>
        </w:rPr>
      </w:pPr>
      <w:r>
        <w:rPr>
          <w:rFonts w:hint="eastAsia" w:ascii="宋体" w:hAnsi="宋体" w:eastAsia="宋体" w:cs="宋体"/>
          <w:bCs/>
          <w:color w:val="auto"/>
          <w:sz w:val="21"/>
          <w:szCs w:val="21"/>
        </w:rPr>
        <w:t>日期：</w:t>
      </w:r>
    </w:p>
    <w:p w14:paraId="41C6D373">
      <w:pPr>
        <w:pStyle w:val="6"/>
        <w:pageBreakBefore w:val="0"/>
        <w:kinsoku/>
        <w:wordWrap w:val="0"/>
        <w:overflowPunct/>
        <w:topLinePunct w:val="0"/>
        <w:autoSpaceDE/>
        <w:autoSpaceDN/>
        <w:bidi w:val="0"/>
        <w:spacing w:line="360" w:lineRule="auto"/>
        <w:rPr>
          <w:rFonts w:hint="eastAsia" w:ascii="宋体" w:hAnsi="宋体" w:eastAsia="宋体" w:cs="宋体"/>
          <w:color w:val="auto"/>
          <w:sz w:val="21"/>
          <w:szCs w:val="21"/>
        </w:rPr>
      </w:pPr>
    </w:p>
    <w:p w14:paraId="4092AED4">
      <w:pPr>
        <w:pageBreakBefore w:val="0"/>
        <w:kinsoku/>
        <w:wordWrap w:val="0"/>
        <w:overflowPunct/>
        <w:topLinePunct w:val="0"/>
        <w:autoSpaceDE/>
        <w:autoSpaceDN/>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备注：</w:t>
      </w:r>
    </w:p>
    <w:p w14:paraId="0FC9DBD5">
      <w:pPr>
        <w:pageBreakBefore w:val="0"/>
        <w:kinsoku/>
        <w:wordWrap w:val="0"/>
        <w:overflowPunct/>
        <w:topLinePunct w:val="0"/>
        <w:autoSpaceDE/>
        <w:autoSpaceDN/>
        <w:bidi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①从业人员、营业收入、资产总额填报上一年度数据，无上一年度数据的新成立企业可不填报。</w:t>
      </w:r>
    </w:p>
    <w:p w14:paraId="0871917F">
      <w:pPr>
        <w:pageBreakBefore w:val="0"/>
        <w:kinsoku/>
        <w:wordWrap w:val="0"/>
        <w:overflowPunct/>
        <w:topLinePunct w:val="0"/>
        <w:autoSpaceDE/>
        <w:autoSpaceDN/>
        <w:bidi w:val="0"/>
        <w:spacing w:line="360" w:lineRule="auto"/>
        <w:ind w:firstLine="420" w:firstLineChars="200"/>
        <w:rPr>
          <w:rFonts w:hint="eastAsia" w:ascii="宋体" w:hAnsi="宋体" w:eastAsia="宋体" w:cs="宋体"/>
          <w:bCs/>
          <w:color w:val="auto"/>
          <w:sz w:val="21"/>
          <w:szCs w:val="21"/>
          <w:lang w:val="zh-CN"/>
        </w:rPr>
      </w:pPr>
      <w:r>
        <w:rPr>
          <w:rFonts w:hint="eastAsia" w:ascii="宋体" w:hAnsi="宋体" w:eastAsia="宋体" w:cs="宋体"/>
          <w:bCs/>
          <w:color w:val="auto"/>
          <w:sz w:val="21"/>
          <w:szCs w:val="21"/>
          <w:lang w:val="en-US" w:eastAsia="zh-CN"/>
        </w:rPr>
        <w:t>②供应商提供《中小企业声明函》内容不实的，属于“隐瞒真实情况，提供虚假资料”的情形，依照有关规定追究相应责任。</w:t>
      </w:r>
    </w:p>
    <w:p w14:paraId="203063B9">
      <w:pPr>
        <w:pageBreakBefore w:val="0"/>
        <w:kinsoku/>
        <w:wordWrap w:val="0"/>
        <w:overflowPunct/>
        <w:topLinePunct w:val="0"/>
        <w:autoSpaceDE/>
        <w:autoSpaceDN/>
        <w:bidi w:val="0"/>
        <w:spacing w:line="360" w:lineRule="auto"/>
        <w:ind w:firstLine="420" w:firstLineChars="200"/>
        <w:rPr>
          <w:rFonts w:hint="eastAsia" w:ascii="宋体" w:hAnsi="宋体" w:eastAsia="宋体" w:cs="宋体"/>
          <w:bCs/>
          <w:color w:val="auto"/>
          <w:sz w:val="21"/>
          <w:szCs w:val="21"/>
        </w:rPr>
      </w:pPr>
      <w:r>
        <w:rPr>
          <w:rFonts w:hint="eastAsia" w:hAnsi="宋体" w:cs="宋体"/>
          <w:bCs/>
          <w:color w:val="auto"/>
          <w:sz w:val="21"/>
          <w:szCs w:val="21"/>
          <w:lang w:val="en-US" w:eastAsia="zh-CN"/>
        </w:rPr>
        <w:t>③</w:t>
      </w:r>
      <w:r>
        <w:rPr>
          <w:rFonts w:hint="eastAsia" w:ascii="宋体" w:hAnsi="宋体" w:eastAsia="宋体" w:cs="宋体"/>
          <w:bCs/>
          <w:color w:val="auto"/>
          <w:sz w:val="21"/>
          <w:szCs w:val="21"/>
          <w:lang w:val="en-US" w:eastAsia="zh-CN"/>
        </w:rPr>
        <w:t>投标人应当对其出具的《中小企业声明函》真实性负责，投标人出具的《中小企业声 明函》内容不实的，属于提供虚假材料谋取中标。</w:t>
      </w:r>
      <w:bookmarkStart w:id="12" w:name="_GoBack"/>
      <w:bookmarkEnd w:id="12"/>
    </w:p>
    <w:p w14:paraId="1679DF64">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④</w:t>
      </w:r>
      <w:r>
        <w:rPr>
          <w:rFonts w:hint="eastAsia" w:ascii="宋体" w:hAnsi="宋体" w:eastAsia="宋体" w:cs="宋体"/>
          <w:bCs/>
          <w:color w:val="auto"/>
          <w:sz w:val="21"/>
          <w:szCs w:val="21"/>
          <w:highlight w:val="none"/>
        </w:rPr>
        <w:t>投标人应当自行核实是否属于</w:t>
      </w:r>
      <w:r>
        <w:rPr>
          <w:rFonts w:hint="eastAsia" w:hAnsi="宋体" w:cs="宋体"/>
          <w:bCs/>
          <w:color w:val="auto"/>
          <w:sz w:val="21"/>
          <w:szCs w:val="21"/>
          <w:highlight w:val="none"/>
          <w:lang w:val="en-US" w:eastAsia="zh-CN"/>
        </w:rPr>
        <w:t>中</w:t>
      </w:r>
      <w:r>
        <w:rPr>
          <w:rFonts w:hint="eastAsia" w:ascii="宋体" w:hAnsi="宋体" w:eastAsia="宋体" w:cs="宋体"/>
          <w:bCs/>
          <w:color w:val="auto"/>
          <w:sz w:val="21"/>
          <w:szCs w:val="21"/>
          <w:highlight w:val="none"/>
        </w:rPr>
        <w:t>小微企业</w:t>
      </w:r>
      <w:r>
        <w:rPr>
          <w:rFonts w:hint="eastAsia" w:hAnsi="宋体" w:cs="宋体"/>
          <w:bCs/>
          <w:color w:val="auto"/>
          <w:sz w:val="21"/>
          <w:szCs w:val="21"/>
          <w:highlight w:val="none"/>
          <w:lang w:val="en-US" w:eastAsia="zh-CN"/>
        </w:rPr>
        <w:t>并明确企业类型（未明确企业类型的将不能享受</w:t>
      </w:r>
      <w:r>
        <w:rPr>
          <w:rFonts w:hint="eastAsia" w:ascii="宋体" w:hAnsi="宋体" w:eastAsia="宋体" w:cs="宋体"/>
          <w:b w:val="0"/>
          <w:bCs/>
          <w:color w:val="auto"/>
          <w:kern w:val="0"/>
          <w:sz w:val="21"/>
          <w:szCs w:val="21"/>
          <w:highlight w:val="none"/>
          <w:lang w:val="en-US" w:eastAsia="zh-CN" w:bidi="ar-SA"/>
        </w:rPr>
        <w:t>相应的中小企业扶持政策</w:t>
      </w:r>
      <w:r>
        <w:rPr>
          <w:rFonts w:hint="eastAsia" w:hAnsi="宋体" w:cs="宋体"/>
          <w:bCs/>
          <w:color w:val="auto"/>
          <w:sz w:val="21"/>
          <w:szCs w:val="21"/>
          <w:highlight w:val="none"/>
          <w:lang w:val="en-US" w:eastAsia="zh-CN"/>
        </w:rPr>
        <w:t>）</w:t>
      </w:r>
      <w:r>
        <w:rPr>
          <w:rFonts w:hint="eastAsia" w:ascii="宋体" w:hAnsi="宋体" w:eastAsia="宋体" w:cs="宋体"/>
          <w:bCs/>
          <w:color w:val="auto"/>
          <w:sz w:val="21"/>
          <w:szCs w:val="21"/>
          <w:highlight w:val="none"/>
        </w:rPr>
        <w:t>，</w:t>
      </w:r>
      <w:r>
        <w:rPr>
          <w:rFonts w:hint="eastAsia" w:hAnsi="宋体" w:cs="宋体"/>
          <w:bCs/>
          <w:color w:val="auto"/>
          <w:sz w:val="21"/>
          <w:szCs w:val="21"/>
          <w:highlight w:val="none"/>
          <w:lang w:val="en-US" w:eastAsia="zh-CN"/>
        </w:rPr>
        <w:t>且须如实</w:t>
      </w:r>
      <w:r>
        <w:rPr>
          <w:rFonts w:hint="eastAsia" w:ascii="宋体" w:hAnsi="宋体" w:eastAsia="宋体" w:cs="宋体"/>
          <w:bCs/>
          <w:color w:val="auto"/>
          <w:sz w:val="21"/>
          <w:szCs w:val="21"/>
          <w:highlight w:val="none"/>
        </w:rPr>
        <w:t>填写中小企业声明函，中小企业</w:t>
      </w:r>
      <w:r>
        <w:rPr>
          <w:rFonts w:hint="eastAsia" w:ascii="宋体" w:hAnsi="宋体" w:eastAsia="宋体" w:cs="宋体"/>
          <w:bCs/>
          <w:color w:val="auto"/>
          <w:sz w:val="21"/>
          <w:szCs w:val="21"/>
          <w:highlight w:val="none"/>
          <w:lang w:val="zh-CN"/>
        </w:rPr>
        <w:t>划型</w:t>
      </w:r>
      <w:r>
        <w:rPr>
          <w:rFonts w:hint="eastAsia" w:ascii="宋体" w:hAnsi="宋体" w:eastAsia="宋体" w:cs="宋体"/>
          <w:bCs/>
          <w:color w:val="auto"/>
          <w:sz w:val="21"/>
          <w:szCs w:val="21"/>
          <w:highlight w:val="none"/>
        </w:rPr>
        <w:t>标准按</w:t>
      </w:r>
      <w:r>
        <w:rPr>
          <w:rFonts w:hint="eastAsia" w:ascii="宋体" w:hAnsi="宋体" w:eastAsia="宋体" w:cs="宋体"/>
          <w:bCs/>
          <w:color w:val="auto"/>
          <w:sz w:val="21"/>
          <w:szCs w:val="21"/>
          <w:highlight w:val="none"/>
          <w:lang w:val="zh-CN"/>
        </w:rPr>
        <w:t>《关于印发中小企业划型标准规定的通知》(工信部联企业[2011]300号）</w:t>
      </w:r>
      <w:r>
        <w:rPr>
          <w:rFonts w:hint="eastAsia" w:hAnsi="宋体" w:cs="宋体"/>
          <w:bCs/>
          <w:color w:val="auto"/>
          <w:sz w:val="21"/>
          <w:szCs w:val="21"/>
          <w:lang w:eastAsia="zh-CN"/>
        </w:rPr>
        <w:t>（</w:t>
      </w:r>
      <w:r>
        <w:rPr>
          <w:rFonts w:hint="eastAsia" w:hAnsi="宋体" w:cs="宋体"/>
          <w:bCs/>
          <w:color w:val="auto"/>
          <w:sz w:val="21"/>
          <w:szCs w:val="21"/>
          <w:lang w:val="en-US" w:eastAsia="zh-CN"/>
        </w:rPr>
        <w:t>详见附件</w:t>
      </w:r>
      <w:r>
        <w:rPr>
          <w:rFonts w:hint="eastAsia" w:hAnsi="宋体" w:cs="宋体"/>
          <w:bCs/>
          <w:color w:val="auto"/>
          <w:sz w:val="21"/>
          <w:szCs w:val="21"/>
          <w:lang w:eastAsia="zh-CN"/>
        </w:rPr>
        <w:t>）</w:t>
      </w:r>
      <w:r>
        <w:rPr>
          <w:rFonts w:hint="eastAsia" w:ascii="宋体" w:hAnsi="宋体" w:eastAsia="宋体" w:cs="宋体"/>
          <w:bCs/>
          <w:color w:val="auto"/>
          <w:sz w:val="21"/>
          <w:szCs w:val="21"/>
          <w:highlight w:val="none"/>
        </w:rPr>
        <w:t>执行。</w:t>
      </w:r>
    </w:p>
    <w:p w14:paraId="29C556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both"/>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 xml:space="preserve">附件：               </w:t>
      </w:r>
    </w:p>
    <w:p w14:paraId="5EA5F5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关于印发中小企业划型标准规定的通知</w:t>
      </w:r>
    </w:p>
    <w:p w14:paraId="43CD85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2012年01月17日 11:02 来源：中国政府采购网 【打印】</w:t>
      </w:r>
    </w:p>
    <w:p w14:paraId="5F3750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关于印发中小企业划型标准规定的通知</w:t>
      </w:r>
    </w:p>
    <w:p w14:paraId="7FCEDD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450" w:beforeAutospacing="0" w:after="30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工信部联企业〔2011〕300号</w:t>
      </w:r>
    </w:p>
    <w:p w14:paraId="7028C841">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各省、自治区、直辖市人民政府，国务院各部委、各直属机构及有关单位：</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1056D3F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jc w:val="right"/>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工业和信息化部</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国家统计局</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国家发展和改革委员会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财政部</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二○一一年六月十八日</w:t>
      </w:r>
    </w:p>
    <w:p w14:paraId="6CDFDCA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jc w:val="center"/>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中小企业划型标准规定</w:t>
      </w:r>
    </w:p>
    <w:p w14:paraId="01F1EFA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360" w:lineRule="auto"/>
        <w:ind w:left="0" w:right="0"/>
        <w:textAlignment w:val="baseline"/>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bidi="ar-SA"/>
        </w:rPr>
        <w:t>　　一、根据《中华人民共和国中小企业促进法》和《国务院关于进一步促进中小企业发展的若干意见》(国发〔2009〕36号)，制定本规定。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二、中小企业划分为中型、小型、微型三种类型，具体标准根据企业从业人员、营业收入、资产总额等指标，结合行业特点制定。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四、各行业划型标准为：</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（一）农、林、牧、渔业。营业收入20000万元以下的为中小微型企业。其中，营业收入500万元及以上的为中型企业，营业收入50万元及以上的为小型企业，营业收入50万元以下的为微型企业。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五、企业类型的划分以统计部门的统计数据为依据。</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六、本规定适用于在中华人民共和国境内依法设立的各类所有制和各种组织形式的企业。个体工商户和本规定以外的行业，参照本规定进行划型。</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八、本规定由工业和信息化部、国家统计局会同有关部门根据《国民经济行业分类》修订情况和企业发展变化情况适时修订。</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九、本规定由工业和信息化部、国家统计局会同有关部门负责解释。</w:t>
      </w:r>
      <w:r>
        <w:rPr>
          <w:rFonts w:hint="eastAsia" w:ascii="宋体" w:hAnsi="宋体" w:eastAsia="宋体" w:cs="宋体"/>
          <w:b w:val="0"/>
          <w:bCs/>
          <w:color w:val="auto"/>
          <w:sz w:val="21"/>
          <w:szCs w:val="21"/>
          <w:lang w:val="en-US" w:eastAsia="zh-CN" w:bidi="ar-SA"/>
        </w:rPr>
        <w:br w:type="textWrapping"/>
      </w:r>
      <w:r>
        <w:rPr>
          <w:rFonts w:hint="eastAsia" w:ascii="宋体" w:hAnsi="宋体" w:eastAsia="宋体" w:cs="宋体"/>
          <w:b w:val="0"/>
          <w:bCs/>
          <w:color w:val="auto"/>
          <w:sz w:val="21"/>
          <w:szCs w:val="21"/>
          <w:lang w:val="en-US" w:eastAsia="zh-CN" w:bidi="ar-SA"/>
        </w:rPr>
        <w:t>　　十、本规定自发布之日起执行，原国家经贸委、原国家计委、财政部和国家统计局2003年颁布的《中小企业标准暂行规定》同时废止。</w:t>
      </w:r>
    </w:p>
    <w:p w14:paraId="7B9534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1" w:after="0" w:afterAutospacing="1" w:line="360" w:lineRule="auto"/>
        <w:ind w:left="0" w:right="0"/>
        <w:jc w:val="left"/>
        <w:textAlignment w:val="baseline"/>
      </w:pPr>
    </w:p>
    <w:p w14:paraId="21A0C12B">
      <w:pPr>
        <w:pageBreakBefore w:val="0"/>
        <w:kinsoku/>
        <w:wordWrap w:val="0"/>
        <w:overflowPunct/>
        <w:topLinePunct w:val="0"/>
        <w:autoSpaceDE/>
        <w:autoSpaceDN/>
        <w:bidi w:val="0"/>
        <w:adjustRightInd w:val="0"/>
        <w:snapToGrid w:val="0"/>
        <w:spacing w:line="360" w:lineRule="auto"/>
        <w:rPr>
          <w:rFonts w:hint="eastAsia" w:ascii="宋体" w:hAnsi="宋体" w:eastAsia="宋体" w:cs="宋体"/>
          <w:b/>
          <w:color w:val="auto"/>
          <w:sz w:val="21"/>
          <w:szCs w:val="21"/>
          <w:lang w:val="zh-CN"/>
        </w:rPr>
      </w:pPr>
    </w:p>
    <w:p w14:paraId="00947E6C">
      <w:pPr>
        <w:pageBreakBefore w:val="0"/>
        <w:kinsoku/>
        <w:wordWrap w:val="0"/>
        <w:overflowPunct/>
        <w:topLinePunct w:val="0"/>
        <w:autoSpaceDE/>
        <w:autoSpaceDN/>
        <w:bidi w:val="0"/>
        <w:adjustRightInd w:val="0"/>
        <w:snapToGrid w:val="0"/>
        <w:spacing w:line="360" w:lineRule="auto"/>
        <w:rPr>
          <w:rFonts w:hint="eastAsia" w:ascii="宋体" w:hAnsi="宋体" w:eastAsia="宋体" w:cs="宋体"/>
          <w:b/>
          <w:color w:val="auto"/>
          <w:sz w:val="21"/>
          <w:szCs w:val="21"/>
          <w:lang w:val="zh-CN"/>
        </w:rPr>
      </w:pPr>
    </w:p>
    <w:p w14:paraId="4DDAF0AE">
      <w:pPr>
        <w:pageBreakBefore w:val="0"/>
        <w:kinsoku/>
        <w:wordWrap w:val="0"/>
        <w:overflowPunct/>
        <w:topLinePunct w:val="0"/>
        <w:autoSpaceDE/>
        <w:autoSpaceDN/>
        <w:bidi w:val="0"/>
        <w:adjustRightInd w:val="0"/>
        <w:snapToGrid w:val="0"/>
        <w:spacing w:line="360" w:lineRule="auto"/>
        <w:rPr>
          <w:rFonts w:hint="eastAsia" w:ascii="宋体" w:hAnsi="宋体" w:eastAsia="宋体" w:cs="宋体"/>
          <w:b/>
          <w:color w:val="auto"/>
          <w:sz w:val="21"/>
          <w:szCs w:val="21"/>
          <w:lang w:val="zh-CN"/>
        </w:rPr>
      </w:pPr>
    </w:p>
    <w:p w14:paraId="6485FB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D9A0E7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49CF96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EA8F3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151EB9B7">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59D2AF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E353C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ED74AE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3992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63E5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D7B8E8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7</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7BABDBF">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5520128E">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8</w:t>
      </w:r>
      <w:r>
        <w:rPr>
          <w:rFonts w:hint="eastAsia" w:ascii="宋体" w:hAnsi="宋体" w:eastAsia="宋体" w:cs="宋体"/>
          <w:b/>
          <w:color w:val="auto"/>
          <w:sz w:val="21"/>
          <w:szCs w:val="21"/>
          <w:highlight w:val="none"/>
        </w:rPr>
        <w:t>：残疾人福利性单位声明函</w:t>
      </w:r>
    </w:p>
    <w:p w14:paraId="07F6528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4AC3729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9</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格式10</w:t>
      </w:r>
      <w:r>
        <w:rPr>
          <w:rFonts w:hint="eastAsia" w:ascii="宋体" w:hAnsi="宋体" w:eastAsia="宋体" w:cs="宋体"/>
          <w:b/>
          <w:color w:val="auto"/>
          <w:sz w:val="21"/>
          <w:szCs w:val="21"/>
          <w:highlight w:val="none"/>
        </w:rPr>
        <w:t>：质疑函格式</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DE4C4C1">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4"/>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6"/>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3"/>
        <w:pageBreakBefore w:val="0"/>
        <w:kinsoku/>
        <w:overflowPunct/>
        <w:topLinePunct w:val="0"/>
        <w:autoSpaceDE/>
        <w:autoSpaceDN/>
        <w:bidi w:val="0"/>
        <w:spacing w:before="0" w:after="0" w:line="360" w:lineRule="auto"/>
        <w:textAlignment w:val="auto"/>
        <w:rPr>
          <w:rFonts w:hint="eastAsia"/>
          <w:color w:val="auto"/>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w:t>
      </w:r>
      <w:r>
        <w:rPr>
          <w:rFonts w:hint="eastAsia" w:hAnsi="宋体" w:cs="宋体"/>
          <w:b/>
          <w:bCs w:val="0"/>
          <w:color w:val="auto"/>
          <w:sz w:val="21"/>
          <w:szCs w:val="21"/>
          <w:highlight w:val="none"/>
          <w:lang w:val="en-US" w:eastAsia="zh-CN"/>
        </w:rPr>
        <w:t>1</w:t>
      </w:r>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0293A6F"/>
    <w:rsid w:val="0207424A"/>
    <w:rsid w:val="0496367F"/>
    <w:rsid w:val="08222B80"/>
    <w:rsid w:val="09147193"/>
    <w:rsid w:val="09E7525B"/>
    <w:rsid w:val="0E1800B0"/>
    <w:rsid w:val="0E92770B"/>
    <w:rsid w:val="159E3E87"/>
    <w:rsid w:val="165970CF"/>
    <w:rsid w:val="174949CF"/>
    <w:rsid w:val="18661AD2"/>
    <w:rsid w:val="2B8F1E6D"/>
    <w:rsid w:val="2F2777E7"/>
    <w:rsid w:val="3ACF45D4"/>
    <w:rsid w:val="3DC8671B"/>
    <w:rsid w:val="42FF6F0A"/>
    <w:rsid w:val="44107BEC"/>
    <w:rsid w:val="46766174"/>
    <w:rsid w:val="4A447B02"/>
    <w:rsid w:val="4B09767F"/>
    <w:rsid w:val="4C1A37E5"/>
    <w:rsid w:val="4C3A30D7"/>
    <w:rsid w:val="4CAA12EE"/>
    <w:rsid w:val="4D5C533E"/>
    <w:rsid w:val="55831F8B"/>
    <w:rsid w:val="57A26C5A"/>
    <w:rsid w:val="5EA94314"/>
    <w:rsid w:val="5F82177E"/>
    <w:rsid w:val="61AB6ABE"/>
    <w:rsid w:val="68775D69"/>
    <w:rsid w:val="688F4EAE"/>
    <w:rsid w:val="6C866F2C"/>
    <w:rsid w:val="6EF56511"/>
    <w:rsid w:val="701B2782"/>
    <w:rsid w:val="70EC23BD"/>
    <w:rsid w:val="7B784837"/>
    <w:rsid w:val="7BB5222D"/>
    <w:rsid w:val="7C0E2692"/>
    <w:rsid w:val="7E5D0204"/>
    <w:rsid w:val="7E617D23"/>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1</cp:lastModifiedBy>
  <dcterms:modified xsi:type="dcterms:W3CDTF">2025-06-26T08:00:07Z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6944EC16E8764A97A59D1A39E06D8D8D</vt:lpwstr>
  </property>
</Properties>
</file>