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海口市2025-2026年国土空间用途管制相关技术服务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HNSHB-20250306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海口市自然资源和规划局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海南省实博招标代理有限公司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海口市自然资源和规划局</w:t>
      </w:r>
      <w:r>
        <w:rPr>
          <w:rFonts w:ascii="仿宋_GB2312" w:hAnsi="仿宋_GB2312" w:cs="仿宋_GB2312" w:eastAsia="仿宋_GB2312"/>
        </w:rPr>
        <w:t xml:space="preserve"> 的委托， </w:t>
      </w:r>
      <w:r>
        <w:rPr>
          <w:rFonts w:ascii="仿宋_GB2312" w:hAnsi="仿宋_GB2312" w:cs="仿宋_GB2312" w:eastAsia="仿宋_GB2312"/>
        </w:rPr>
        <w:t>海南省实博招标代理有限公司</w:t>
      </w:r>
      <w:r>
        <w:rPr>
          <w:rFonts w:ascii="仿宋_GB2312" w:hAnsi="仿宋_GB2312" w:cs="仿宋_GB2312" w:eastAsia="仿宋_GB2312"/>
        </w:rPr>
        <w:t xml:space="preserve"> 对 </w:t>
      </w:r>
      <w:r>
        <w:rPr>
          <w:rFonts w:ascii="仿宋_GB2312" w:hAnsi="仿宋_GB2312" w:cs="仿宋_GB2312" w:eastAsia="仿宋_GB2312"/>
        </w:rPr>
        <w:t>海口市2025-2026年国土空间用途管制相关技术服务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HNSHB-20250306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海口市2025-2026年国土空间用途管制相关技术服务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1.上述申请人的资格要求中“满足《中华人民共和国政府采购法》第二十二条规定，（4）供应商无不良信用记录”，按“第四章 评审方法，初步评审标准，一般资格审查”的相应关联格式要求提供：其他资格条件承诺函。信用信息查询的截止时点：采购公告发布时间以后。信用信息查询记录以供应商提供的该承诺函为准，承诺函不实的，将依照有关法律法规追究法律责任。 2.本项目为全流程电子化操作项目，具体操作流程可参考“海南省政府采购网-办事指南-供应商手册”：https://www.ccgp-hainan.gov.cn/help/gys/zc/zc.html。供应商使用系统遇到问题可致电技术支持：4001691288。 3.本项目落实的政府采购政策 《政府采购促进中小企业发展管理办法》、《关于促进残疾人就业政府采购政策的通知》、《财政部司法部关于政府采购支持监狱企业发展有关问题的通知》、《财政部发展改革委生态环境部市场监管总局关于调整优化节能产品、环境标志产品政府采购执行机制的通知》、《海南省财政厅关于印发《海南省绿色产品政府采购实施意见（试行）》的通知》、《关于政府采购支持绿色建材促进建筑品质提升试点工作的通知》、《财政部国务院扶贫办关于运用政府采购政策支持脱贫攻坚的通知》、《海南省财政厅关于进一步加强政府采购支持中小企业发展的通知》、《海南省财政厅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海口市自然资源和规划局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海南省海口市长滨路市政府第二行政办公区15号北楼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杜女士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0898-68654973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海南省实博招标代理有限公司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海南省海口市秀英区永万路22号二楼海南省实博招标代理有限公司</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林贻本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0898-68602571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代理服务费收费标准：代理服务费收费标准：参照《海南省物价局关于降低部分招标代理服务收费标准的通知》（琼价费管[2011]225号）文件的采用差额定率累进法，以项目预算金额为计算基数计算。</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全流程电子化操作项目：供应商须在海南政府采购网(https://www.ccgp-hainan.gov.cn/)中的海南省政府采购智慧云平台进行注册并完善信息，然后下载项目电子采购文件及其他文件。必须使用投标客户端（海南省政府采购网-下载专区-系统驱动下载）制作电子版的响应文件，投标客户端是海南省政府采购智慧云平台制作响应文件的工具。供应商使用该工具编辑完成响应文件各组成部分并导入pdf格式签章，最终生成加密的响应文件。必须使用最新版本的投标客户端制作电子版响应文件并使用CA数字证书的电子印章进行签章和加密。供应商须在提交响应文件截止时间前登录系统海南省政府采购智慧云平台成功上传加密的电子响应文件。逾期上传或者错误方式上传的响应文件，视为无效响应文件。 2.电子标须办理数字证书。供应商制作响应文件、签到、解密及磋商过程等需选择CA数字证书签章，未办理数字证书的请先进行办理并安装驱动。供应商应当自行办理纳入全国公共资源交易平台（海南省）数字证书互认范围的数字证书及签章（以下简称“互认的证书及签章”），用于智慧云平台的用户注册、身份信息维护、业务办理、在线开展或者参与采购活动、加盖电子签章等操作。具体可参考“海南省政府采购网-办事指南-供应商手册”：https://www.ccgp-hainan.gov.cn/help/ca/ca.html内容。已注册备案通过并取得数字证书和电子签章的供应商不需要再重新办理。 3.本项目为全程远程电子开标，供应商须进行不见面在线开标，无须到达开标现场。开标前供应商必须进入电子开标/开启大厅在线签到，未签到视为无效响应。供应商还须远程按时在线解密响应文件。本项目不接受供应商的电子备用响应文件，以供应商成功加密后递交至海南省政府采购智慧云平台的电子响应文件为准，因供应商自身原因导致无法解密或解密失败的，自行承担不利后果。随后唱标，供应商浏览唱标信息，产生开标结果，各供应商确认后签署开标结果，开标结束。 4.开标活动完成后，通过资格符合性审查的供应商将与磋商小组独立进行磋商并最后报价，请各供应商代表保持项目电子化操作界面，在“评审等候大厅”等待通知磋商和报价。 5.本次采购标的对应的中小企业划分标准所属行业为其他未列明行业，具体的参数供应商请查阅： 《关于印发中小企业划型标准规定的通知》（工信部联企业〔2011〕300号）。 6.政府采购合同信用融资是银行机构以政府采购诚信考核和信用审查为基础，凭借中小企业取得并提供的政府采购合同，按优于—般中小企业贷款的利率直接向申请货款的中小企业发放货款的一种新融资方式。投标人在中标后需要融资时可以申请政府采购合同信用融资。</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联系电话：0898-68602571</w:t>
      </w:r>
    </w:p>
    <w:p>
      <w:pPr>
        <w:pStyle w:val="null3"/>
        <w:jc w:val="left"/>
      </w:pPr>
      <w:r>
        <w:rPr>
          <w:rFonts w:ascii="仿宋_GB2312" w:hAnsi="仿宋_GB2312" w:cs="仿宋_GB2312" w:eastAsia="仿宋_GB2312"/>
        </w:rPr>
        <w:t>地址：海南省海口市秀英区永万路22号二楼海南省实博招标代理有限公司</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u w:val="single"/>
        </w:rPr>
        <w:t>贯彻落实党中央、国务院</w:t>
      </w:r>
      <w:r>
        <w:rPr>
          <w:rFonts w:ascii="仿宋_GB2312" w:hAnsi="仿宋_GB2312" w:cs="仿宋_GB2312" w:eastAsia="仿宋_GB2312"/>
          <w:sz w:val="24"/>
          <w:u w:val="single"/>
        </w:rPr>
        <w:t>“放管服”改革要求，提高国土空间用途管制水平，在借鉴省外经验的基础上，结合我市实际，拟通过政府采购方式委托第三方开展相关技术服务。</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见本章“二、技术和服务要求，1.技术要求，1.1 服务内容及最高限价”说明。</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rPr>
              <w:t>1.</w:t>
            </w:r>
            <w:r>
              <w:rPr>
                <w:rFonts w:ascii="仿宋_GB2312" w:hAnsi="仿宋_GB2312" w:cs="仿宋_GB2312" w:eastAsia="仿宋_GB2312"/>
                <w:sz w:val="32"/>
                <w:b/>
              </w:rPr>
              <w:t>技术要求</w:t>
            </w:r>
          </w:p>
          <w:p>
            <w:pPr>
              <w:pStyle w:val="null3"/>
              <w:ind w:firstLine="643"/>
              <w:jc w:val="left"/>
            </w:pPr>
            <w:r>
              <w:rPr>
                <w:rFonts w:ascii="仿宋_GB2312" w:hAnsi="仿宋_GB2312" w:cs="仿宋_GB2312" w:eastAsia="仿宋_GB2312"/>
                <w:sz w:val="32"/>
                <w:b/>
              </w:rPr>
              <w:t>1.1</w:t>
            </w:r>
            <w:r>
              <w:rPr>
                <w:rFonts w:ascii="仿宋_GB2312" w:hAnsi="仿宋_GB2312" w:cs="仿宋_GB2312" w:eastAsia="仿宋_GB2312"/>
                <w:sz w:val="32"/>
                <w:b/>
              </w:rPr>
              <w:t xml:space="preserve"> </w:t>
            </w:r>
            <w:r>
              <w:rPr>
                <w:rFonts w:ascii="仿宋_GB2312" w:hAnsi="仿宋_GB2312" w:cs="仿宋_GB2312" w:eastAsia="仿宋_GB2312"/>
                <w:sz w:val="32"/>
                <w:b/>
              </w:rPr>
              <w:t>服务内容及最高限价</w:t>
            </w:r>
          </w:p>
          <w:p>
            <w:pPr>
              <w:pStyle w:val="null3"/>
              <w:ind w:firstLine="640"/>
              <w:jc w:val="left"/>
            </w:pPr>
            <w:r>
              <w:rPr>
                <w:rFonts w:ascii="仿宋_GB2312" w:hAnsi="仿宋_GB2312" w:cs="仿宋_GB2312" w:eastAsia="仿宋_GB2312"/>
                <w:sz w:val="32"/>
              </w:rPr>
              <w:t>委托事项按项目包干（不含测绘和制图费）计费，预算计费标准如下：</w:t>
            </w:r>
          </w:p>
          <w:p>
            <w:pPr>
              <w:pStyle w:val="null3"/>
              <w:jc w:val="center"/>
            </w:pPr>
            <w:r>
              <w:rPr>
                <w:rFonts w:ascii="仿宋_GB2312" w:hAnsi="仿宋_GB2312" w:cs="仿宋_GB2312" w:eastAsia="仿宋_GB2312"/>
                <w:sz w:val="32"/>
              </w:rPr>
              <w:t>服务内容及最高限价一览表</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服务内容</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最高限价</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用地预审或用地审查函复意见组件报批及归档</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按宗计费，每个项目的包干最高限价为0.5万元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集体土地预征收组件报批及归档</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按宗计费，每个项目的包干最高限价为3万元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国有土地使用权收回组件报批及归档</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按宗计费，每个权利人名下国有土地收回的包干最高限价为3万元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4</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土地征收和农转用组件报批及归档</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按宗计费，每个项目的包干最高限价为5万元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5</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土地征收和农转用批前审查</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按宗计费，每个项目的包干最高限价为2万元</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6</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林地征（占）用组件报批及归档</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按宗计费，每个项目的包干最高限价为1万元</w:t>
                  </w:r>
                </w:p>
              </w:tc>
            </w:tr>
          </w:tbl>
          <w:p>
            <w:pPr>
              <w:pStyle w:val="null3"/>
              <w:ind w:firstLine="640"/>
              <w:jc w:val="left"/>
            </w:pPr>
            <w:r>
              <w:rPr>
                <w:rFonts w:ascii="仿宋_GB2312" w:hAnsi="仿宋_GB2312" w:cs="仿宋_GB2312" w:eastAsia="仿宋_GB2312"/>
                <w:sz w:val="32"/>
              </w:rPr>
              <w:t>本项目预算金额¥3000000.00元，本项目采用单价采购，供应商须在开标（报价）一览表中提交固定总报价（即¥3000000.00元），在投标（响应）报价明细表中提交评审单一单价报价和列明上述序号1-6各项服务内容单项报价（评审单一单价报价=上述序号1-6各项服务内容报价之和，其最高限价单价145000.00元/个，即上述序号1-6各项服务内容最高限价之和）；供应商评审单一单价报价、各项服务内容单项报价超过各自最高限价单价的均按无效响应处理。</w:t>
            </w:r>
          </w:p>
          <w:p>
            <w:pPr>
              <w:pStyle w:val="null3"/>
              <w:ind w:firstLine="643"/>
              <w:jc w:val="left"/>
            </w:pPr>
            <w:r>
              <w:rPr>
                <w:rFonts w:ascii="仿宋_GB2312" w:hAnsi="仿宋_GB2312" w:cs="仿宋_GB2312" w:eastAsia="仿宋_GB2312"/>
                <w:sz w:val="32"/>
                <w:b/>
              </w:rPr>
              <w:t>1.2</w:t>
            </w:r>
            <w:r>
              <w:rPr>
                <w:rFonts w:ascii="仿宋_GB2312" w:hAnsi="仿宋_GB2312" w:cs="仿宋_GB2312" w:eastAsia="仿宋_GB2312"/>
                <w:sz w:val="32"/>
                <w:b/>
              </w:rPr>
              <w:t xml:space="preserve"> </w:t>
            </w:r>
            <w:r>
              <w:rPr>
                <w:rFonts w:ascii="仿宋_GB2312" w:hAnsi="仿宋_GB2312" w:cs="仿宋_GB2312" w:eastAsia="仿宋_GB2312"/>
                <w:sz w:val="32"/>
                <w:b/>
              </w:rPr>
              <w:t>服务要求</w:t>
            </w:r>
          </w:p>
          <w:p>
            <w:pPr>
              <w:pStyle w:val="null3"/>
              <w:ind w:firstLine="643"/>
              <w:jc w:val="left"/>
            </w:pPr>
            <w:r>
              <w:rPr>
                <w:rFonts w:ascii="仿宋_GB2312" w:hAnsi="仿宋_GB2312" w:cs="仿宋_GB2312" w:eastAsia="仿宋_GB2312"/>
                <w:sz w:val="32"/>
                <w:b/>
              </w:rPr>
              <w:t xml:space="preserve">1.2.1 </w:t>
            </w:r>
            <w:r>
              <w:rPr>
                <w:rFonts w:ascii="仿宋_GB2312" w:hAnsi="仿宋_GB2312" w:cs="仿宋_GB2312" w:eastAsia="仿宋_GB2312"/>
                <w:sz w:val="32"/>
                <w:b/>
              </w:rPr>
              <w:t>用地预审或用地审查函复意见组件报批及归档</w:t>
            </w:r>
          </w:p>
          <w:p>
            <w:pPr>
              <w:pStyle w:val="null3"/>
              <w:ind w:firstLine="640"/>
              <w:jc w:val="left"/>
            </w:pPr>
            <w:r>
              <w:rPr>
                <w:rFonts w:ascii="仿宋_GB2312" w:hAnsi="仿宋_GB2312" w:cs="仿宋_GB2312" w:eastAsia="仿宋_GB2312"/>
                <w:sz w:val="32"/>
              </w:rPr>
              <w:t>主要办理事项：审查受理材料，核查规划、现状、权属等情况，根据现有的用地政策审查提出处理意见，拟文出具审查意见等技术服务。</w:t>
            </w:r>
          </w:p>
          <w:p>
            <w:pPr>
              <w:pStyle w:val="null3"/>
              <w:ind w:firstLine="643"/>
              <w:jc w:val="left"/>
            </w:pPr>
            <w:r>
              <w:rPr>
                <w:rFonts w:ascii="仿宋_GB2312" w:hAnsi="仿宋_GB2312" w:cs="仿宋_GB2312" w:eastAsia="仿宋_GB2312"/>
                <w:sz w:val="32"/>
                <w:b/>
              </w:rPr>
              <w:t xml:space="preserve">1.2.2 </w:t>
            </w:r>
            <w:r>
              <w:rPr>
                <w:rFonts w:ascii="仿宋_GB2312" w:hAnsi="仿宋_GB2312" w:cs="仿宋_GB2312" w:eastAsia="仿宋_GB2312"/>
                <w:sz w:val="32"/>
                <w:b/>
              </w:rPr>
              <w:t>集体土地预征收组件报批及归档</w:t>
            </w:r>
          </w:p>
          <w:p>
            <w:pPr>
              <w:pStyle w:val="null3"/>
              <w:ind w:firstLine="640"/>
              <w:jc w:val="left"/>
            </w:pPr>
            <w:r>
              <w:rPr>
                <w:rFonts w:ascii="仿宋_GB2312" w:hAnsi="仿宋_GB2312" w:cs="仿宋_GB2312" w:eastAsia="仿宋_GB2312"/>
                <w:sz w:val="32"/>
              </w:rPr>
              <w:t>主要办理事项：审查受理材料，出具规划、现状、权属等图件，函告分局开展权属确认，拟文报请市政府启动征地前期相关工作，因界线或权属调整开展补征地工作，拟文报请市财政局上报集体土地征收补偿方案，拟文函告农保局落实社保，审查办理集体土地注销登记和入库，涉及项目需答复的意见等技术服务。</w:t>
            </w:r>
          </w:p>
          <w:p>
            <w:pPr>
              <w:pStyle w:val="null3"/>
              <w:ind w:firstLine="643"/>
              <w:jc w:val="left"/>
            </w:pPr>
            <w:r>
              <w:rPr>
                <w:rFonts w:ascii="仿宋_GB2312" w:hAnsi="仿宋_GB2312" w:cs="仿宋_GB2312" w:eastAsia="仿宋_GB2312"/>
                <w:sz w:val="32"/>
                <w:b/>
              </w:rPr>
              <w:t xml:space="preserve">1.2.3 </w:t>
            </w:r>
            <w:r>
              <w:rPr>
                <w:rFonts w:ascii="仿宋_GB2312" w:hAnsi="仿宋_GB2312" w:cs="仿宋_GB2312" w:eastAsia="仿宋_GB2312"/>
                <w:sz w:val="32"/>
                <w:b/>
              </w:rPr>
              <w:t>国有土地使用权收回组件报批及归档</w:t>
            </w:r>
          </w:p>
          <w:p>
            <w:pPr>
              <w:pStyle w:val="null3"/>
              <w:ind w:firstLine="640"/>
              <w:jc w:val="left"/>
            </w:pPr>
            <w:r>
              <w:rPr>
                <w:rFonts w:ascii="仿宋_GB2312" w:hAnsi="仿宋_GB2312" w:cs="仿宋_GB2312" w:eastAsia="仿宋_GB2312"/>
                <w:sz w:val="32"/>
              </w:rPr>
              <w:t>主要办理事项：审查受理材料，出具规划、现状、权属等图件，函告分局开展权属确认，函告开发利用科开展闲置核查，拟文报请市政府批准收回国有土地使用权，拟文出具收回告知书并送达权利人，依权利人申请组织听证，调取宗地发证、报建等档案，商权利人委托开展国有土地收回评估，告知评估结果并协商收回事宜，拟文报请市政府下达补偿款，协商签订收回协议书，申请支付补偿款，办理国有土地注销登记和入库，经协商无法达成协议的下达收回决定书，办理公告注销登记，协助开展行政复议和行政诉讼，涉及项目需答复的意见等技术服务。</w:t>
            </w:r>
          </w:p>
          <w:p>
            <w:pPr>
              <w:pStyle w:val="null3"/>
              <w:ind w:firstLine="643"/>
              <w:jc w:val="left"/>
            </w:pPr>
            <w:r>
              <w:rPr>
                <w:rFonts w:ascii="仿宋_GB2312" w:hAnsi="仿宋_GB2312" w:cs="仿宋_GB2312" w:eastAsia="仿宋_GB2312"/>
                <w:sz w:val="32"/>
                <w:b/>
              </w:rPr>
              <w:t xml:space="preserve">1.2.4 </w:t>
            </w:r>
            <w:r>
              <w:rPr>
                <w:rFonts w:ascii="仿宋_GB2312" w:hAnsi="仿宋_GB2312" w:cs="仿宋_GB2312" w:eastAsia="仿宋_GB2312"/>
                <w:sz w:val="32"/>
                <w:b/>
              </w:rPr>
              <w:t>土地征收和农转用组件报批及归档</w:t>
            </w:r>
          </w:p>
          <w:p>
            <w:pPr>
              <w:pStyle w:val="null3"/>
              <w:ind w:firstLine="640"/>
              <w:jc w:val="left"/>
            </w:pPr>
            <w:r>
              <w:rPr>
                <w:rFonts w:ascii="仿宋_GB2312" w:hAnsi="仿宋_GB2312" w:cs="仿宋_GB2312" w:eastAsia="仿宋_GB2312"/>
                <w:sz w:val="32"/>
              </w:rPr>
              <w:t>主要办理事项：审查受理材料，对接业主单位提供立项、可研、初设、用地预审和用地选址意见书、环评、土壤污染调查、地质灾害评估报告及不压覆重要矿床证明、耕地耕作层剥离方案批复、节地评估报告等报批材料，出具规划、现状、权属、勘测定界等图件，对接省国源核查占用耕地情况，对接区政府收集征地协议、告知确认书、社会风险评估等材料，对接各单位收集规划、林业和环保意见，拟文报请市政府同意安排耕地指标，对接人社局、财政局出具社保缴纳意见，对接执法局出具违法查验报告，出具勘测定界技术报告等材料，编制项目呈报说明书、土地征收方案、农用地转用方案、补充耕地方案、供地方案等材料，拟文呈请市政府上报省政府批准，拟文向省资规厅出具建设项目农转用审查报告，组织召开省资规厅委托的业务会审会，编制建设用地审批表逐级呈市政府批准（省政府委托事项），对接财政或业主单位缴交新增用地有偿使用费、耕地开垦费、耕地占用税，拟文呈批出具农转用批准文件，将组卷和审批材料报省资规厅备案等技术服务。</w:t>
            </w:r>
          </w:p>
          <w:p>
            <w:pPr>
              <w:pStyle w:val="null3"/>
              <w:ind w:firstLine="643"/>
              <w:jc w:val="left"/>
            </w:pPr>
            <w:r>
              <w:rPr>
                <w:rFonts w:ascii="仿宋_GB2312" w:hAnsi="仿宋_GB2312" w:cs="仿宋_GB2312" w:eastAsia="仿宋_GB2312"/>
                <w:sz w:val="32"/>
                <w:b/>
              </w:rPr>
              <w:t xml:space="preserve">1.2.5 </w:t>
            </w:r>
            <w:r>
              <w:rPr>
                <w:rFonts w:ascii="仿宋_GB2312" w:hAnsi="仿宋_GB2312" w:cs="仿宋_GB2312" w:eastAsia="仿宋_GB2312"/>
                <w:sz w:val="32"/>
                <w:b/>
              </w:rPr>
              <w:t>土地征收和农转用批前审查</w:t>
            </w:r>
          </w:p>
          <w:p>
            <w:pPr>
              <w:pStyle w:val="null3"/>
              <w:ind w:firstLine="640"/>
              <w:jc w:val="left"/>
            </w:pPr>
            <w:r>
              <w:rPr>
                <w:rFonts w:ascii="仿宋_GB2312" w:hAnsi="仿宋_GB2312" w:cs="仿宋_GB2312" w:eastAsia="仿宋_GB2312"/>
                <w:sz w:val="32"/>
              </w:rPr>
              <w:t>主要办理事项：审查受理材料，对接各区政府对报批材料进行修改和补充缺少的必备材料，拟文向省资规厅出具建设项目农转用审查报告，组织召开省资规厅委托的业务会审会并将会审意见反馈各区政府，编制建设用地审批表逐级呈市政府批准（省政府委托事项），拟文呈批出具农转用批准文件，将组卷和审批材料报省资规厅备案等技术服务。</w:t>
            </w:r>
          </w:p>
          <w:p>
            <w:pPr>
              <w:pStyle w:val="null3"/>
              <w:ind w:firstLine="643"/>
              <w:jc w:val="left"/>
            </w:pPr>
            <w:r>
              <w:rPr>
                <w:rFonts w:ascii="仿宋_GB2312" w:hAnsi="仿宋_GB2312" w:cs="仿宋_GB2312" w:eastAsia="仿宋_GB2312"/>
                <w:sz w:val="32"/>
                <w:b/>
              </w:rPr>
              <w:t xml:space="preserve">1.2.6 </w:t>
            </w:r>
            <w:r>
              <w:rPr>
                <w:rFonts w:ascii="仿宋_GB2312" w:hAnsi="仿宋_GB2312" w:cs="仿宋_GB2312" w:eastAsia="仿宋_GB2312"/>
                <w:sz w:val="32"/>
                <w:b/>
              </w:rPr>
              <w:t>林地征（占）用组件报批及归档</w:t>
            </w:r>
          </w:p>
          <w:p>
            <w:pPr>
              <w:pStyle w:val="null3"/>
              <w:ind w:firstLine="640"/>
              <w:jc w:val="left"/>
            </w:pPr>
            <w:r>
              <w:rPr>
                <w:rFonts w:ascii="仿宋_GB2312" w:hAnsi="仿宋_GB2312" w:cs="仿宋_GB2312" w:eastAsia="仿宋_GB2312"/>
                <w:sz w:val="32"/>
              </w:rPr>
              <w:t>主要办理事项：受理材料审查、对接市林业局出具相关报告、协助分析规划林地调整可行性、报请市政府批准、出具缴款通知书、出具林地批复等技术服务。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1.合同履行期限</w:t>
            </w:r>
          </w:p>
          <w:p>
            <w:pPr>
              <w:pStyle w:val="null3"/>
              <w:ind w:firstLine="640"/>
              <w:jc w:val="left"/>
            </w:pPr>
            <w:r>
              <w:rPr>
                <w:rFonts w:ascii="仿宋_GB2312" w:hAnsi="仿宋_GB2312" w:cs="仿宋_GB2312" w:eastAsia="仿宋_GB2312"/>
                <w:sz w:val="32"/>
              </w:rPr>
              <w:t>自合同签订之日起1年。</w:t>
            </w:r>
          </w:p>
          <w:p>
            <w:pPr>
              <w:pStyle w:val="null3"/>
              <w:ind w:firstLine="643"/>
              <w:jc w:val="left"/>
            </w:pPr>
            <w:r>
              <w:rPr>
                <w:rFonts w:ascii="仿宋_GB2312" w:hAnsi="仿宋_GB2312" w:cs="仿宋_GB2312" w:eastAsia="仿宋_GB2312"/>
                <w:sz w:val="32"/>
                <w:b/>
              </w:rPr>
              <w:t>2.服务地点</w:t>
            </w:r>
          </w:p>
          <w:p>
            <w:pPr>
              <w:pStyle w:val="null3"/>
              <w:ind w:firstLine="640"/>
              <w:jc w:val="left"/>
            </w:pPr>
            <w:r>
              <w:rPr>
                <w:rFonts w:ascii="仿宋_GB2312" w:hAnsi="仿宋_GB2312" w:cs="仿宋_GB2312" w:eastAsia="仿宋_GB2312"/>
                <w:sz w:val="32"/>
              </w:rPr>
              <w:t>采购人指定地点。</w:t>
            </w:r>
          </w:p>
          <w:p>
            <w:pPr>
              <w:pStyle w:val="null3"/>
              <w:ind w:firstLine="643"/>
              <w:jc w:val="left"/>
            </w:pPr>
            <w:r>
              <w:rPr>
                <w:rFonts w:ascii="仿宋_GB2312" w:hAnsi="仿宋_GB2312" w:cs="仿宋_GB2312" w:eastAsia="仿宋_GB2312"/>
                <w:sz w:val="32"/>
                <w:b/>
              </w:rPr>
              <w:t>3.付款时间、方式及条件</w:t>
            </w:r>
          </w:p>
          <w:p>
            <w:pPr>
              <w:pStyle w:val="null3"/>
              <w:ind w:firstLine="640"/>
              <w:jc w:val="left"/>
            </w:pPr>
            <w:r>
              <w:rPr>
                <w:rFonts w:ascii="仿宋_GB2312" w:hAnsi="仿宋_GB2312" w:cs="仿宋_GB2312" w:eastAsia="仿宋_GB2312"/>
                <w:sz w:val="32"/>
              </w:rPr>
              <w:t>按季度结算，每季度成交供应商凭有效结算依据，开具有效发票给采购人，采购人核查确认无误后支付。具体按采购人与成交供应商签订的合同实施。</w:t>
            </w:r>
          </w:p>
          <w:p>
            <w:pPr>
              <w:pStyle w:val="null3"/>
              <w:ind w:firstLine="643"/>
              <w:jc w:val="left"/>
            </w:pPr>
            <w:r>
              <w:rPr>
                <w:rFonts w:ascii="仿宋_GB2312" w:hAnsi="仿宋_GB2312" w:cs="仿宋_GB2312" w:eastAsia="仿宋_GB2312"/>
                <w:sz w:val="32"/>
                <w:b/>
              </w:rPr>
              <w:t>4.项目验收方法及标准</w:t>
            </w:r>
          </w:p>
          <w:p>
            <w:pPr>
              <w:pStyle w:val="null3"/>
              <w:ind w:firstLine="640"/>
              <w:jc w:val="left"/>
            </w:pPr>
            <w:r>
              <w:rPr>
                <w:rFonts w:ascii="仿宋_GB2312" w:hAnsi="仿宋_GB2312" w:cs="仿宋_GB2312" w:eastAsia="仿宋_GB2312"/>
                <w:sz w:val="32"/>
              </w:rPr>
              <w:t>项目服务成果具体按双方签订合同、采购文件、成交供应商响应文件以及国家、地方和行业的相关规范标准、政策和规定实施，项目服务工作质量需经采购人认可，并经采购人对项目进行验收通过。</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rPr>
        <w:t>1.通过初步审查（资格、符合性审查）的供应商在最终报价时须在开标（报价）一览表中提交固定总报价（即¥3000000.00元），在投标（响应）报价明细表中提交最终评审单一单价报价和列明上述序号1-6各项服务内容最终单项报价（评审单一单价报价=《服务内容及最高限价一览表》中的序号1-6各项服务内容最终单项报价之和）；以最终评审单一单价报价计算价格得分，该最终评审单一单价报价只作为综合评分法中计算价格得分的依据，不作为合同履行价格。各项服务内容最终单项报价作为合同履行价格。采购人与成交供应商签订采购合同，按各项服务内容最终单项报价分别乘以各项服务内容的实际工作量据实结算。</w:t>
      </w:r>
    </w:p>
    <w:p>
      <w:pPr>
        <w:pStyle w:val="null3"/>
        <w:ind w:firstLine="640"/>
        <w:jc w:val="left"/>
      </w:pPr>
      <w:r>
        <w:rPr>
          <w:rFonts w:ascii="仿宋_GB2312" w:hAnsi="仿宋_GB2312" w:cs="仿宋_GB2312" w:eastAsia="仿宋_GB2312"/>
          <w:sz w:val="32"/>
        </w:rPr>
        <w:t>2.供应商最终评审单一单价报价、各项服务内容最终单项报价超过各自最高限价单价和第一次报价的均按无效响应处理。</w:t>
      </w:r>
    </w:p>
    <w:p>
      <w:pPr>
        <w:pStyle w:val="null3"/>
        <w:ind w:firstLine="476"/>
        <w:jc w:val="both"/>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其他资格条件承诺函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其他资格条件承诺函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商务应答表 自觉抵制政府采购领域商业贿赂行为承诺书 法定代表人资格证明书或法定代表人授权委托书 封面 竞争性磋商响应函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竞争性磋商响应函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技术部分68.00分</w:t>
            </w:r>
          </w:p>
          <w:p>
            <w:pPr>
              <w:pStyle w:val="null3"/>
              <w:jc w:val="left"/>
            </w:pPr>
            <w:r>
              <w:rPr>
                <w:rFonts w:ascii="仿宋_GB2312" w:hAnsi="仿宋_GB2312" w:cs="仿宋_GB2312" w:eastAsia="仿宋_GB2312"/>
              </w:rPr>
              <w:t>商务部分22.00分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项目概况分析</w:t>
            </w:r>
          </w:p>
        </w:tc>
        <w:tc>
          <w:tcPr>
            <w:tcW w:type="dxa" w:w="2492"/>
          </w:tcPr>
          <w:p>
            <w:pPr>
              <w:pStyle w:val="null3"/>
              <w:jc w:val="left"/>
            </w:pPr>
            <w:r>
              <w:rPr>
                <w:rFonts w:ascii="仿宋_GB2312" w:hAnsi="仿宋_GB2312" w:cs="仿宋_GB2312" w:eastAsia="仿宋_GB2312"/>
              </w:rPr>
              <w:t>供应商根据本项目的采购需求，编制的该部分内容应至少包含：（1）项目背景、（2）项目目的、（3）项目内容、（4）项目工作相关法规标准依据。评委对其进行综合评议，满分20分，每有一项缺项的扣5分；在供应商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项目服务方案</w:t>
            </w:r>
          </w:p>
        </w:tc>
        <w:tc>
          <w:tcPr>
            <w:tcW w:type="dxa" w:w="2492"/>
          </w:tcPr>
          <w:p>
            <w:pPr>
              <w:pStyle w:val="null3"/>
              <w:jc w:val="left"/>
            </w:pPr>
            <w:r>
              <w:rPr>
                <w:rFonts w:ascii="仿宋_GB2312" w:hAnsi="仿宋_GB2312" w:cs="仿宋_GB2312" w:eastAsia="仿宋_GB2312"/>
              </w:rPr>
              <w:t>供应商根据本项目的采购需求，编制的该部分内容应至少包含：（1）工作依据、（2）工作内容、（3）工作流程及结果、（4）项目进度计划、（5）进度保障措施。评委对其进行综合评议，满分20分，每有一项缺项的扣4分；在供应商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项目服务质量保障</w:t>
            </w:r>
          </w:p>
        </w:tc>
        <w:tc>
          <w:tcPr>
            <w:tcW w:type="dxa" w:w="2492"/>
          </w:tcPr>
          <w:p>
            <w:pPr>
              <w:pStyle w:val="null3"/>
              <w:jc w:val="left"/>
            </w:pPr>
            <w:r>
              <w:rPr>
                <w:rFonts w:ascii="仿宋_GB2312" w:hAnsi="仿宋_GB2312" w:cs="仿宋_GB2312" w:eastAsia="仿宋_GB2312"/>
              </w:rPr>
              <w:t>供应商根据本项目的采购需求，编制的该部分内容应至少包含：（1）服务质量保障措施、（2）服务质量保障承诺。评委对其进行综合评议，满分8分，每有一项缺项的扣4分；在供应商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项目资料管理</w:t>
            </w:r>
          </w:p>
        </w:tc>
        <w:tc>
          <w:tcPr>
            <w:tcW w:type="dxa" w:w="2492"/>
          </w:tcPr>
          <w:p>
            <w:pPr>
              <w:pStyle w:val="null3"/>
              <w:jc w:val="left"/>
            </w:pPr>
            <w:r>
              <w:rPr>
                <w:rFonts w:ascii="仿宋_GB2312" w:hAnsi="仿宋_GB2312" w:cs="仿宋_GB2312" w:eastAsia="仿宋_GB2312"/>
              </w:rPr>
              <w:t>供应商根据本项目的采购需求，编制的该部分内容应至少包含：（1）成果资料管理、（2）保密措施。评委对其进行综合评议，满分8分，每有一项缺项的扣4分；在供应商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项目突发情况和解决措施</w:t>
            </w:r>
          </w:p>
        </w:tc>
        <w:tc>
          <w:tcPr>
            <w:tcW w:type="dxa" w:w="2492"/>
          </w:tcPr>
          <w:p>
            <w:pPr>
              <w:pStyle w:val="null3"/>
              <w:jc w:val="left"/>
            </w:pPr>
            <w:r>
              <w:rPr>
                <w:rFonts w:ascii="仿宋_GB2312" w:hAnsi="仿宋_GB2312" w:cs="仿宋_GB2312" w:eastAsia="仿宋_GB2312"/>
              </w:rPr>
              <w:t>供应商根据本项目的采购需求，编制的该部分内容应至少包含：（1）项目重点难点分析、（2）项目关键节点把控、（3）项目应急情况和解决措施。评委对其进行综合评议，满分12分，每有一项缺项的扣4分；在供应商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拟投入本项目实施团队</w:t>
            </w:r>
          </w:p>
        </w:tc>
        <w:tc>
          <w:tcPr>
            <w:tcW w:type="dxa" w:w="2492"/>
          </w:tcPr>
          <w:p>
            <w:pPr>
              <w:pStyle w:val="null3"/>
              <w:jc w:val="left"/>
            </w:pPr>
            <w:r>
              <w:rPr>
                <w:rFonts w:ascii="仿宋_GB2312" w:hAnsi="仿宋_GB2312" w:cs="仿宋_GB2312" w:eastAsia="仿宋_GB2312"/>
              </w:rPr>
              <w:t>1、供应商拟投入本项目的项目负责人：（1）同时具备注册测绘师资格和测绘专业高级工程师职称；或同时具备注册城乡规划师和城乡规划专业高级工程师职称的得5分；（2）同时具备注册测绘师资格和测绘专业中级工程师职称;或同时具备注册城乡规划师和城乡规划专业中级工程师职称的得3分；此项满分5分。 2、供应商拟投入本项目的技术团队人员（项目负责人除外）具备相关专业（测绘或土地规划或城乡规划]中级及以上职称，每提供一人得1分，此项满分5分。 证明材料：提供相关人员证书和2025年1月1日至今任意1个月在供应商缴纳社保的证明材料复印件并加盖公章。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驻场技术人员</w:t>
            </w:r>
          </w:p>
        </w:tc>
        <w:tc>
          <w:tcPr>
            <w:tcW w:type="dxa" w:w="2492"/>
          </w:tcPr>
          <w:p>
            <w:pPr>
              <w:pStyle w:val="null3"/>
              <w:jc w:val="left"/>
            </w:pPr>
            <w:r>
              <w:rPr>
                <w:rFonts w:ascii="仿宋_GB2312" w:hAnsi="仿宋_GB2312" w:cs="仿宋_GB2312" w:eastAsia="仿宋_GB2312"/>
              </w:rPr>
              <w:t>供应商承诺提供技术人员驻场提供现场技术支撑服务，每提供1人得1分，此项满分6分。 注：1.供应商需提供驻场服务承诺书并加盖供应商公章；2.供应商提供驻场技术人员自2025年1月1日至今任意1个月在供应商缴纳社保的证明材料复印件并加盖公章；3.本项驻场技术人员在计分时与上述拟投入本项目实施团队可为重复人员。</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相关业绩</w:t>
            </w:r>
          </w:p>
        </w:tc>
        <w:tc>
          <w:tcPr>
            <w:tcW w:type="dxa" w:w="2492"/>
          </w:tcPr>
          <w:p>
            <w:pPr>
              <w:pStyle w:val="null3"/>
              <w:jc w:val="left"/>
            </w:pPr>
            <w:r>
              <w:rPr>
                <w:rFonts w:ascii="仿宋_GB2312" w:hAnsi="仿宋_GB2312" w:cs="仿宋_GB2312" w:eastAsia="仿宋_GB2312"/>
              </w:rPr>
              <w:t>供应商承担过类似项目业绩的每提供1个得2分，本项目满分6分。 注：1.类似项目业绩是指具有用地预审或用地审查组件报批、集体土地预征收组件报批、国有土地使用权收回组件报批、土地征收和农转用组件报批、土地征收和农转用批前审查、林地征（占）用组件报批中的任意一项业绩。 2.提供合同关键页复印件（合同封面、工作内容、合同金额和付款方式、合同签字盖章签署页等）并加盖供应商公章。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详见附件：海口市2025-2026年国土空间用途管制相关技术服务合同.docx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HNSHB-20250306</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海口市2025-2026年国土空间用途管制相关技术服务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海口市2025-2026年国土空间用途管制相关技术服务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详见附件：其他资格条件承诺函</w:t>
      </w:r>
    </w:p>
    <w:p>
      <w:pPr>
        <w:pStyle w:val="null3"/>
        <w:ind w:firstLine="960"/>
        <w:jc w:val="left"/>
      </w:pPr>
      <w:r>
        <w:rPr>
          <w:rFonts w:ascii="仿宋_GB2312" w:hAnsi="仿宋_GB2312" w:cs="仿宋_GB2312" w:eastAsia="仿宋_GB2312"/>
        </w:rPr>
        <w:t>详见附件：竞争性磋商响应函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