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jc w:val="center"/>
        <w:outlineLvl w:val="1"/>
      </w:pPr>
      <w:bookmarkStart w:id="1" w:name="_GoBack"/>
      <w:bookmarkEnd w:id="1"/>
      <w:bookmarkStart w:id="0" w:name="_Toc28988"/>
      <w:r>
        <w:rPr>
          <w:rFonts w:ascii="仿宋_GB2312" w:hAnsi="仿宋_GB2312" w:eastAsia="仿宋_GB2312" w:cs="仿宋_GB2312"/>
          <w:b/>
          <w:sz w:val="36"/>
        </w:rPr>
        <w:t>政府采购合同</w:t>
      </w:r>
      <w:bookmarkEnd w:id="0"/>
    </w:p>
    <w:p>
      <w:pPr>
        <w:spacing w:line="480" w:lineRule="auto"/>
        <w:jc w:val="center"/>
        <w:rPr>
          <w:rFonts w:hint="default" w:eastAsia="宋体"/>
          <w:sz w:val="36"/>
          <w:szCs w:val="36"/>
          <w:lang w:val="en-US" w:eastAsia="zh-CN"/>
        </w:rPr>
      </w:pPr>
      <w:r>
        <w:rPr>
          <w:rFonts w:hint="eastAsia"/>
          <w:sz w:val="36"/>
          <w:szCs w:val="36"/>
          <w:lang w:val="en-US" w:eastAsia="zh-CN"/>
        </w:rPr>
        <w:t>参考格式</w:t>
      </w:r>
    </w:p>
    <w:p>
      <w:pPr>
        <w:spacing w:line="360" w:lineRule="auto"/>
        <w:ind w:firstLine="480" w:firstLineChars="200"/>
        <w:rPr>
          <w:rFonts w:hint="eastAsia" w:asciiTheme="minorEastAsia" w:hAnsiTheme="minorEastAsia" w:cstheme="minorEastAsia"/>
          <w:sz w:val="24"/>
          <w:szCs w:val="24"/>
        </w:rPr>
      </w:pPr>
      <w:r>
        <w:rPr>
          <w:rFonts w:hint="eastAsia" w:asciiTheme="minorEastAsia" w:hAnsiTheme="minorEastAsia" w:cstheme="minorEastAsia"/>
          <w:sz w:val="24"/>
          <w:szCs w:val="24"/>
        </w:rPr>
        <w:t>甲方（医疗卫生</w:t>
      </w:r>
      <w:r>
        <w:rPr>
          <w:rFonts w:hint="eastAsia" w:asciiTheme="minorEastAsia" w:hAnsiTheme="minorEastAsia" w:eastAsiaTheme="minorEastAsia" w:cstheme="minorEastAsia"/>
          <w:sz w:val="24"/>
          <w:szCs w:val="24"/>
        </w:rPr>
        <w:t>机构</w:t>
      </w:r>
      <w:r>
        <w:rPr>
          <w:rFonts w:hint="eastAsia" w:asciiTheme="minorEastAsia" w:hAnsiTheme="minorEastAsia" w:cstheme="minorEastAsia"/>
          <w:sz w:val="24"/>
          <w:szCs w:val="24"/>
        </w:rPr>
        <w:t>）：海口市人民医院</w:t>
      </w:r>
    </w:p>
    <w:p>
      <w:pPr>
        <w:spacing w:line="360" w:lineRule="auto"/>
        <w:ind w:firstLine="480" w:firstLineChars="200"/>
        <w:rPr>
          <w:rFonts w:hint="default"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rPr>
        <w:t>乙方（生产经营企业及其代理人）：</w:t>
      </w:r>
    </w:p>
    <w:p>
      <w:pPr>
        <w:spacing w:line="360" w:lineRule="auto"/>
        <w:ind w:firstLine="480" w:firstLineChars="200"/>
        <w:rPr>
          <w:rFonts w:hint="eastAsia" w:asciiTheme="minorEastAsia" w:hAnsiTheme="minorEastAsia" w:cstheme="minorEastAsia"/>
          <w:sz w:val="24"/>
          <w:szCs w:val="24"/>
        </w:rPr>
      </w:pPr>
      <w:r>
        <w:rPr>
          <w:rFonts w:hint="eastAsia" w:asciiTheme="minorEastAsia" w:hAnsiTheme="minorEastAsia" w:cstheme="minorEastAsia"/>
          <w:sz w:val="24"/>
          <w:szCs w:val="24"/>
        </w:rPr>
        <w:t>本着以病人为中心，以医疗发展为方向的原则，进一步加强医用耗材、试剂的购销管理，严格执行采购程序，规范供销渠道，确保产品质量，保证临床医疗安全。甲乙双方根据</w:t>
      </w:r>
      <w:r>
        <w:rPr>
          <w:rFonts w:hint="eastAsia" w:asciiTheme="minorEastAsia" w:hAnsiTheme="minorEastAsia" w:cstheme="minorEastAsia"/>
          <w:sz w:val="24"/>
          <w:szCs w:val="24"/>
          <w:lang w:eastAsia="zh-CN"/>
        </w:rPr>
        <w:t>《中华人民共和国民法典》及</w:t>
      </w:r>
      <w:r>
        <w:rPr>
          <w:rFonts w:hint="eastAsia" w:asciiTheme="minorEastAsia" w:hAnsiTheme="minorEastAsia" w:cstheme="minorEastAsia"/>
          <w:sz w:val="24"/>
          <w:szCs w:val="24"/>
        </w:rPr>
        <w:t>相关</w:t>
      </w:r>
      <w:r>
        <w:rPr>
          <w:rFonts w:hint="eastAsia" w:asciiTheme="minorEastAsia" w:hAnsiTheme="minorEastAsia" w:cstheme="minorEastAsia"/>
          <w:sz w:val="24"/>
          <w:szCs w:val="24"/>
          <w:lang w:eastAsia="zh-CN"/>
        </w:rPr>
        <w:t>法律法规</w:t>
      </w:r>
      <w:r>
        <w:rPr>
          <w:rFonts w:hint="eastAsia" w:asciiTheme="minorEastAsia" w:hAnsiTheme="minorEastAsia" w:cstheme="minorEastAsia"/>
          <w:sz w:val="24"/>
          <w:szCs w:val="24"/>
        </w:rPr>
        <w:t>，在平等、互信的基础上，经双方协商，一致达成如下</w:t>
      </w:r>
      <w:r>
        <w:rPr>
          <w:rFonts w:hint="eastAsia" w:asciiTheme="minorEastAsia" w:hAnsiTheme="minorEastAsia" w:cstheme="minorEastAsia"/>
          <w:sz w:val="24"/>
          <w:szCs w:val="24"/>
          <w:lang w:val="en-US" w:eastAsia="zh-CN"/>
        </w:rPr>
        <w:t>条款</w:t>
      </w:r>
      <w:r>
        <w:rPr>
          <w:rFonts w:hint="eastAsia" w:asciiTheme="minorEastAsia" w:hAnsiTheme="minorEastAsia" w:cstheme="minorEastAsia"/>
          <w:sz w:val="24"/>
          <w:szCs w:val="24"/>
        </w:rPr>
        <w:t>：</w:t>
      </w:r>
    </w:p>
    <w:p>
      <w:pPr>
        <w:spacing w:line="360" w:lineRule="auto"/>
        <w:ind w:firstLine="480" w:firstLineChars="200"/>
        <w:rPr>
          <w:rFonts w:hint="eastAsia" w:asciiTheme="minorEastAsia" w:hAnsiTheme="minorEastAsia" w:cstheme="minorEastAsia"/>
          <w:sz w:val="24"/>
          <w:szCs w:val="24"/>
        </w:rPr>
      </w:pPr>
      <w:r>
        <w:rPr>
          <w:rFonts w:hint="eastAsia" w:asciiTheme="minorEastAsia" w:hAnsiTheme="minorEastAsia" w:cstheme="minorEastAsia"/>
          <w:sz w:val="24"/>
          <w:szCs w:val="24"/>
        </w:rPr>
        <w:t>一、乙方所提供的医用耗材必须符合国家医用耗材质量标准，并向甲方提供乙方的企业法人营业执照、法人授权、法人及被授权人身份证、医疗器械经营许可证以及代理厂家的企业法人营业执照、医疗器械生产企业许可证、产品注册证、厂家授权和代理商间逐级授权书、营业执照等相关证件作为本合同附件，附件与本合同具有同等法律效力。</w:t>
      </w:r>
    </w:p>
    <w:p>
      <w:pPr>
        <w:spacing w:line="360" w:lineRule="auto"/>
        <w:ind w:firstLine="480" w:firstLineChars="200"/>
        <w:rPr>
          <w:rFonts w:hint="eastAsia" w:asciiTheme="minorEastAsia" w:hAnsiTheme="minorEastAsia" w:cstheme="minorEastAsia"/>
          <w:sz w:val="24"/>
          <w:szCs w:val="24"/>
        </w:rPr>
      </w:pPr>
      <w:r>
        <w:rPr>
          <w:rFonts w:hint="eastAsia" w:asciiTheme="minorEastAsia" w:hAnsiTheme="minorEastAsia" w:cstheme="minorEastAsia"/>
          <w:sz w:val="24"/>
          <w:szCs w:val="24"/>
        </w:rPr>
        <w:t>二、在合同有效期内，乙方提供的耗材价格不得高于挂网价，有相关政府文件出台新价格的，实行就低不就高原则，采用合同价格与文件规定价格中的低价执行采购。</w:t>
      </w:r>
    </w:p>
    <w:p>
      <w:pPr>
        <w:spacing w:line="360" w:lineRule="auto"/>
        <w:ind w:firstLine="480" w:firstLineChars="200"/>
        <w:rPr>
          <w:rFonts w:hint="eastAsia" w:asciiTheme="minorEastAsia" w:hAnsiTheme="minorEastAsia" w:cstheme="minorEastAsia"/>
          <w:sz w:val="24"/>
          <w:szCs w:val="24"/>
        </w:rPr>
      </w:pPr>
      <w:r>
        <w:rPr>
          <w:rFonts w:hint="eastAsia" w:asciiTheme="minorEastAsia" w:hAnsiTheme="minorEastAsia" w:cstheme="minorEastAsia"/>
          <w:sz w:val="24"/>
          <w:szCs w:val="24"/>
        </w:rPr>
        <w:t>三、甲方有对本合同内包含的单个或者所有产品进行再次议价权利。</w:t>
      </w:r>
    </w:p>
    <w:p>
      <w:pPr>
        <w:spacing w:line="360" w:lineRule="auto"/>
        <w:ind w:firstLine="480" w:firstLineChars="200"/>
        <w:rPr>
          <w:rFonts w:hint="eastAsia" w:asciiTheme="minorEastAsia" w:hAnsiTheme="minorEastAsia" w:cstheme="minorEastAsia"/>
          <w:sz w:val="24"/>
          <w:szCs w:val="24"/>
        </w:rPr>
      </w:pPr>
      <w:r>
        <w:rPr>
          <w:rFonts w:hint="eastAsia" w:asciiTheme="minorEastAsia" w:hAnsiTheme="minorEastAsia" w:cstheme="minorEastAsia"/>
          <w:sz w:val="24"/>
          <w:szCs w:val="24"/>
        </w:rPr>
        <w:t>四、乙方所提供产品必须按照甲方需求为准，可能涉及本合同里面的全部或部分产品，乙方提供相关产品及服务时必须服从甲方整体安排，并在甲方规定时间内提供产品，如有特殊情况需向甲方说明并征得甲方同意。</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cstheme="minorEastAsia"/>
          <w:sz w:val="24"/>
          <w:szCs w:val="24"/>
        </w:rPr>
      </w:pPr>
      <w:r>
        <w:rPr>
          <w:rFonts w:hint="eastAsia" w:asciiTheme="minorEastAsia" w:hAnsiTheme="minorEastAsia" w:cstheme="minorEastAsia"/>
          <w:sz w:val="24"/>
          <w:szCs w:val="24"/>
        </w:rPr>
        <w:t>1.交货时间：甲方向乙方下采购订单之日起，</w:t>
      </w:r>
      <w:r>
        <w:rPr>
          <w:rFonts w:hint="eastAsia" w:asciiTheme="minorEastAsia" w:hAnsiTheme="minorEastAsia" w:cstheme="minorEastAsia"/>
          <w:sz w:val="24"/>
          <w:szCs w:val="24"/>
          <w:lang w:val="en-US" w:eastAsia="zh-CN"/>
        </w:rPr>
        <w:t>乙方应</w:t>
      </w:r>
      <w:r>
        <w:rPr>
          <w:rFonts w:hint="eastAsia" w:asciiTheme="minorEastAsia" w:hAnsiTheme="minorEastAsia" w:cstheme="minorEastAsia"/>
          <w:sz w:val="24"/>
          <w:szCs w:val="24"/>
        </w:rPr>
        <w:t>在</w:t>
      </w:r>
      <w:r>
        <w:rPr>
          <w:rFonts w:hint="eastAsia" w:asciiTheme="minorEastAsia" w:hAnsiTheme="minorEastAsia" w:cstheme="minorEastAsia"/>
          <w:sz w:val="24"/>
          <w:szCs w:val="24"/>
          <w:lang w:val="en-US" w:eastAsia="zh-CN"/>
        </w:rPr>
        <w:t xml:space="preserve"> </w:t>
      </w:r>
      <w:r>
        <w:rPr>
          <w:rFonts w:hint="eastAsia" w:asciiTheme="minorEastAsia" w:hAnsiTheme="minorEastAsia" w:cstheme="minorEastAsia"/>
          <w:sz w:val="24"/>
          <w:szCs w:val="24"/>
        </w:rPr>
        <w:t>20 个工作日内完成供货。</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cstheme="minorEastAsia"/>
          <w:sz w:val="24"/>
          <w:szCs w:val="24"/>
        </w:rPr>
      </w:pPr>
      <w:r>
        <w:rPr>
          <w:rFonts w:hint="eastAsia" w:asciiTheme="minorEastAsia" w:hAnsiTheme="minorEastAsia" w:cstheme="minorEastAsia"/>
          <w:sz w:val="24"/>
          <w:szCs w:val="24"/>
        </w:rPr>
        <w:t xml:space="preserve">2.交货地点：海南省海口市人民大道 43 号 海口市人民医院综合保障楼 11 栋 </w:t>
      </w:r>
      <w:r>
        <w:rPr>
          <w:rFonts w:hint="eastAsia" w:asciiTheme="minorEastAsia" w:hAnsiTheme="minorEastAsia" w:cstheme="minorEastAsia"/>
          <w:sz w:val="24"/>
          <w:szCs w:val="24"/>
          <w:lang w:val="en-US" w:eastAsia="zh-CN"/>
        </w:rPr>
        <w:t>B</w:t>
      </w:r>
      <w:r>
        <w:rPr>
          <w:rFonts w:hint="eastAsia" w:asciiTheme="minorEastAsia" w:hAnsiTheme="minorEastAsia" w:cstheme="minorEastAsia"/>
          <w:sz w:val="24"/>
          <w:szCs w:val="24"/>
        </w:rPr>
        <w:t>座智慧仓库。</w:t>
      </w:r>
    </w:p>
    <w:p>
      <w:pPr>
        <w:spacing w:line="360" w:lineRule="auto"/>
        <w:ind w:firstLine="480" w:firstLineChars="200"/>
        <w:rPr>
          <w:rFonts w:hint="eastAsia" w:asciiTheme="minorEastAsia" w:hAnsiTheme="minorEastAsia" w:cstheme="minorEastAsia"/>
          <w:sz w:val="24"/>
          <w:szCs w:val="24"/>
        </w:rPr>
      </w:pPr>
      <w:r>
        <w:rPr>
          <w:rFonts w:hint="eastAsia" w:asciiTheme="minorEastAsia" w:hAnsiTheme="minorEastAsia" w:cstheme="minorEastAsia"/>
          <w:sz w:val="24"/>
          <w:szCs w:val="24"/>
        </w:rPr>
        <w:t>五、如果甲方提出终止乙方供货必须提前</w:t>
      </w:r>
      <w:r>
        <w:rPr>
          <w:rFonts w:hint="eastAsia" w:asciiTheme="minorEastAsia" w:hAnsiTheme="minorEastAsia" w:cstheme="minorEastAsia"/>
          <w:sz w:val="24"/>
          <w:szCs w:val="24"/>
          <w:lang w:val="en-US" w:eastAsia="zh-CN"/>
        </w:rPr>
        <w:t>15</w:t>
      </w:r>
      <w:r>
        <w:rPr>
          <w:rFonts w:hint="eastAsia" w:asciiTheme="minorEastAsia" w:hAnsiTheme="minorEastAsia" w:cstheme="minorEastAsia"/>
          <w:sz w:val="24"/>
          <w:szCs w:val="24"/>
        </w:rPr>
        <w:t>个工作日以书面形式通知乙方，同样</w:t>
      </w:r>
      <w:r>
        <w:rPr>
          <w:rFonts w:hint="eastAsia" w:asciiTheme="minorEastAsia" w:hAnsiTheme="minorEastAsia" w:cstheme="minorEastAsia"/>
          <w:sz w:val="24"/>
          <w:szCs w:val="24"/>
          <w:lang w:eastAsia="zh-CN"/>
        </w:rPr>
        <w:t>，</w:t>
      </w:r>
      <w:r>
        <w:rPr>
          <w:rFonts w:hint="eastAsia" w:asciiTheme="minorEastAsia" w:hAnsiTheme="minorEastAsia" w:cstheme="minorEastAsia"/>
          <w:sz w:val="24"/>
          <w:szCs w:val="24"/>
        </w:rPr>
        <w:t>如是乙方停止向甲方供货也必须提前</w:t>
      </w:r>
      <w:r>
        <w:rPr>
          <w:rFonts w:hint="eastAsia" w:asciiTheme="minorEastAsia" w:hAnsiTheme="minorEastAsia" w:cstheme="minorEastAsia"/>
          <w:sz w:val="24"/>
          <w:szCs w:val="24"/>
          <w:lang w:val="en-US" w:eastAsia="zh-CN"/>
        </w:rPr>
        <w:t>15</w:t>
      </w:r>
      <w:r>
        <w:rPr>
          <w:rFonts w:hint="eastAsia" w:asciiTheme="minorEastAsia" w:hAnsiTheme="minorEastAsia" w:cstheme="minorEastAsia"/>
          <w:sz w:val="24"/>
          <w:szCs w:val="24"/>
        </w:rPr>
        <w:t>个工作日以书面形式通知甲方</w:t>
      </w:r>
      <w:r>
        <w:rPr>
          <w:rFonts w:hint="eastAsia" w:asciiTheme="minorEastAsia" w:hAnsiTheme="minorEastAsia" w:cstheme="minorEastAsia"/>
          <w:sz w:val="24"/>
          <w:szCs w:val="24"/>
          <w:lang w:eastAsia="zh-CN"/>
        </w:rPr>
        <w:t>，</w:t>
      </w:r>
      <w:r>
        <w:rPr>
          <w:rFonts w:hint="eastAsia" w:asciiTheme="minorEastAsia" w:hAnsiTheme="minorEastAsia" w:cstheme="minorEastAsia"/>
          <w:sz w:val="24"/>
          <w:szCs w:val="24"/>
        </w:rPr>
        <w:t>但是乙方所供应的耗材为专机专用耗材时，不允许乙方</w:t>
      </w:r>
      <w:r>
        <w:rPr>
          <w:rFonts w:hint="eastAsia" w:asciiTheme="minorEastAsia" w:hAnsiTheme="minorEastAsia" w:cstheme="minorEastAsia"/>
          <w:sz w:val="24"/>
          <w:szCs w:val="24"/>
          <w:lang w:eastAsia="zh-CN"/>
        </w:rPr>
        <w:t>单方面</w:t>
      </w:r>
      <w:r>
        <w:rPr>
          <w:rFonts w:hint="eastAsia" w:asciiTheme="minorEastAsia" w:hAnsiTheme="minorEastAsia" w:cstheme="minorEastAsia"/>
          <w:sz w:val="24"/>
          <w:szCs w:val="24"/>
        </w:rPr>
        <w:t>停止供应或私自涨价。</w:t>
      </w:r>
    </w:p>
    <w:p>
      <w:pPr>
        <w:spacing w:line="360" w:lineRule="auto"/>
        <w:ind w:firstLine="480" w:firstLineChars="200"/>
        <w:rPr>
          <w:rFonts w:hint="eastAsia" w:asciiTheme="minorEastAsia" w:hAnsiTheme="minorEastAsia" w:cstheme="minorEastAsia"/>
          <w:sz w:val="24"/>
          <w:szCs w:val="24"/>
        </w:rPr>
      </w:pPr>
      <w:r>
        <w:rPr>
          <w:rFonts w:hint="eastAsia" w:asciiTheme="minorEastAsia" w:hAnsiTheme="minorEastAsia" w:cstheme="minorEastAsia"/>
          <w:sz w:val="24"/>
          <w:szCs w:val="24"/>
        </w:rPr>
        <w:t xml:space="preserve">六、对产品在使用过程中有效期限内出现的因质量安全问题而导致的事故、不良事件、医疗纠纷，乙方承担一切经济与法律责任。 </w:t>
      </w:r>
    </w:p>
    <w:p>
      <w:pPr>
        <w:spacing w:line="360" w:lineRule="auto"/>
        <w:ind w:firstLine="480" w:firstLineChars="200"/>
        <w:rPr>
          <w:rFonts w:hint="eastAsia" w:asciiTheme="minorEastAsia" w:hAnsiTheme="minorEastAsia" w:cstheme="minorEastAsia"/>
          <w:sz w:val="24"/>
          <w:szCs w:val="24"/>
        </w:rPr>
      </w:pPr>
      <w:r>
        <w:rPr>
          <w:rFonts w:hint="eastAsia" w:asciiTheme="minorEastAsia" w:hAnsiTheme="minorEastAsia" w:cstheme="minorEastAsia"/>
          <w:sz w:val="24"/>
          <w:szCs w:val="24"/>
        </w:rPr>
        <w:t>七、本</w:t>
      </w:r>
      <w:r>
        <w:rPr>
          <w:rFonts w:hint="eastAsia" w:asciiTheme="minorEastAsia" w:hAnsiTheme="minorEastAsia" w:cstheme="minorEastAsia"/>
          <w:sz w:val="24"/>
          <w:szCs w:val="24"/>
          <w:lang w:val="en-US" w:eastAsia="zh-CN"/>
        </w:rPr>
        <w:t>合同</w:t>
      </w:r>
      <w:r>
        <w:rPr>
          <w:rFonts w:hint="eastAsia" w:asciiTheme="minorEastAsia" w:hAnsiTheme="minorEastAsia" w:cstheme="minorEastAsia"/>
          <w:sz w:val="24"/>
          <w:szCs w:val="24"/>
        </w:rPr>
        <w:t>只明确产品品牌，规格型号及单价等产品信息，数量是由甲方在合同有效期内有需求再向乙方下采购订单，乙方根据甲方需求量按本</w:t>
      </w:r>
      <w:r>
        <w:rPr>
          <w:rFonts w:hint="eastAsia" w:asciiTheme="minorEastAsia" w:hAnsiTheme="minorEastAsia" w:cstheme="minorEastAsia"/>
          <w:sz w:val="24"/>
          <w:szCs w:val="24"/>
          <w:lang w:val="en-US" w:eastAsia="zh-CN"/>
        </w:rPr>
        <w:t>合同</w:t>
      </w:r>
      <w:r>
        <w:rPr>
          <w:rFonts w:hint="eastAsia" w:asciiTheme="minorEastAsia" w:hAnsiTheme="minorEastAsia" w:cstheme="minorEastAsia"/>
          <w:sz w:val="24"/>
          <w:szCs w:val="24"/>
        </w:rPr>
        <w:t>履行配送，并开具发票单独结算。</w:t>
      </w:r>
    </w:p>
    <w:p>
      <w:pPr>
        <w:spacing w:line="360" w:lineRule="auto"/>
        <w:ind w:firstLine="480" w:firstLineChars="200"/>
        <w:rPr>
          <w:rFonts w:hint="eastAsia" w:asciiTheme="minorEastAsia" w:hAnsiTheme="minorEastAsia" w:cstheme="minorEastAsia"/>
          <w:sz w:val="24"/>
          <w:szCs w:val="24"/>
        </w:rPr>
      </w:pPr>
      <w:r>
        <w:rPr>
          <w:rFonts w:hint="eastAsia" w:asciiTheme="minorEastAsia" w:hAnsiTheme="minorEastAsia" w:cstheme="minorEastAsia"/>
          <w:sz w:val="24"/>
          <w:szCs w:val="24"/>
        </w:rPr>
        <w:t>八、付款方式：</w:t>
      </w:r>
    </w:p>
    <w:p>
      <w:pPr>
        <w:spacing w:line="360" w:lineRule="auto"/>
        <w:ind w:firstLine="480" w:firstLineChars="200"/>
        <w:rPr>
          <w:rFonts w:hint="eastAsia" w:asciiTheme="minorEastAsia" w:hAnsiTheme="minorEastAsia" w:cstheme="minorEastAsia"/>
          <w:sz w:val="24"/>
          <w:szCs w:val="24"/>
        </w:rPr>
      </w:pPr>
      <w:r>
        <w:rPr>
          <w:rFonts w:hint="eastAsia" w:asciiTheme="minorEastAsia" w:hAnsiTheme="minorEastAsia" w:cstheme="minorEastAsia"/>
          <w:sz w:val="24"/>
          <w:szCs w:val="24"/>
        </w:rPr>
        <w:t>1.甲方在收到乙方发票之日起13个月后向乙方付清货款,如医保有相关规定，则按医保规定执行。</w:t>
      </w:r>
    </w:p>
    <w:p>
      <w:pPr>
        <w:spacing w:line="360" w:lineRule="auto"/>
        <w:ind w:firstLine="480" w:firstLineChars="200"/>
        <w:rPr>
          <w:rFonts w:hint="eastAsia" w:asciiTheme="minorEastAsia" w:hAnsiTheme="minorEastAsia" w:cstheme="minorEastAsia"/>
          <w:sz w:val="24"/>
          <w:szCs w:val="24"/>
        </w:rPr>
      </w:pPr>
      <w:r>
        <w:rPr>
          <w:rFonts w:hint="eastAsia" w:asciiTheme="minorEastAsia" w:hAnsiTheme="minorEastAsia" w:cstheme="minorEastAsia"/>
          <w:sz w:val="24"/>
          <w:szCs w:val="24"/>
        </w:rPr>
        <w:t>2.甲方每次付款前，乙方需向甲方提供等额有效的发票，如因乙方提供的发票有误导致甲方损失的，乙方应予以赔偿。如因乙方逾期提供发票导致甲方逾期付款的，由乙方承担逾期责任。</w:t>
      </w:r>
    </w:p>
    <w:p>
      <w:pPr>
        <w:spacing w:line="360" w:lineRule="auto"/>
        <w:ind w:firstLine="480" w:firstLineChars="200"/>
        <w:rPr>
          <w:rFonts w:hint="eastAsia" w:asciiTheme="minorEastAsia" w:hAnsiTheme="minorEastAsia" w:cstheme="minorEastAsia"/>
          <w:sz w:val="24"/>
          <w:szCs w:val="24"/>
        </w:rPr>
      </w:pPr>
      <w:r>
        <w:rPr>
          <w:rFonts w:hint="eastAsia" w:asciiTheme="minorEastAsia" w:hAnsiTheme="minorEastAsia" w:cstheme="minorEastAsia"/>
          <w:sz w:val="24"/>
          <w:szCs w:val="24"/>
        </w:rPr>
        <w:t>3.甲方按照乙方提供的银行账号转账完成即视为付款完成。乙方应确保本合同中指定的收款账户信息正确无误，否则导致甲方无法办理转账付款手续或转账有误等的一切责任均由乙方自行承担。</w:t>
      </w:r>
    </w:p>
    <w:p>
      <w:pPr>
        <w:pStyle w:val="2"/>
        <w:spacing w:before="79" w:line="219" w:lineRule="auto"/>
        <w:ind w:left="75"/>
        <w:rPr>
          <w:rFonts w:hint="default" w:eastAsia="宋体"/>
          <w:lang w:val="en-US" w:eastAsia="zh-CN"/>
        </w:rPr>
      </w:pPr>
      <w:r>
        <w:rPr>
          <w:spacing w:val="-9"/>
        </w:rPr>
        <w:t>乙方账户信息：</w:t>
      </w:r>
    </w:p>
    <w:p>
      <w:pPr>
        <w:pStyle w:val="2"/>
        <w:spacing w:before="179" w:line="219" w:lineRule="auto"/>
        <w:rPr>
          <w:rFonts w:hint="eastAsia"/>
          <w:b/>
          <w:bCs/>
          <w:spacing w:val="-7"/>
          <w:lang w:eastAsia="zh-CN"/>
        </w:rPr>
      </w:pPr>
      <w:r>
        <w:rPr>
          <w:rFonts w:hint="eastAsia"/>
          <w:b/>
          <w:bCs/>
          <w:spacing w:val="-7"/>
        </w:rPr>
        <w:t>开户名称：</w:t>
      </w:r>
    </w:p>
    <w:p>
      <w:pPr>
        <w:pStyle w:val="2"/>
        <w:spacing w:before="179" w:line="219" w:lineRule="auto"/>
        <w:ind w:left="43"/>
        <w:rPr>
          <w:rFonts w:hint="eastAsia"/>
          <w:b/>
          <w:bCs/>
          <w:spacing w:val="-7"/>
          <w:lang w:val="en-US" w:eastAsia="zh-CN"/>
        </w:rPr>
      </w:pPr>
      <w:r>
        <w:rPr>
          <w:rFonts w:hint="eastAsia"/>
          <w:b/>
          <w:bCs/>
          <w:spacing w:val="-7"/>
        </w:rPr>
        <w:t>开户银行：</w:t>
      </w:r>
    </w:p>
    <w:p>
      <w:pPr>
        <w:pStyle w:val="2"/>
        <w:spacing w:before="179" w:line="219" w:lineRule="auto"/>
        <w:ind w:left="43"/>
        <w:rPr>
          <w:rFonts w:hint="default" w:eastAsia="宋体"/>
          <w:b/>
          <w:bCs/>
          <w:spacing w:val="-7"/>
          <w:lang w:val="en-US" w:eastAsia="zh-CN"/>
        </w:rPr>
      </w:pPr>
      <w:r>
        <w:rPr>
          <w:rFonts w:hint="eastAsia"/>
          <w:b/>
          <w:bCs/>
          <w:spacing w:val="-7"/>
        </w:rPr>
        <w:t>账    号：</w:t>
      </w:r>
    </w:p>
    <w:p>
      <w:pPr>
        <w:spacing w:line="360" w:lineRule="auto"/>
        <w:ind w:firstLine="480" w:firstLineChars="200"/>
        <w:rPr>
          <w:rFonts w:hint="eastAsia" w:asciiTheme="minorEastAsia" w:hAnsiTheme="minorEastAsia" w:cstheme="minorEastAsia"/>
          <w:sz w:val="24"/>
          <w:szCs w:val="24"/>
        </w:rPr>
      </w:pPr>
      <w:r>
        <w:rPr>
          <w:rFonts w:hint="eastAsia" w:asciiTheme="minorEastAsia" w:hAnsiTheme="minorEastAsia" w:cstheme="minorEastAsia"/>
          <w:sz w:val="24"/>
          <w:szCs w:val="24"/>
        </w:rPr>
        <w:t>九、不可抗力：</w:t>
      </w:r>
    </w:p>
    <w:p>
      <w:pPr>
        <w:spacing w:line="360" w:lineRule="auto"/>
        <w:ind w:firstLine="480" w:firstLineChars="200"/>
        <w:rPr>
          <w:rFonts w:hint="eastAsia" w:asciiTheme="minorEastAsia" w:hAnsiTheme="minorEastAsia" w:cstheme="minorEastAsia"/>
          <w:sz w:val="24"/>
          <w:szCs w:val="24"/>
        </w:rPr>
      </w:pPr>
      <w:r>
        <w:rPr>
          <w:rFonts w:hint="eastAsia" w:asciiTheme="minorEastAsia" w:hAnsiTheme="minorEastAsia" w:cstheme="minorEastAsia"/>
          <w:sz w:val="24"/>
          <w:szCs w:val="24"/>
        </w:rPr>
        <w:t>1.不可抗力事件发生后，乙方应尽快以书面形式将不可抗力的情况和原因通知甲方。由于乙方未及时书面通知甲方或未采取防止损失扩大的措施所造成的损失，由乙方承担。待不可抗力时间消除后，乙方应在合理时间内恢复履行合同责任。</w:t>
      </w:r>
    </w:p>
    <w:p>
      <w:pPr>
        <w:spacing w:line="360" w:lineRule="auto"/>
        <w:ind w:firstLine="480" w:firstLineChars="200"/>
        <w:rPr>
          <w:rFonts w:hint="eastAsia" w:asciiTheme="minorEastAsia" w:hAnsiTheme="minorEastAsia" w:cstheme="minorEastAsia"/>
          <w:sz w:val="24"/>
          <w:szCs w:val="24"/>
        </w:rPr>
      </w:pPr>
      <w:r>
        <w:rPr>
          <w:rFonts w:hint="eastAsia" w:asciiTheme="minorEastAsia" w:hAnsiTheme="minorEastAsia" w:cstheme="minorEastAsia"/>
          <w:sz w:val="24"/>
          <w:szCs w:val="24"/>
        </w:rPr>
        <w:t>2.本条所述的“不可抗力”系指乙方无法控制，不可预见的事件，比如战争、严重火灾、洪水、台风、地震等。</w:t>
      </w:r>
    </w:p>
    <w:p>
      <w:pPr>
        <w:spacing w:line="360" w:lineRule="auto"/>
        <w:ind w:firstLine="480" w:firstLineChars="200"/>
        <w:rPr>
          <w:rFonts w:hint="eastAsia" w:asciiTheme="minorEastAsia" w:hAnsiTheme="minorEastAsia" w:cstheme="minorEastAsia"/>
          <w:sz w:val="24"/>
          <w:szCs w:val="24"/>
        </w:rPr>
      </w:pPr>
      <w:r>
        <w:rPr>
          <w:rFonts w:hint="eastAsia" w:asciiTheme="minorEastAsia" w:hAnsiTheme="minorEastAsia" w:cstheme="minorEastAsia"/>
          <w:sz w:val="24"/>
          <w:szCs w:val="24"/>
        </w:rPr>
        <w:t>十、卫生材料产品名称、型号规格、单位、品牌及价格（本表格可作为附件附在合同后）</w:t>
      </w:r>
    </w:p>
    <w:tbl>
      <w:tblPr>
        <w:tblStyle w:val="5"/>
        <w:tblW w:w="9736" w:type="dxa"/>
        <w:tblInd w:w="-88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
        <w:gridCol w:w="1283"/>
        <w:gridCol w:w="1267"/>
        <w:gridCol w:w="966"/>
        <w:gridCol w:w="1634"/>
        <w:gridCol w:w="550"/>
        <w:gridCol w:w="1466"/>
        <w:gridCol w:w="1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0" w:hRule="atLeast"/>
        </w:trPr>
        <w:tc>
          <w:tcPr>
            <w:tcW w:w="850" w:type="dxa"/>
            <w:vAlign w:val="center"/>
          </w:tcPr>
          <w:p>
            <w:pPr>
              <w:spacing w:line="480" w:lineRule="auto"/>
              <w:jc w:val="center"/>
              <w:rPr>
                <w:sz w:val="21"/>
                <w:szCs w:val="21"/>
              </w:rPr>
            </w:pPr>
            <w:r>
              <w:rPr>
                <w:rFonts w:hint="eastAsia"/>
                <w:b/>
                <w:sz w:val="21"/>
                <w:szCs w:val="21"/>
              </w:rPr>
              <w:t>序号</w:t>
            </w:r>
          </w:p>
        </w:tc>
        <w:tc>
          <w:tcPr>
            <w:tcW w:w="1283" w:type="dxa"/>
            <w:vAlign w:val="center"/>
          </w:tcPr>
          <w:p>
            <w:pPr>
              <w:spacing w:line="480" w:lineRule="auto"/>
              <w:jc w:val="center"/>
              <w:rPr>
                <w:b/>
                <w:sz w:val="21"/>
                <w:szCs w:val="21"/>
              </w:rPr>
            </w:pPr>
            <w:r>
              <w:rPr>
                <w:rFonts w:hint="eastAsia"/>
                <w:b/>
                <w:sz w:val="21"/>
                <w:szCs w:val="21"/>
              </w:rPr>
              <w:t>卫材名称</w:t>
            </w:r>
          </w:p>
        </w:tc>
        <w:tc>
          <w:tcPr>
            <w:tcW w:w="1267" w:type="dxa"/>
            <w:vAlign w:val="center"/>
          </w:tcPr>
          <w:p>
            <w:pPr>
              <w:spacing w:line="480" w:lineRule="auto"/>
              <w:jc w:val="center"/>
              <w:rPr>
                <w:b/>
                <w:sz w:val="21"/>
                <w:szCs w:val="21"/>
              </w:rPr>
            </w:pPr>
            <w:r>
              <w:rPr>
                <w:rFonts w:hint="eastAsia"/>
                <w:b/>
                <w:sz w:val="21"/>
                <w:szCs w:val="21"/>
              </w:rPr>
              <w:t>规格</w:t>
            </w:r>
          </w:p>
        </w:tc>
        <w:tc>
          <w:tcPr>
            <w:tcW w:w="966" w:type="dxa"/>
            <w:vAlign w:val="center"/>
          </w:tcPr>
          <w:p>
            <w:pPr>
              <w:spacing w:line="480" w:lineRule="auto"/>
              <w:jc w:val="center"/>
              <w:rPr>
                <w:rFonts w:hint="eastAsia"/>
                <w:b/>
                <w:sz w:val="21"/>
                <w:szCs w:val="21"/>
              </w:rPr>
            </w:pPr>
            <w:r>
              <w:rPr>
                <w:rFonts w:hint="eastAsia"/>
                <w:b/>
                <w:sz w:val="21"/>
                <w:szCs w:val="21"/>
              </w:rPr>
              <w:t>型号</w:t>
            </w:r>
          </w:p>
        </w:tc>
        <w:tc>
          <w:tcPr>
            <w:tcW w:w="1634" w:type="dxa"/>
            <w:vAlign w:val="center"/>
          </w:tcPr>
          <w:p>
            <w:pPr>
              <w:spacing w:line="480" w:lineRule="auto"/>
              <w:jc w:val="center"/>
              <w:rPr>
                <w:b/>
                <w:sz w:val="21"/>
                <w:szCs w:val="21"/>
              </w:rPr>
            </w:pPr>
            <w:r>
              <w:rPr>
                <w:rFonts w:hint="eastAsia"/>
                <w:b/>
                <w:sz w:val="21"/>
                <w:szCs w:val="21"/>
              </w:rPr>
              <w:t>生产厂家</w:t>
            </w:r>
          </w:p>
        </w:tc>
        <w:tc>
          <w:tcPr>
            <w:tcW w:w="550" w:type="dxa"/>
            <w:vAlign w:val="center"/>
          </w:tcPr>
          <w:p>
            <w:pPr>
              <w:spacing w:line="480" w:lineRule="auto"/>
              <w:jc w:val="center"/>
              <w:rPr>
                <w:b/>
                <w:sz w:val="21"/>
                <w:szCs w:val="21"/>
              </w:rPr>
            </w:pPr>
            <w:r>
              <w:rPr>
                <w:rFonts w:hint="eastAsia"/>
                <w:b/>
                <w:sz w:val="21"/>
                <w:szCs w:val="21"/>
              </w:rPr>
              <w:t>单位</w:t>
            </w:r>
          </w:p>
        </w:tc>
        <w:tc>
          <w:tcPr>
            <w:tcW w:w="1466" w:type="dxa"/>
            <w:vAlign w:val="center"/>
          </w:tcPr>
          <w:p>
            <w:pPr>
              <w:spacing w:line="480" w:lineRule="auto"/>
              <w:jc w:val="center"/>
              <w:rPr>
                <w:rFonts w:hint="eastAsia"/>
                <w:b/>
                <w:sz w:val="21"/>
                <w:szCs w:val="21"/>
              </w:rPr>
            </w:pPr>
            <w:r>
              <w:rPr>
                <w:rFonts w:hint="eastAsia"/>
                <w:b/>
                <w:sz w:val="21"/>
                <w:szCs w:val="21"/>
              </w:rPr>
              <w:t>单价（元）</w:t>
            </w:r>
          </w:p>
          <w:p>
            <w:pPr>
              <w:spacing w:line="480" w:lineRule="auto"/>
              <w:jc w:val="center"/>
              <w:rPr>
                <w:rFonts w:hint="eastAsia" w:eastAsiaTheme="minorEastAsia"/>
                <w:b/>
                <w:sz w:val="21"/>
                <w:szCs w:val="21"/>
                <w:lang w:eastAsia="zh-CN"/>
              </w:rPr>
            </w:pPr>
            <w:r>
              <w:rPr>
                <w:rFonts w:hint="eastAsia"/>
                <w:b/>
                <w:sz w:val="21"/>
                <w:szCs w:val="21"/>
                <w:lang w:eastAsia="zh-CN"/>
              </w:rPr>
              <w:t>（含税价）</w:t>
            </w:r>
          </w:p>
        </w:tc>
        <w:tc>
          <w:tcPr>
            <w:tcW w:w="1720" w:type="dxa"/>
            <w:vAlign w:val="center"/>
          </w:tcPr>
          <w:p>
            <w:pPr>
              <w:spacing w:line="480" w:lineRule="auto"/>
              <w:jc w:val="center"/>
              <w:rPr>
                <w:b/>
                <w:sz w:val="21"/>
                <w:szCs w:val="21"/>
              </w:rPr>
            </w:pPr>
            <w:r>
              <w:rPr>
                <w:rFonts w:hint="eastAsia"/>
                <w:b/>
                <w:sz w:val="21"/>
                <w:szCs w:val="21"/>
              </w:rPr>
              <w:t>注册证编号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4" w:hRule="atLeast"/>
        </w:trPr>
        <w:tc>
          <w:tcPr>
            <w:tcW w:w="850" w:type="dxa"/>
            <w:vAlign w:val="center"/>
          </w:tcPr>
          <w:p>
            <w:pPr>
              <w:keepNext w:val="0"/>
              <w:keepLines w:val="0"/>
              <w:widowControl/>
              <w:suppressLineNumbers w:val="0"/>
              <w:jc w:val="center"/>
              <w:textAlignment w:val="center"/>
              <w:rPr>
                <w:rFonts w:hint="eastAsia" w:ascii="宋体" w:hAnsi="宋体" w:eastAsia="宋体" w:cs="宋体"/>
                <w:b/>
                <w:bCs/>
                <w:sz w:val="18"/>
                <w:szCs w:val="18"/>
                <w:lang w:val="en-US" w:eastAsia="zh-CN"/>
              </w:rPr>
            </w:pPr>
            <w:r>
              <w:rPr>
                <w:rFonts w:hint="eastAsia" w:ascii="宋体" w:hAnsi="宋体" w:eastAsia="宋体" w:cs="宋体"/>
                <w:b/>
                <w:bCs/>
                <w:sz w:val="18"/>
                <w:szCs w:val="18"/>
                <w:lang w:val="en-US" w:eastAsia="zh-CN"/>
              </w:rPr>
              <w:t>1</w:t>
            </w:r>
          </w:p>
        </w:tc>
        <w:tc>
          <w:tcPr>
            <w:tcW w:w="1283" w:type="dxa"/>
            <w:vAlign w:val="center"/>
          </w:tcPr>
          <w:p>
            <w:pPr>
              <w:keepNext w:val="0"/>
              <w:keepLines w:val="0"/>
              <w:widowControl/>
              <w:suppressLineNumbers w:val="0"/>
              <w:jc w:val="center"/>
              <w:rPr>
                <w:rFonts w:hint="eastAsia" w:ascii="宋体" w:hAnsi="宋体" w:eastAsia="宋体" w:cs="宋体"/>
                <w:b/>
                <w:bCs/>
                <w:color w:val="000000"/>
                <w:sz w:val="18"/>
                <w:szCs w:val="18"/>
                <w:lang w:val="en-US" w:eastAsia="zh-CN"/>
              </w:rPr>
            </w:pPr>
          </w:p>
        </w:tc>
        <w:tc>
          <w:tcPr>
            <w:tcW w:w="1267" w:type="dxa"/>
            <w:vAlign w:val="center"/>
          </w:tcPr>
          <w:p>
            <w:pPr>
              <w:keepNext w:val="0"/>
              <w:keepLines w:val="0"/>
              <w:widowControl/>
              <w:suppressLineNumbers w:val="0"/>
              <w:tabs>
                <w:tab w:val="left" w:pos="339"/>
              </w:tabs>
              <w:jc w:val="left"/>
              <w:rPr>
                <w:rFonts w:hint="eastAsia" w:ascii="宋体" w:hAnsi="宋体" w:eastAsia="宋体" w:cs="宋体"/>
                <w:b/>
                <w:bCs/>
                <w:color w:val="000000"/>
                <w:sz w:val="18"/>
                <w:szCs w:val="18"/>
                <w:lang w:eastAsia="zh-CN"/>
              </w:rPr>
            </w:pPr>
          </w:p>
        </w:tc>
        <w:tc>
          <w:tcPr>
            <w:tcW w:w="966" w:type="dxa"/>
            <w:vAlign w:val="center"/>
          </w:tcPr>
          <w:p>
            <w:pPr>
              <w:keepNext w:val="0"/>
              <w:keepLines w:val="0"/>
              <w:widowControl/>
              <w:suppressLineNumbers w:val="0"/>
              <w:jc w:val="both"/>
              <w:rPr>
                <w:rFonts w:hint="eastAsia" w:ascii="宋体" w:hAnsi="宋体" w:eastAsia="宋体" w:cs="宋体"/>
                <w:b/>
                <w:bCs/>
                <w:color w:val="000000"/>
                <w:sz w:val="18"/>
                <w:szCs w:val="18"/>
              </w:rPr>
            </w:pPr>
          </w:p>
        </w:tc>
        <w:tc>
          <w:tcPr>
            <w:tcW w:w="1634" w:type="dxa"/>
            <w:vAlign w:val="center"/>
          </w:tcPr>
          <w:p>
            <w:pPr>
              <w:keepNext w:val="0"/>
              <w:keepLines w:val="0"/>
              <w:widowControl/>
              <w:suppressLineNumbers w:val="0"/>
              <w:jc w:val="center"/>
              <w:rPr>
                <w:rFonts w:hint="eastAsia" w:ascii="宋体" w:hAnsi="宋体" w:eastAsia="宋体" w:cs="宋体"/>
                <w:b/>
                <w:bCs/>
                <w:color w:val="000000"/>
                <w:sz w:val="18"/>
                <w:szCs w:val="18"/>
              </w:rPr>
            </w:pPr>
          </w:p>
        </w:tc>
        <w:tc>
          <w:tcPr>
            <w:tcW w:w="550" w:type="dxa"/>
            <w:vAlign w:val="center"/>
          </w:tcPr>
          <w:p>
            <w:pPr>
              <w:keepNext w:val="0"/>
              <w:keepLines w:val="0"/>
              <w:widowControl/>
              <w:suppressLineNumbers w:val="0"/>
              <w:jc w:val="center"/>
              <w:rPr>
                <w:rFonts w:hint="eastAsia" w:ascii="宋体" w:hAnsi="宋体" w:eastAsia="宋体" w:cs="宋体"/>
                <w:b/>
                <w:bCs/>
                <w:sz w:val="18"/>
                <w:szCs w:val="18"/>
                <w:lang w:val="en-US" w:eastAsia="zh-CN"/>
              </w:rPr>
            </w:pPr>
          </w:p>
        </w:tc>
        <w:tc>
          <w:tcPr>
            <w:tcW w:w="1466" w:type="dxa"/>
            <w:vAlign w:val="center"/>
          </w:tcPr>
          <w:p>
            <w:pPr>
              <w:keepNext w:val="0"/>
              <w:keepLines w:val="0"/>
              <w:widowControl/>
              <w:suppressLineNumbers w:val="0"/>
              <w:jc w:val="center"/>
              <w:rPr>
                <w:rFonts w:hint="eastAsia" w:ascii="宋体" w:hAnsi="宋体" w:eastAsia="宋体" w:cs="宋体"/>
                <w:b/>
                <w:bCs/>
                <w:sz w:val="18"/>
                <w:szCs w:val="18"/>
                <w:lang w:val="en-US" w:eastAsia="zh-CN"/>
              </w:rPr>
            </w:pPr>
          </w:p>
        </w:tc>
        <w:tc>
          <w:tcPr>
            <w:tcW w:w="1720" w:type="dxa"/>
            <w:vAlign w:val="center"/>
          </w:tcPr>
          <w:p>
            <w:pPr>
              <w:keepNext w:val="0"/>
              <w:keepLines w:val="0"/>
              <w:widowControl/>
              <w:suppressLineNumbers w:val="0"/>
              <w:jc w:val="center"/>
              <w:rPr>
                <w:rFonts w:hint="eastAsia" w:ascii="宋体" w:hAnsi="宋体" w:eastAsia="宋体" w:cs="宋体"/>
                <w:b/>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7" w:hRule="atLeast"/>
        </w:trPr>
        <w:tc>
          <w:tcPr>
            <w:tcW w:w="850" w:type="dxa"/>
            <w:vAlign w:val="center"/>
          </w:tcPr>
          <w:p>
            <w:pPr>
              <w:keepNext w:val="0"/>
              <w:keepLines w:val="0"/>
              <w:widowControl/>
              <w:suppressLineNumbers w:val="0"/>
              <w:jc w:val="center"/>
              <w:textAlignment w:val="center"/>
              <w:rPr>
                <w:rFonts w:hint="default" w:ascii="宋体" w:hAnsi="宋体" w:eastAsia="宋体" w:cs="宋体"/>
                <w:b/>
                <w:bCs/>
                <w:sz w:val="18"/>
                <w:szCs w:val="18"/>
                <w:lang w:val="en-US" w:eastAsia="zh-CN"/>
              </w:rPr>
            </w:pPr>
            <w:r>
              <w:rPr>
                <w:rFonts w:hint="eastAsia" w:ascii="宋体" w:hAnsi="宋体" w:eastAsia="宋体" w:cs="宋体"/>
                <w:b/>
                <w:bCs/>
                <w:sz w:val="18"/>
                <w:szCs w:val="18"/>
                <w:lang w:val="en-US" w:eastAsia="zh-CN"/>
              </w:rPr>
              <w:t>2</w:t>
            </w:r>
          </w:p>
        </w:tc>
        <w:tc>
          <w:tcPr>
            <w:tcW w:w="1283" w:type="dxa"/>
            <w:vAlign w:val="center"/>
          </w:tcPr>
          <w:p>
            <w:pPr>
              <w:keepNext w:val="0"/>
              <w:keepLines w:val="0"/>
              <w:widowControl/>
              <w:suppressLineNumbers w:val="0"/>
              <w:jc w:val="center"/>
              <w:rPr>
                <w:rFonts w:hint="eastAsia" w:ascii="宋体" w:hAnsi="宋体" w:eastAsia="宋体" w:cs="宋体"/>
                <w:b/>
                <w:bCs/>
                <w:color w:val="000000"/>
                <w:sz w:val="18"/>
                <w:szCs w:val="18"/>
                <w:lang w:val="en-US" w:eastAsia="zh-CN"/>
              </w:rPr>
            </w:pPr>
          </w:p>
        </w:tc>
        <w:tc>
          <w:tcPr>
            <w:tcW w:w="1267" w:type="dxa"/>
            <w:vAlign w:val="center"/>
          </w:tcPr>
          <w:p>
            <w:pPr>
              <w:keepNext w:val="0"/>
              <w:keepLines w:val="0"/>
              <w:widowControl/>
              <w:suppressLineNumbers w:val="0"/>
              <w:tabs>
                <w:tab w:val="left" w:pos="339"/>
              </w:tabs>
              <w:jc w:val="left"/>
              <w:rPr>
                <w:rFonts w:hint="eastAsia" w:ascii="宋体" w:hAnsi="宋体" w:eastAsia="宋体" w:cs="宋体"/>
                <w:b/>
                <w:bCs/>
                <w:color w:val="000000"/>
                <w:sz w:val="18"/>
                <w:szCs w:val="18"/>
                <w:lang w:eastAsia="zh-CN"/>
              </w:rPr>
            </w:pPr>
          </w:p>
        </w:tc>
        <w:tc>
          <w:tcPr>
            <w:tcW w:w="966" w:type="dxa"/>
            <w:shd w:val="clear" w:color="auto" w:fill="auto"/>
            <w:vAlign w:val="center"/>
          </w:tcPr>
          <w:p>
            <w:pPr>
              <w:keepNext w:val="0"/>
              <w:keepLines w:val="0"/>
              <w:widowControl/>
              <w:suppressLineNumbers w:val="0"/>
              <w:tabs>
                <w:tab w:val="left" w:pos="339"/>
              </w:tabs>
              <w:jc w:val="left"/>
              <w:rPr>
                <w:rFonts w:hint="eastAsia" w:ascii="宋体" w:hAnsi="宋体" w:eastAsia="宋体" w:cs="宋体"/>
                <w:b/>
                <w:bCs/>
                <w:color w:val="000000"/>
                <w:kern w:val="2"/>
                <w:sz w:val="18"/>
                <w:szCs w:val="18"/>
                <w:lang w:val="en-US" w:eastAsia="zh-CN" w:bidi="ar-SA"/>
              </w:rPr>
            </w:pPr>
          </w:p>
        </w:tc>
        <w:tc>
          <w:tcPr>
            <w:tcW w:w="1634" w:type="dxa"/>
            <w:vAlign w:val="center"/>
          </w:tcPr>
          <w:p>
            <w:pPr>
              <w:keepNext w:val="0"/>
              <w:keepLines w:val="0"/>
              <w:widowControl/>
              <w:suppressLineNumbers w:val="0"/>
              <w:jc w:val="center"/>
              <w:rPr>
                <w:rFonts w:hint="eastAsia" w:ascii="宋体" w:hAnsi="宋体" w:eastAsia="宋体" w:cs="宋体"/>
                <w:b/>
                <w:bCs/>
                <w:color w:val="000000"/>
                <w:sz w:val="18"/>
                <w:szCs w:val="18"/>
              </w:rPr>
            </w:pPr>
          </w:p>
        </w:tc>
        <w:tc>
          <w:tcPr>
            <w:tcW w:w="550" w:type="dxa"/>
            <w:shd w:val="clear" w:color="auto" w:fill="auto"/>
            <w:vAlign w:val="center"/>
          </w:tcPr>
          <w:p>
            <w:pPr>
              <w:keepNext w:val="0"/>
              <w:keepLines w:val="0"/>
              <w:widowControl/>
              <w:suppressLineNumbers w:val="0"/>
              <w:jc w:val="center"/>
              <w:rPr>
                <w:rFonts w:hint="eastAsia" w:ascii="宋体" w:hAnsi="宋体" w:eastAsia="宋体" w:cs="宋体"/>
                <w:b/>
                <w:bCs/>
                <w:kern w:val="2"/>
                <w:sz w:val="18"/>
                <w:szCs w:val="18"/>
                <w:lang w:val="en-US" w:eastAsia="zh-CN" w:bidi="ar-SA"/>
              </w:rPr>
            </w:pPr>
          </w:p>
        </w:tc>
        <w:tc>
          <w:tcPr>
            <w:tcW w:w="1466" w:type="dxa"/>
            <w:shd w:val="clear" w:color="auto" w:fill="auto"/>
            <w:vAlign w:val="center"/>
          </w:tcPr>
          <w:p>
            <w:pPr>
              <w:keepNext w:val="0"/>
              <w:keepLines w:val="0"/>
              <w:widowControl/>
              <w:suppressLineNumbers w:val="0"/>
              <w:jc w:val="center"/>
              <w:rPr>
                <w:rFonts w:hint="eastAsia" w:ascii="宋体" w:hAnsi="宋体" w:eastAsia="宋体" w:cs="宋体"/>
                <w:b/>
                <w:bCs/>
                <w:kern w:val="2"/>
                <w:sz w:val="18"/>
                <w:szCs w:val="18"/>
                <w:lang w:val="en-US" w:eastAsia="zh-CN" w:bidi="ar-SA"/>
              </w:rPr>
            </w:pPr>
          </w:p>
        </w:tc>
        <w:tc>
          <w:tcPr>
            <w:tcW w:w="1720" w:type="dxa"/>
            <w:shd w:val="clear" w:color="auto" w:fill="auto"/>
            <w:vAlign w:val="center"/>
          </w:tcPr>
          <w:p>
            <w:pPr>
              <w:keepNext w:val="0"/>
              <w:keepLines w:val="0"/>
              <w:widowControl/>
              <w:suppressLineNumbers w:val="0"/>
              <w:jc w:val="center"/>
              <w:rPr>
                <w:rFonts w:hint="eastAsia" w:ascii="宋体" w:hAnsi="宋体" w:eastAsia="宋体" w:cs="宋体"/>
                <w:b/>
                <w:bCs/>
                <w:kern w:val="2"/>
                <w:sz w:val="18"/>
                <w:szCs w:val="18"/>
                <w:lang w:val="en-US" w:eastAsia="zh-CN" w:bidi="ar-SA"/>
              </w:rPr>
            </w:pPr>
          </w:p>
        </w:tc>
      </w:tr>
    </w:tbl>
    <w:p>
      <w:pPr>
        <w:spacing w:line="360" w:lineRule="auto"/>
        <w:ind w:firstLine="480" w:firstLineChars="200"/>
        <w:rPr>
          <w:sz w:val="24"/>
          <w:szCs w:val="24"/>
        </w:rPr>
      </w:pPr>
      <w:r>
        <w:rPr>
          <w:rFonts w:hint="eastAsia"/>
          <w:sz w:val="24"/>
          <w:szCs w:val="24"/>
        </w:rPr>
        <w:t>十一、医疗卫生机构医药产品廉洁购销条款</w:t>
      </w:r>
    </w:p>
    <w:p>
      <w:pPr>
        <w:spacing w:line="360" w:lineRule="auto"/>
        <w:ind w:firstLine="480" w:firstLineChars="200"/>
        <w:rPr>
          <w:sz w:val="24"/>
          <w:szCs w:val="24"/>
        </w:rPr>
      </w:pPr>
      <w:r>
        <w:rPr>
          <w:rFonts w:hint="eastAsia"/>
          <w:sz w:val="24"/>
          <w:szCs w:val="24"/>
        </w:rPr>
        <w:t>1.甲乙双方按照《</w:t>
      </w:r>
      <w:r>
        <w:rPr>
          <w:rFonts w:hint="eastAsia"/>
          <w:sz w:val="24"/>
          <w:szCs w:val="24"/>
          <w:lang w:eastAsia="zh-CN"/>
        </w:rPr>
        <w:t>中华人民共和国</w:t>
      </w:r>
      <w:r>
        <w:rPr>
          <w:rFonts w:hint="eastAsia"/>
          <w:sz w:val="24"/>
          <w:szCs w:val="24"/>
        </w:rPr>
        <w:t>民法典》及医药产品购销合同约定购销药品、医疗设备、医用耗材等医药产品。</w:t>
      </w:r>
    </w:p>
    <w:p>
      <w:pPr>
        <w:spacing w:line="360" w:lineRule="auto"/>
        <w:ind w:firstLine="480" w:firstLineChars="200"/>
        <w:rPr>
          <w:sz w:val="24"/>
          <w:szCs w:val="24"/>
        </w:rPr>
      </w:pPr>
      <w:r>
        <w:rPr>
          <w:rFonts w:hint="eastAsia"/>
          <w:sz w:val="24"/>
          <w:szCs w:val="24"/>
        </w:rPr>
        <w:t>2.甲方应当严格执行医药产品购销合同验收、入库制度，对采购医药产品及发票进行查验，不得违反有关规定合同外采购、违价采购或从非规定渠道采购。</w:t>
      </w:r>
    </w:p>
    <w:p>
      <w:pPr>
        <w:spacing w:line="360" w:lineRule="auto"/>
        <w:ind w:firstLine="480" w:firstLineChars="200"/>
        <w:rPr>
          <w:sz w:val="24"/>
          <w:szCs w:val="24"/>
        </w:rPr>
      </w:pPr>
      <w:r>
        <w:rPr>
          <w:rFonts w:hint="eastAsia"/>
          <w:sz w:val="24"/>
          <w:szCs w:val="24"/>
        </w:rPr>
        <w:t>3.甲方严禁接受乙方以任何名义、形式给予的回扣，不得将接受捐赠资助与采购挂钩。甲方工作人员不得参加乙方安排并支付费用的营业性娱乐场所的娱乐活动，不得以任何形式向乙方索要现金、有价证券、支付凭证和贵重礼品等。被迫接受乙方给予的钱物，应予退还，无法退还的，有责任如实向有关纪检监察部门反映情况。</w:t>
      </w:r>
    </w:p>
    <w:p>
      <w:pPr>
        <w:spacing w:line="360" w:lineRule="auto"/>
        <w:ind w:firstLine="480" w:firstLineChars="200"/>
        <w:rPr>
          <w:sz w:val="24"/>
          <w:szCs w:val="24"/>
        </w:rPr>
      </w:pPr>
      <w:r>
        <w:rPr>
          <w:rFonts w:hint="eastAsia"/>
          <w:sz w:val="24"/>
          <w:szCs w:val="24"/>
        </w:rPr>
        <w:t>4.严禁甲方工作人员利用和方式，为乙方统计医师个人及临床科室有关医药产品用量信息，或为乙方统计提供便利。</w:t>
      </w:r>
    </w:p>
    <w:p>
      <w:pPr>
        <w:spacing w:line="360" w:lineRule="auto"/>
        <w:ind w:firstLine="480" w:firstLineChars="200"/>
        <w:rPr>
          <w:sz w:val="24"/>
          <w:szCs w:val="24"/>
        </w:rPr>
      </w:pPr>
      <w:r>
        <w:rPr>
          <w:rFonts w:hint="eastAsia"/>
          <w:sz w:val="24"/>
          <w:szCs w:val="24"/>
        </w:rPr>
        <w:t>5.乙方不得以回扣、宴请等方式影响甲方工作人员采购或使用医药产品的选择权，不得在学术活动中提供旅游、超标准支付食宿费用。</w:t>
      </w:r>
    </w:p>
    <w:p>
      <w:pPr>
        <w:spacing w:line="360" w:lineRule="auto"/>
        <w:ind w:firstLine="480" w:firstLineChars="200"/>
        <w:rPr>
          <w:sz w:val="24"/>
          <w:szCs w:val="24"/>
        </w:rPr>
      </w:pPr>
      <w:r>
        <w:rPr>
          <w:rFonts w:hint="eastAsia"/>
          <w:sz w:val="24"/>
          <w:szCs w:val="24"/>
        </w:rPr>
        <w:t>6.乙方指定</w:t>
      </w:r>
      <w:r>
        <w:rPr>
          <w:rFonts w:hint="eastAsia"/>
          <w:b/>
          <w:bCs/>
          <w:sz w:val="24"/>
          <w:szCs w:val="24"/>
          <w:u w:val="single"/>
          <w:lang w:val="en-US" w:eastAsia="zh-CN"/>
        </w:rPr>
        <w:t xml:space="preserve">       </w:t>
      </w:r>
      <w:r>
        <w:rPr>
          <w:rFonts w:hint="eastAsia"/>
          <w:sz w:val="24"/>
          <w:szCs w:val="24"/>
        </w:rPr>
        <w:t>作为销售代表洽谈业务，联系电话：</w:t>
      </w:r>
      <w:r>
        <w:rPr>
          <w:rFonts w:hint="eastAsia"/>
          <w:b/>
          <w:bCs/>
          <w:sz w:val="24"/>
          <w:szCs w:val="24"/>
          <w:u w:val="single"/>
          <w:lang w:val="en-US" w:eastAsia="zh-CN"/>
        </w:rPr>
        <w:t xml:space="preserve">             </w:t>
      </w:r>
      <w:r>
        <w:rPr>
          <w:rFonts w:hint="eastAsia"/>
          <w:sz w:val="24"/>
          <w:szCs w:val="24"/>
        </w:rPr>
        <w:t>。销售代表必须在工作时间到甲方指定地点联系商谈，不得到住院部、门诊部、医技科室等推销医药产品，不得借故到甲方相关领导、部门负责人及相关工作人员家中访谈并提供任何好处费。</w:t>
      </w:r>
    </w:p>
    <w:p>
      <w:pPr>
        <w:spacing w:line="360" w:lineRule="auto"/>
        <w:ind w:firstLine="480" w:firstLineChars="200"/>
        <w:rPr>
          <w:sz w:val="24"/>
          <w:szCs w:val="24"/>
        </w:rPr>
      </w:pPr>
      <w:r>
        <w:rPr>
          <w:rFonts w:hint="eastAsia"/>
          <w:sz w:val="24"/>
          <w:szCs w:val="24"/>
        </w:rPr>
        <w:t>7.乙方如违反本合同，一经发现，甲方有权终止购销合同，并向有关卫生计生行政部门报告。如乙方被列入商业贿赂不良记录，则严格按照《国家卫生计生委关于建立医药购销领域商业贿赂不良记录的规定》（国卫法制发</w:t>
      </w:r>
      <w:r>
        <w:rPr>
          <w:rFonts w:hint="eastAsia"/>
          <w:sz w:val="24"/>
          <w:szCs w:val="24"/>
          <w:lang w:eastAsia="zh-CN"/>
        </w:rPr>
        <w:t>〔</w:t>
      </w:r>
      <w:r>
        <w:rPr>
          <w:rFonts w:hint="eastAsia"/>
          <w:sz w:val="24"/>
          <w:szCs w:val="24"/>
        </w:rPr>
        <w:t>2013</w:t>
      </w:r>
      <w:r>
        <w:rPr>
          <w:rFonts w:hint="eastAsia"/>
          <w:sz w:val="24"/>
          <w:szCs w:val="24"/>
          <w:lang w:eastAsia="zh-CN"/>
        </w:rPr>
        <w:t>〕</w:t>
      </w:r>
      <w:r>
        <w:rPr>
          <w:rFonts w:hint="eastAsia"/>
          <w:sz w:val="24"/>
          <w:szCs w:val="24"/>
        </w:rPr>
        <w:t>50号）相关规定处理。</w:t>
      </w:r>
    </w:p>
    <w:p>
      <w:pPr>
        <w:spacing w:line="360" w:lineRule="auto"/>
        <w:ind w:firstLine="480" w:firstLineChars="200"/>
        <w:rPr>
          <w:sz w:val="24"/>
          <w:szCs w:val="24"/>
        </w:rPr>
      </w:pPr>
      <w:r>
        <w:rPr>
          <w:rFonts w:hint="eastAsia"/>
          <w:sz w:val="24"/>
          <w:szCs w:val="24"/>
        </w:rPr>
        <w:t>8.乙方与甲方业务往来中，乙方所提供的发票是增值税发票，且均需通过合法途径领购，其发票真实、准确、完整，符合《中华人民共和国发票管理办法》及相关规定，不存在任何阴阳发票、虚假发票等。如果违反上述承诺，甲方发现乙方提供任何非法增值税发票，不予</w:t>
      </w:r>
      <w:r>
        <w:rPr>
          <w:rFonts w:hint="eastAsia"/>
          <w:sz w:val="24"/>
          <w:szCs w:val="24"/>
          <w:lang w:eastAsia="zh-CN"/>
        </w:rPr>
        <w:t>退还</w:t>
      </w:r>
      <w:r>
        <w:rPr>
          <w:rFonts w:hint="eastAsia"/>
          <w:sz w:val="24"/>
          <w:szCs w:val="24"/>
        </w:rPr>
        <w:t>，直接上报财政、税务及纪检部门处理，且甲方有权单方面终止与乙方签署的任何合同协议、业务往来及一切款项支付，乙方愿意承担相应法律责任，并赔偿甲方因此所遭受的一切损失。</w:t>
      </w:r>
    </w:p>
    <w:p>
      <w:pPr>
        <w:spacing w:line="360" w:lineRule="auto"/>
        <w:ind w:firstLine="480" w:firstLineChars="200"/>
        <w:rPr>
          <w:sz w:val="24"/>
          <w:szCs w:val="24"/>
        </w:rPr>
      </w:pPr>
      <w:r>
        <w:rPr>
          <w:rFonts w:hint="eastAsia"/>
          <w:sz w:val="24"/>
          <w:szCs w:val="24"/>
        </w:rPr>
        <w:t>十二、违约责任</w:t>
      </w:r>
    </w:p>
    <w:p>
      <w:pPr>
        <w:spacing w:line="360" w:lineRule="auto"/>
        <w:ind w:firstLine="480" w:firstLineChars="200"/>
        <w:rPr>
          <w:sz w:val="24"/>
          <w:szCs w:val="24"/>
        </w:rPr>
      </w:pPr>
      <w:r>
        <w:rPr>
          <w:rFonts w:hint="eastAsia"/>
          <w:sz w:val="24"/>
          <w:szCs w:val="24"/>
        </w:rPr>
        <w:t>1.未经甲方书面同意，乙方擅自转让本合同项下权利或义务的行为对甲方不发生效力，甲方有权单方面解除本合同。</w:t>
      </w:r>
    </w:p>
    <w:p>
      <w:pPr>
        <w:spacing w:line="360" w:lineRule="auto"/>
        <w:ind w:firstLine="480" w:firstLineChars="200"/>
        <w:rPr>
          <w:sz w:val="24"/>
          <w:szCs w:val="24"/>
        </w:rPr>
      </w:pPr>
      <w:r>
        <w:rPr>
          <w:rFonts w:hint="eastAsia"/>
          <w:sz w:val="24"/>
          <w:szCs w:val="24"/>
        </w:rPr>
        <w:t>2.乙方提供的</w:t>
      </w:r>
      <w:r>
        <w:rPr>
          <w:rFonts w:hint="eastAsia"/>
          <w:sz w:val="24"/>
          <w:szCs w:val="24"/>
          <w:lang w:val="en-US" w:eastAsia="zh-CN"/>
        </w:rPr>
        <w:t>产品</w:t>
      </w:r>
      <w:r>
        <w:rPr>
          <w:rFonts w:hint="eastAsia"/>
          <w:sz w:val="24"/>
          <w:szCs w:val="24"/>
        </w:rPr>
        <w:t>不得侵犯他人的知识产权，若因此出现知识产权争议，乙方承担全部责任及处理此争议所产生的全部费用（包括但不限于应诉费及赔偿费）；若出现的争议涉及诉讼或仲裁并牵连甲方的，则甲方为了处理诉讼或仲裁案而发生的律师费、差旅费、调查费及诉讼费或仲裁费等均由乙方承担；若发生的争议在30天内无法得到有利于甲方的结果，则甲方有权解除合同。</w:t>
      </w:r>
    </w:p>
    <w:p>
      <w:pPr>
        <w:spacing w:line="360" w:lineRule="auto"/>
        <w:ind w:firstLine="480" w:firstLineChars="200"/>
        <w:rPr>
          <w:rFonts w:hint="eastAsia"/>
          <w:sz w:val="24"/>
          <w:szCs w:val="24"/>
        </w:rPr>
      </w:pPr>
      <w:r>
        <w:rPr>
          <w:rFonts w:hint="eastAsia"/>
          <w:sz w:val="24"/>
          <w:szCs w:val="24"/>
        </w:rPr>
        <w:t>3.如产品质量达不到供货标准或产品数量不符合约定的，乙方应立即采取补足、更换等补救措施直至通过甲方验收止，由此产生的费用和逾期责任由乙方承担。且甲方有权视乙方违约程度，决定是否解除本合同。</w:t>
      </w:r>
    </w:p>
    <w:p>
      <w:pPr>
        <w:shd w:val="clear"/>
        <w:spacing w:line="360" w:lineRule="auto"/>
        <w:ind w:firstLine="480" w:firstLineChars="200"/>
        <w:rPr>
          <w:rFonts w:hint="default" w:eastAsiaTheme="minorEastAsia"/>
          <w:sz w:val="24"/>
          <w:szCs w:val="24"/>
          <w:lang w:val="en-US" w:eastAsia="zh-CN"/>
        </w:rPr>
      </w:pPr>
      <w:r>
        <w:rPr>
          <w:rFonts w:hint="eastAsia"/>
          <w:sz w:val="24"/>
          <w:szCs w:val="24"/>
          <w:lang w:val="en-US" w:eastAsia="zh-CN"/>
        </w:rPr>
        <w:t>4.如乙方提供的产品不符合合同要求或者质量、功能存在瑕疵，甲方使用乙方提供的产品造成自身或他人人身、财产损害的，乙方应按甲方所下的该笔订单总价20%的标准向甲方支付违约金，并承担损失赔偿责任。</w:t>
      </w:r>
    </w:p>
    <w:p>
      <w:pPr>
        <w:spacing w:line="360" w:lineRule="auto"/>
        <w:ind w:firstLine="480" w:firstLineChars="200"/>
        <w:rPr>
          <w:rFonts w:hint="eastAsia"/>
          <w:sz w:val="24"/>
          <w:szCs w:val="24"/>
        </w:rPr>
      </w:pPr>
      <w:r>
        <w:rPr>
          <w:rFonts w:hint="eastAsia"/>
          <w:sz w:val="24"/>
          <w:szCs w:val="24"/>
          <w:lang w:val="en-US" w:eastAsia="zh-CN"/>
        </w:rPr>
        <w:t>5</w:t>
      </w:r>
      <w:r>
        <w:rPr>
          <w:rFonts w:hint="eastAsia"/>
          <w:sz w:val="24"/>
          <w:szCs w:val="24"/>
        </w:rPr>
        <w:t>.因乙方责任导致甲方决定解除本合同的，乙方应在收到甲方解除合同通知之日起三日内退还已收款项（未付费用不再支付），并按本合同总金额20%的比例向甲方支付违约金。</w:t>
      </w:r>
    </w:p>
    <w:p>
      <w:pPr>
        <w:shd w:val="clear"/>
        <w:spacing w:line="360" w:lineRule="auto"/>
        <w:ind w:firstLine="480" w:firstLineChars="200"/>
        <w:rPr>
          <w:rFonts w:hint="eastAsia"/>
          <w:color w:val="auto"/>
          <w:sz w:val="24"/>
          <w:szCs w:val="24"/>
        </w:rPr>
      </w:pPr>
      <w:r>
        <w:rPr>
          <w:rFonts w:hint="eastAsia"/>
          <w:color w:val="auto"/>
          <w:sz w:val="24"/>
          <w:szCs w:val="24"/>
          <w:lang w:val="en-US" w:eastAsia="zh-CN"/>
        </w:rPr>
        <w:t>6.乙方自甲方所下订单之日起，逾期完成供货的，每逾期一日，乙方应按甲方所下的该笔订单总价万分之五的标准向甲方支付违约金，并承担损失赔偿责任。</w:t>
      </w:r>
    </w:p>
    <w:p>
      <w:pPr>
        <w:spacing w:line="360" w:lineRule="auto"/>
        <w:ind w:firstLine="480" w:firstLineChars="200"/>
        <w:rPr>
          <w:sz w:val="24"/>
          <w:szCs w:val="24"/>
        </w:rPr>
      </w:pPr>
      <w:r>
        <w:rPr>
          <w:rFonts w:hint="eastAsia"/>
          <w:sz w:val="24"/>
          <w:szCs w:val="24"/>
          <w:lang w:val="en-US" w:eastAsia="zh-CN"/>
        </w:rPr>
        <w:t>7</w:t>
      </w:r>
      <w:r>
        <w:rPr>
          <w:rFonts w:hint="eastAsia"/>
          <w:sz w:val="24"/>
          <w:szCs w:val="24"/>
        </w:rPr>
        <w:t>.本合同项下，乙方需向甲方支付的违约金、赔偿金等，甲方有权直接从尚未支付</w:t>
      </w:r>
      <w:r>
        <w:rPr>
          <w:rFonts w:hint="eastAsia"/>
          <w:sz w:val="24"/>
          <w:szCs w:val="24"/>
          <w:lang w:eastAsia="zh-CN"/>
        </w:rPr>
        <w:t>给乙方</w:t>
      </w:r>
      <w:r>
        <w:rPr>
          <w:rFonts w:hint="eastAsia"/>
          <w:sz w:val="24"/>
          <w:szCs w:val="24"/>
        </w:rPr>
        <w:t>的合同款项中扣除</w:t>
      </w:r>
      <w:r>
        <w:rPr>
          <w:rFonts w:hint="eastAsia"/>
          <w:sz w:val="24"/>
          <w:szCs w:val="24"/>
          <w:lang w:eastAsia="zh-CN"/>
        </w:rPr>
        <w:t>；</w:t>
      </w:r>
      <w:r>
        <w:rPr>
          <w:rFonts w:hint="eastAsia"/>
          <w:sz w:val="24"/>
          <w:szCs w:val="24"/>
        </w:rPr>
        <w:t>不足的部分</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自甲方通知乙方补足之日起</w:t>
      </w:r>
      <w:r>
        <w:rPr>
          <w:rFonts w:hint="eastAsia" w:ascii="宋体" w:hAnsi="宋体" w:eastAsia="宋体" w:cs="宋体"/>
          <w:sz w:val="24"/>
          <w:szCs w:val="24"/>
          <w:lang w:eastAsia="zh-CN"/>
        </w:rPr>
        <w:t>，</w:t>
      </w:r>
      <w:r>
        <w:rPr>
          <w:rFonts w:hint="eastAsia"/>
          <w:sz w:val="24"/>
          <w:szCs w:val="24"/>
        </w:rPr>
        <w:t>乙方</w:t>
      </w:r>
      <w:r>
        <w:rPr>
          <w:rFonts w:hint="eastAsia"/>
          <w:sz w:val="24"/>
          <w:szCs w:val="24"/>
          <w:lang w:val="en-US" w:eastAsia="zh-CN"/>
        </w:rPr>
        <w:t>应</w:t>
      </w:r>
      <w:r>
        <w:rPr>
          <w:rFonts w:hint="eastAsia"/>
          <w:sz w:val="24"/>
          <w:szCs w:val="24"/>
        </w:rPr>
        <w:t>在3日内补足。</w:t>
      </w:r>
    </w:p>
    <w:p>
      <w:pPr>
        <w:spacing w:line="360" w:lineRule="auto"/>
        <w:ind w:firstLine="480" w:firstLineChars="200"/>
        <w:rPr>
          <w:sz w:val="24"/>
          <w:szCs w:val="24"/>
        </w:rPr>
      </w:pPr>
      <w:r>
        <w:rPr>
          <w:rFonts w:hint="eastAsia"/>
          <w:sz w:val="24"/>
          <w:szCs w:val="24"/>
          <w:lang w:val="en-US" w:eastAsia="zh-CN"/>
        </w:rPr>
        <w:t>8</w:t>
      </w:r>
      <w:r>
        <w:rPr>
          <w:rFonts w:hint="eastAsia"/>
          <w:sz w:val="24"/>
          <w:szCs w:val="24"/>
        </w:rPr>
        <w:t>.乙方在产品安装过程中，运输途中出现的损坏、遗失，由乙方免费更换。</w:t>
      </w:r>
    </w:p>
    <w:p>
      <w:pPr>
        <w:spacing w:line="360" w:lineRule="auto"/>
        <w:ind w:firstLine="480" w:firstLineChars="200"/>
        <w:rPr>
          <w:sz w:val="24"/>
          <w:szCs w:val="24"/>
        </w:rPr>
      </w:pPr>
      <w:r>
        <w:rPr>
          <w:rFonts w:hint="eastAsia"/>
          <w:sz w:val="24"/>
          <w:szCs w:val="24"/>
        </w:rPr>
        <w:t>十三、争议解决方式</w:t>
      </w:r>
    </w:p>
    <w:p>
      <w:pPr>
        <w:spacing w:line="360" w:lineRule="auto"/>
        <w:ind w:firstLine="480" w:firstLineChars="200"/>
        <w:rPr>
          <w:sz w:val="24"/>
          <w:szCs w:val="24"/>
        </w:rPr>
      </w:pPr>
      <w:r>
        <w:rPr>
          <w:rFonts w:hint="eastAsia"/>
          <w:sz w:val="24"/>
          <w:szCs w:val="24"/>
        </w:rPr>
        <w:t>在履行本合同过程中发生的纠纷，双方同意将通过友好协商解决，如协商不成，任何一方应</w:t>
      </w:r>
      <w:r>
        <w:rPr>
          <w:rFonts w:hint="eastAsia"/>
          <w:sz w:val="24"/>
          <w:szCs w:val="24"/>
          <w:lang w:eastAsia="zh-CN"/>
        </w:rPr>
        <w:t>有权</w:t>
      </w:r>
      <w:r>
        <w:rPr>
          <w:rFonts w:hint="eastAsia"/>
          <w:sz w:val="24"/>
          <w:szCs w:val="24"/>
        </w:rPr>
        <w:t>向甲方所在地人民法院提起诉讼。</w:t>
      </w:r>
      <w:r>
        <w:rPr>
          <w:rFonts w:hint="eastAsia"/>
          <w:sz w:val="24"/>
          <w:szCs w:val="24"/>
          <w:lang w:eastAsia="zh-CN"/>
        </w:rPr>
        <w:t>违约方应承担守约方为实现债权支出的所有费用，包括但不限于诉讼费、保全费、保全保险费、律师费、公证费、鉴定费等。</w:t>
      </w:r>
    </w:p>
    <w:p>
      <w:pPr>
        <w:spacing w:line="360" w:lineRule="auto"/>
        <w:ind w:firstLine="480" w:firstLineChars="200"/>
        <w:rPr>
          <w:sz w:val="24"/>
          <w:szCs w:val="24"/>
        </w:rPr>
      </w:pPr>
      <w:r>
        <w:rPr>
          <w:rFonts w:hint="eastAsia"/>
          <w:sz w:val="24"/>
          <w:szCs w:val="24"/>
        </w:rPr>
        <w:t>十四、通知与送达</w:t>
      </w:r>
    </w:p>
    <w:p>
      <w:pPr>
        <w:spacing w:line="360" w:lineRule="auto"/>
        <w:ind w:firstLine="480" w:firstLineChars="200"/>
        <w:rPr>
          <w:rFonts w:hint="eastAsia"/>
          <w:sz w:val="24"/>
          <w:szCs w:val="24"/>
        </w:rPr>
      </w:pPr>
      <w:r>
        <w:rPr>
          <w:rFonts w:hint="eastAsia"/>
          <w:sz w:val="24"/>
          <w:szCs w:val="24"/>
        </w:rPr>
        <w:t>1.对于履行本合同过程中需要向对方送达的文件或资料</w:t>
      </w:r>
      <w:r>
        <w:rPr>
          <w:rFonts w:hint="eastAsia"/>
          <w:sz w:val="24"/>
          <w:szCs w:val="24"/>
          <w:lang w:eastAsia="zh-CN"/>
        </w:rPr>
        <w:t>，由</w:t>
      </w:r>
      <w:r>
        <w:rPr>
          <w:rFonts w:hint="eastAsia"/>
          <w:sz w:val="24"/>
          <w:szCs w:val="24"/>
        </w:rPr>
        <w:t>甲乙双方中的任何一方授权的代表签收即视为送达；如以邮寄形式送达的，向各方指定的如下邮寄地址通过特快专递的方式投寄该文件之日起的第三日即视为送达：</w:t>
      </w:r>
    </w:p>
    <w:p>
      <w:pPr>
        <w:pStyle w:val="2"/>
        <w:keepNext w:val="0"/>
        <w:keepLines w:val="0"/>
        <w:pageBreakBefore w:val="0"/>
        <w:widowControl w:val="0"/>
        <w:kinsoku/>
        <w:wordWrap/>
        <w:overflowPunct/>
        <w:topLinePunct w:val="0"/>
        <w:autoSpaceDE/>
        <w:autoSpaceDN/>
        <w:bidi w:val="0"/>
        <w:adjustRightInd/>
        <w:snapToGrid/>
        <w:spacing w:before="78" w:line="240" w:lineRule="auto"/>
        <w:ind w:right="11"/>
        <w:jc w:val="left"/>
        <w:textAlignment w:val="auto"/>
      </w:pPr>
      <w:r>
        <w:rPr>
          <w:spacing w:val="-7"/>
          <w:position w:val="28"/>
        </w:rPr>
        <w:t>甲方指定的邮寄地址：海口市海甸岛人民大道</w:t>
      </w:r>
      <w:r>
        <w:rPr>
          <w:spacing w:val="-33"/>
          <w:position w:val="28"/>
        </w:rPr>
        <w:t xml:space="preserve"> </w:t>
      </w:r>
      <w:r>
        <w:rPr>
          <w:rFonts w:ascii="Calibri" w:hAnsi="Calibri" w:eastAsia="Calibri" w:cs="Calibri"/>
          <w:spacing w:val="-7"/>
          <w:position w:val="28"/>
        </w:rPr>
        <w:t>43</w:t>
      </w:r>
      <w:r>
        <w:rPr>
          <w:rFonts w:ascii="Calibri" w:hAnsi="Calibri" w:eastAsia="Calibri" w:cs="Calibri"/>
          <w:spacing w:val="31"/>
          <w:w w:val="101"/>
          <w:position w:val="28"/>
        </w:rPr>
        <w:t xml:space="preserve"> </w:t>
      </w:r>
      <w:r>
        <w:rPr>
          <w:spacing w:val="-7"/>
          <w:position w:val="28"/>
        </w:rPr>
        <w:t xml:space="preserve">号 综合保障楼 </w:t>
      </w:r>
      <w:r>
        <w:rPr>
          <w:rFonts w:ascii="Calibri" w:hAnsi="Calibri" w:eastAsia="Calibri" w:cs="Calibri"/>
          <w:spacing w:val="-7"/>
          <w:position w:val="28"/>
        </w:rPr>
        <w:t>11</w:t>
      </w:r>
      <w:r>
        <w:rPr>
          <w:rFonts w:ascii="Calibri" w:hAnsi="Calibri" w:eastAsia="Calibri" w:cs="Calibri"/>
          <w:spacing w:val="21"/>
          <w:position w:val="28"/>
        </w:rPr>
        <w:t xml:space="preserve"> </w:t>
      </w:r>
      <w:r>
        <w:rPr>
          <w:spacing w:val="-7"/>
          <w:position w:val="28"/>
        </w:rPr>
        <w:t xml:space="preserve">栋 </w:t>
      </w:r>
      <w:r>
        <w:rPr>
          <w:rFonts w:ascii="Calibri" w:hAnsi="Calibri" w:eastAsia="Calibri" w:cs="Calibri"/>
          <w:spacing w:val="-7"/>
          <w:position w:val="28"/>
        </w:rPr>
        <w:t>B</w:t>
      </w:r>
      <w:r>
        <w:rPr>
          <w:rFonts w:ascii="Calibri" w:hAnsi="Calibri" w:eastAsia="Calibri" w:cs="Calibri"/>
          <w:spacing w:val="28"/>
          <w:position w:val="28"/>
        </w:rPr>
        <w:t xml:space="preserve"> </w:t>
      </w:r>
      <w:r>
        <w:rPr>
          <w:spacing w:val="-7"/>
          <w:position w:val="28"/>
        </w:rPr>
        <w:t xml:space="preserve">座 </w:t>
      </w:r>
      <w:r>
        <w:rPr>
          <w:rFonts w:ascii="Calibri" w:hAnsi="Calibri" w:eastAsia="Calibri" w:cs="Calibri"/>
          <w:spacing w:val="-8"/>
          <w:position w:val="28"/>
        </w:rPr>
        <w:t>11</w:t>
      </w:r>
      <w:r>
        <w:rPr>
          <w:rFonts w:hint="eastAsia" w:ascii="Calibri" w:hAnsi="Calibri" w:cs="Calibri"/>
          <w:spacing w:val="-8"/>
          <w:position w:val="28"/>
          <w:lang w:val="en-US" w:eastAsia="zh-CN"/>
        </w:rPr>
        <w:t>5</w:t>
      </w:r>
      <w:r>
        <w:t>室</w:t>
      </w:r>
    </w:p>
    <w:p>
      <w:pPr>
        <w:pStyle w:val="2"/>
        <w:spacing w:before="304" w:line="219" w:lineRule="auto"/>
        <w:ind w:left="48" w:firstLine="476" w:firstLineChars="200"/>
        <w:rPr>
          <w:rFonts w:hint="eastAsia" w:ascii="宋体" w:hAnsi="宋体" w:eastAsia="宋体" w:cs="宋体"/>
          <w:b w:val="0"/>
          <w:bCs w:val="0"/>
          <w:lang w:val="en-US" w:eastAsia="zh-CN"/>
        </w:rPr>
      </w:pPr>
      <w:r>
        <w:rPr>
          <w:rFonts w:hint="eastAsia" w:ascii="宋体" w:hAnsi="宋体" w:eastAsia="宋体" w:cs="宋体"/>
          <w:b w:val="0"/>
          <w:bCs w:val="0"/>
          <w:spacing w:val="-1"/>
          <w14:textOutline w14:w="4358" w14:cap="sq" w14:cmpd="sng">
            <w14:solidFill>
              <w14:srgbClr w14:val="000000"/>
            </w14:solidFill>
            <w14:prstDash w14:val="solid"/>
            <w14:bevel/>
          </w14:textOutline>
        </w:rPr>
        <w:t>收件人：</w:t>
      </w:r>
      <w:r>
        <w:rPr>
          <w:rFonts w:hint="eastAsia" w:ascii="宋体" w:hAnsi="宋体" w:eastAsia="宋体" w:cs="宋体"/>
          <w:b w:val="0"/>
          <w:bCs w:val="0"/>
          <w:spacing w:val="-1"/>
          <w:lang w:eastAsia="zh-CN"/>
          <w14:textOutline w14:w="4358" w14:cap="sq" w14:cmpd="sng">
            <w14:solidFill>
              <w14:srgbClr w14:val="000000"/>
            </w14:solidFill>
            <w14:prstDash w14:val="solid"/>
            <w14:bevel/>
          </w14:textOutline>
        </w:rPr>
        <w:t>吴先生</w:t>
      </w:r>
      <w:r>
        <w:rPr>
          <w:rFonts w:hint="eastAsia" w:ascii="宋体" w:hAnsi="宋体" w:eastAsia="宋体" w:cs="宋体"/>
          <w:b w:val="0"/>
          <w:bCs w:val="0"/>
          <w:spacing w:val="-1"/>
        </w:rPr>
        <w:t xml:space="preserve">           </w:t>
      </w:r>
      <w:r>
        <w:rPr>
          <w:rFonts w:hint="eastAsia" w:ascii="宋体" w:hAnsi="宋体" w:eastAsia="宋体" w:cs="宋体"/>
          <w:b w:val="0"/>
          <w:bCs w:val="0"/>
          <w:spacing w:val="-1"/>
          <w14:textOutline w14:w="4358" w14:cap="sq" w14:cmpd="sng">
            <w14:solidFill>
              <w14:srgbClr w14:val="000000"/>
            </w14:solidFill>
            <w14:prstDash w14:val="solid"/>
            <w14:bevel/>
          </w14:textOutline>
        </w:rPr>
        <w:t>联系电话：</w:t>
      </w:r>
      <w:r>
        <w:rPr>
          <w:rFonts w:hint="eastAsia" w:ascii="宋体" w:hAnsi="宋体" w:eastAsia="宋体" w:cs="宋体"/>
          <w:b w:val="0"/>
          <w:bCs w:val="0"/>
          <w:spacing w:val="-1"/>
        </w:rPr>
        <w:t>0898-</w:t>
      </w:r>
      <w:r>
        <w:rPr>
          <w:rFonts w:hint="eastAsia" w:ascii="宋体" w:hAnsi="宋体" w:eastAsia="宋体" w:cs="宋体"/>
          <w:b w:val="0"/>
          <w:bCs w:val="0"/>
          <w:spacing w:val="-2"/>
        </w:rPr>
        <w:t>6618</w:t>
      </w:r>
      <w:r>
        <w:rPr>
          <w:rFonts w:hint="eastAsia" w:ascii="宋体" w:hAnsi="宋体" w:eastAsia="宋体" w:cs="宋体"/>
          <w:b w:val="0"/>
          <w:bCs w:val="0"/>
          <w:spacing w:val="-2"/>
          <w:lang w:val="en-US" w:eastAsia="zh-CN"/>
        </w:rPr>
        <w:t>9527</w:t>
      </w:r>
    </w:p>
    <w:p>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cs="Arial"/>
          <w:b w:val="0"/>
          <w:bCs w:val="0"/>
          <w:color w:val="000000"/>
          <w:kern w:val="0"/>
          <w:sz w:val="24"/>
        </w:rPr>
      </w:pPr>
      <w:r>
        <w:rPr>
          <w:rFonts w:hint="eastAsia"/>
          <w:b w:val="0"/>
          <w:bCs w:val="0"/>
          <w:sz w:val="24"/>
          <w:szCs w:val="24"/>
        </w:rPr>
        <w:t>乙方指定的邮寄地址：</w:t>
      </w:r>
      <w:r>
        <w:rPr>
          <w:rFonts w:hint="eastAsia" w:ascii="Arial" w:hAnsi="Arial" w:cs="Arial"/>
          <w:b w:val="0"/>
          <w:bCs w:val="0"/>
          <w:color w:val="000000"/>
          <w:kern w:val="0"/>
          <w:sz w:val="24"/>
          <w:u w:val="single"/>
          <w:lang w:val="en-US" w:eastAsia="zh-CN"/>
        </w:rPr>
        <w:t xml:space="preserve">                          </w:t>
      </w:r>
      <w:r>
        <w:rPr>
          <w:rFonts w:hint="eastAsia"/>
          <w:b w:val="0"/>
          <w:bCs w:val="0"/>
          <w:sz w:val="24"/>
          <w:szCs w:val="24"/>
        </w:rPr>
        <w:t xml:space="preserve"> </w:t>
      </w:r>
      <w:r>
        <w:rPr>
          <w:rFonts w:hint="eastAsia" w:ascii="宋体" w:hAnsi="宋体" w:eastAsia="宋体" w:cs="Arial"/>
          <w:b w:val="0"/>
          <w:bCs w:val="0"/>
          <w:color w:val="000000"/>
          <w:kern w:val="0"/>
          <w:sz w:val="24"/>
        </w:rPr>
        <w:t xml:space="preserve"> </w:t>
      </w:r>
    </w:p>
    <w:p>
      <w:pPr>
        <w:widowControl/>
        <w:shd w:val="clear" w:color="auto" w:fill="auto"/>
        <w:adjustRightInd w:val="0"/>
        <w:snapToGrid w:val="0"/>
        <w:spacing w:line="360" w:lineRule="auto"/>
        <w:ind w:firstLine="480" w:firstLineChars="200"/>
        <w:jc w:val="left"/>
        <w:rPr>
          <w:rFonts w:hint="default" w:ascii="宋体" w:hAnsi="宋体" w:cs="Arial" w:eastAsiaTheme="minorEastAsia"/>
          <w:b w:val="0"/>
          <w:bCs w:val="0"/>
          <w:color w:val="000000"/>
          <w:kern w:val="0"/>
          <w:sz w:val="24"/>
          <w:lang w:val="en-US" w:eastAsia="zh-CN"/>
        </w:rPr>
      </w:pPr>
      <w:r>
        <w:rPr>
          <w:rFonts w:hint="eastAsia" w:ascii="宋体" w:hAnsi="宋体" w:eastAsia="宋体" w:cs="Arial"/>
          <w:b w:val="0"/>
          <w:bCs w:val="0"/>
          <w:color w:val="000000"/>
          <w:kern w:val="0"/>
          <w:sz w:val="24"/>
        </w:rPr>
        <w:t>收件人：</w:t>
      </w:r>
      <w:r>
        <w:rPr>
          <w:rFonts w:hint="eastAsia" w:ascii="Arial" w:hAnsi="Arial" w:cs="Arial"/>
          <w:b w:val="0"/>
          <w:bCs w:val="0"/>
          <w:color w:val="000000"/>
          <w:kern w:val="0"/>
          <w:sz w:val="24"/>
          <w:u w:val="single"/>
          <w:lang w:val="en-US" w:eastAsia="zh-CN"/>
        </w:rPr>
        <w:t xml:space="preserve">             </w:t>
      </w:r>
      <w:r>
        <w:rPr>
          <w:rFonts w:hint="eastAsia" w:ascii="宋体" w:hAnsi="宋体" w:eastAsia="宋体" w:cs="Arial"/>
          <w:b w:val="0"/>
          <w:bCs w:val="0"/>
          <w:color w:val="000000"/>
          <w:kern w:val="0"/>
          <w:sz w:val="24"/>
          <w:lang w:val="en-US" w:eastAsia="zh-CN"/>
        </w:rPr>
        <w:t xml:space="preserve"> </w:t>
      </w:r>
      <w:r>
        <w:rPr>
          <w:rFonts w:hint="eastAsia" w:ascii="宋体" w:hAnsi="宋体" w:eastAsia="宋体" w:cs="Arial"/>
          <w:b w:val="0"/>
          <w:bCs w:val="0"/>
          <w:color w:val="000000"/>
          <w:kern w:val="0"/>
          <w:sz w:val="24"/>
        </w:rPr>
        <w:t>联系电话：</w:t>
      </w:r>
      <w:r>
        <w:rPr>
          <w:rFonts w:hint="eastAsia" w:ascii="Arial" w:hAnsi="Arial" w:cs="Arial"/>
          <w:b w:val="0"/>
          <w:bCs w:val="0"/>
          <w:color w:val="000000"/>
          <w:kern w:val="0"/>
          <w:sz w:val="24"/>
          <w:u w:val="single"/>
          <w:lang w:val="en-US" w:eastAsia="zh-CN"/>
        </w:rPr>
        <w:t xml:space="preserve">                   </w:t>
      </w:r>
    </w:p>
    <w:p>
      <w:pPr>
        <w:numPr>
          <w:ilvl w:val="0"/>
          <w:numId w:val="1"/>
        </w:numPr>
        <w:spacing w:line="360" w:lineRule="auto"/>
        <w:ind w:firstLine="480" w:firstLineChars="200"/>
        <w:rPr>
          <w:rFonts w:hint="eastAsia"/>
          <w:sz w:val="24"/>
          <w:szCs w:val="24"/>
        </w:rPr>
      </w:pPr>
      <w:r>
        <w:rPr>
          <w:rFonts w:hint="eastAsia"/>
          <w:b w:val="0"/>
          <w:bCs w:val="0"/>
          <w:sz w:val="24"/>
          <w:szCs w:val="24"/>
        </w:rPr>
        <w:t>甲乙双方可指定各自的电子邮箱作为接收通知或文</w:t>
      </w:r>
      <w:r>
        <w:rPr>
          <w:rFonts w:hint="eastAsia"/>
          <w:sz w:val="24"/>
          <w:szCs w:val="24"/>
        </w:rPr>
        <w:t>件的方式，按照如下电子邮箱进行发送，则在发送后的第一个工作日即视为有效送达：</w:t>
      </w:r>
    </w:p>
    <w:p>
      <w:pPr>
        <w:pStyle w:val="2"/>
        <w:spacing w:before="78" w:line="591" w:lineRule="exact"/>
        <w:ind w:left="92"/>
        <w:rPr>
          <w:rFonts w:hint="eastAsia"/>
          <w:sz w:val="24"/>
          <w:szCs w:val="24"/>
        </w:rPr>
      </w:pPr>
      <w:r>
        <w:rPr>
          <w:spacing w:val="-3"/>
          <w:position w:val="27"/>
        </w:rPr>
        <w:t>甲方指定的电子邮箱：</w:t>
      </w:r>
      <w:r>
        <w:rPr>
          <w:rFonts w:ascii="Calibri" w:hAnsi="Calibri" w:eastAsia="Calibri" w:cs="Calibri"/>
          <w:spacing w:val="-3"/>
          <w:position w:val="27"/>
        </w:rPr>
        <w:t>yxgcc66189527@1</w:t>
      </w:r>
      <w:r>
        <w:rPr>
          <w:rFonts w:ascii="Calibri" w:hAnsi="Calibri" w:eastAsia="Calibri" w:cs="Calibri"/>
          <w:spacing w:val="-4"/>
          <w:position w:val="27"/>
        </w:rPr>
        <w:t>63.com</w:t>
      </w:r>
    </w:p>
    <w:p>
      <w:pPr>
        <w:spacing w:line="360" w:lineRule="auto"/>
        <w:rPr>
          <w:sz w:val="24"/>
          <w:szCs w:val="24"/>
        </w:rPr>
      </w:pPr>
      <w:r>
        <w:rPr>
          <w:rFonts w:hint="eastAsia"/>
          <w:sz w:val="24"/>
          <w:szCs w:val="24"/>
        </w:rPr>
        <w:t>乙方指定的电子邮箱：</w:t>
      </w:r>
      <w:r>
        <w:rPr>
          <w:rFonts w:hint="eastAsia" w:ascii="Arial" w:hAnsi="Arial" w:cs="Arial"/>
          <w:b w:val="0"/>
          <w:bCs w:val="0"/>
          <w:color w:val="000000"/>
          <w:kern w:val="0"/>
          <w:sz w:val="24"/>
          <w:u w:val="single"/>
          <w:lang w:val="en-US" w:eastAsia="zh-CN"/>
        </w:rPr>
        <w:t xml:space="preserve">                    </w:t>
      </w:r>
      <w:r>
        <w:rPr>
          <w:rFonts w:hint="eastAsia"/>
          <w:sz w:val="24"/>
          <w:szCs w:val="24"/>
        </w:rPr>
        <w:t xml:space="preserve">            </w:t>
      </w:r>
    </w:p>
    <w:p>
      <w:pPr>
        <w:spacing w:line="360" w:lineRule="auto"/>
        <w:ind w:firstLine="480" w:firstLineChars="200"/>
        <w:rPr>
          <w:sz w:val="24"/>
          <w:szCs w:val="24"/>
        </w:rPr>
      </w:pPr>
      <w:r>
        <w:rPr>
          <w:rFonts w:hint="eastAsia"/>
          <w:sz w:val="24"/>
          <w:szCs w:val="24"/>
        </w:rPr>
        <w:t>3.合同有效期内，若任何一方变更上述通讯信息的，应先以上述方式及时通知对方，并在收到对方确认文件后，通讯信息变更方才有效。</w:t>
      </w:r>
    </w:p>
    <w:p>
      <w:pPr>
        <w:spacing w:line="360" w:lineRule="auto"/>
        <w:ind w:firstLine="480" w:firstLineChars="200"/>
        <w:rPr>
          <w:sz w:val="24"/>
          <w:szCs w:val="24"/>
        </w:rPr>
      </w:pPr>
      <w:r>
        <w:rPr>
          <w:rFonts w:hint="eastAsia"/>
          <w:sz w:val="24"/>
          <w:szCs w:val="24"/>
        </w:rPr>
        <w:t>4.以上送达地址适用范围包括但不限于各类告知书、通知书、工作联系单、协议文件、诉讼，送达主体可以是</w:t>
      </w:r>
      <w:r>
        <w:rPr>
          <w:rFonts w:hint="eastAsia"/>
          <w:sz w:val="24"/>
          <w:szCs w:val="24"/>
          <w:lang w:val="en-US" w:eastAsia="zh-CN"/>
        </w:rPr>
        <w:t>合同</w:t>
      </w:r>
      <w:r>
        <w:rPr>
          <w:rFonts w:hint="eastAsia"/>
          <w:sz w:val="24"/>
          <w:szCs w:val="24"/>
        </w:rPr>
        <w:t>各方、人民法院及各行政机关。</w:t>
      </w:r>
    </w:p>
    <w:p>
      <w:pPr>
        <w:spacing w:line="360" w:lineRule="auto"/>
        <w:ind w:firstLine="480" w:firstLineChars="200"/>
        <w:rPr>
          <w:rFonts w:hint="eastAsia"/>
          <w:sz w:val="24"/>
          <w:szCs w:val="24"/>
        </w:rPr>
      </w:pPr>
      <w:r>
        <w:rPr>
          <w:rFonts w:hint="eastAsia"/>
          <w:sz w:val="24"/>
          <w:szCs w:val="24"/>
        </w:rPr>
        <w:t>十五、其他</w:t>
      </w:r>
    </w:p>
    <w:p>
      <w:pPr>
        <w:pStyle w:val="2"/>
        <w:spacing w:before="79" w:line="219" w:lineRule="auto"/>
        <w:ind w:left="53" w:firstLine="472" w:firstLineChars="200"/>
      </w:pPr>
      <w:r>
        <w:rPr>
          <w:rFonts w:ascii="Calibri" w:hAnsi="Calibri" w:eastAsia="Calibri" w:cs="Calibri"/>
          <w:spacing w:val="-2"/>
        </w:rPr>
        <w:t>1.</w:t>
      </w:r>
      <w:r>
        <w:rPr>
          <w:spacing w:val="-2"/>
        </w:rPr>
        <w:t>本合同一式三份，甲方两份，乙方一份，每份均具有同等法律效力。</w:t>
      </w:r>
    </w:p>
    <w:p>
      <w:pPr>
        <w:spacing w:line="360" w:lineRule="auto"/>
        <w:ind w:firstLine="480" w:firstLineChars="200"/>
        <w:rPr>
          <w:rFonts w:hint="eastAsia"/>
          <w:sz w:val="24"/>
          <w:szCs w:val="24"/>
        </w:rPr>
      </w:pPr>
    </w:p>
    <w:p>
      <w:pPr>
        <w:spacing w:line="360" w:lineRule="auto"/>
        <w:ind w:left="0" w:firstLine="480" w:firstLineChars="200"/>
        <w:rPr>
          <w:sz w:val="24"/>
          <w:szCs w:val="24"/>
        </w:rPr>
      </w:pPr>
      <w:r>
        <w:rPr>
          <w:rFonts w:hint="eastAsia"/>
          <w:sz w:val="24"/>
          <w:szCs w:val="24"/>
        </w:rPr>
        <w:t>2.本</w:t>
      </w:r>
      <w:r>
        <w:rPr>
          <w:rFonts w:hint="eastAsia"/>
          <w:color w:val="auto"/>
          <w:sz w:val="24"/>
          <w:szCs w:val="24"/>
        </w:rPr>
        <w:t>合同经双方签字盖章之日起生效，合同期为</w:t>
      </w:r>
      <w:r>
        <w:rPr>
          <w:rFonts w:hint="eastAsia"/>
          <w:color w:val="auto"/>
          <w:sz w:val="24"/>
          <w:szCs w:val="24"/>
          <w:lang w:eastAsia="zh-CN"/>
        </w:rPr>
        <w:t>贰</w:t>
      </w:r>
      <w:r>
        <w:rPr>
          <w:rFonts w:hint="eastAsia"/>
          <w:color w:val="auto"/>
          <w:sz w:val="24"/>
          <w:szCs w:val="24"/>
        </w:rPr>
        <w:t>年，自</w:t>
      </w:r>
      <w:r>
        <w:rPr>
          <w:rFonts w:hint="eastAsia"/>
          <w:color w:val="auto"/>
          <w:sz w:val="24"/>
          <w:szCs w:val="24"/>
          <w:lang w:val="en-US" w:eastAsia="zh-CN"/>
        </w:rPr>
        <w:t>2025</w:t>
      </w:r>
      <w:r>
        <w:rPr>
          <w:rFonts w:hint="eastAsia"/>
          <w:color w:val="auto"/>
          <w:sz w:val="24"/>
          <w:szCs w:val="24"/>
        </w:rPr>
        <w:t>年</w:t>
      </w:r>
      <w:r>
        <w:rPr>
          <w:rFonts w:hint="eastAsia"/>
          <w:color w:val="auto"/>
          <w:sz w:val="24"/>
          <w:szCs w:val="24"/>
          <w:lang w:val="en-US" w:eastAsia="zh-CN"/>
        </w:rPr>
        <w:t xml:space="preserve">  </w:t>
      </w:r>
      <w:r>
        <w:rPr>
          <w:rFonts w:hint="eastAsia"/>
          <w:color w:val="auto"/>
          <w:sz w:val="24"/>
          <w:szCs w:val="24"/>
        </w:rPr>
        <w:t>月</w:t>
      </w:r>
      <w:r>
        <w:rPr>
          <w:rFonts w:hint="eastAsia"/>
          <w:color w:val="auto"/>
          <w:sz w:val="24"/>
          <w:szCs w:val="24"/>
          <w:lang w:val="en-US" w:eastAsia="zh-CN"/>
        </w:rPr>
        <w:t xml:space="preserve">  </w:t>
      </w:r>
      <w:r>
        <w:rPr>
          <w:rFonts w:hint="eastAsia"/>
          <w:color w:val="auto"/>
          <w:sz w:val="24"/>
          <w:szCs w:val="24"/>
        </w:rPr>
        <w:t>日起至</w:t>
      </w:r>
      <w:r>
        <w:rPr>
          <w:rFonts w:hint="eastAsia"/>
          <w:color w:val="auto"/>
          <w:sz w:val="24"/>
          <w:szCs w:val="24"/>
          <w:lang w:val="en-US" w:eastAsia="zh-CN"/>
        </w:rPr>
        <w:t xml:space="preserve">2027 </w:t>
      </w:r>
      <w:r>
        <w:rPr>
          <w:rFonts w:hint="eastAsia"/>
          <w:color w:val="auto"/>
          <w:sz w:val="24"/>
          <w:szCs w:val="24"/>
        </w:rPr>
        <w:t>年</w:t>
      </w:r>
      <w:r>
        <w:rPr>
          <w:rFonts w:hint="eastAsia"/>
          <w:color w:val="auto"/>
          <w:sz w:val="24"/>
          <w:szCs w:val="24"/>
          <w:lang w:val="en-US" w:eastAsia="zh-CN"/>
        </w:rPr>
        <w:t xml:space="preserve">  </w:t>
      </w:r>
      <w:r>
        <w:rPr>
          <w:rFonts w:hint="eastAsia"/>
          <w:color w:val="auto"/>
          <w:sz w:val="24"/>
          <w:szCs w:val="24"/>
        </w:rPr>
        <w:t>月</w:t>
      </w:r>
      <w:r>
        <w:rPr>
          <w:rFonts w:hint="eastAsia"/>
          <w:color w:val="auto"/>
          <w:sz w:val="24"/>
          <w:szCs w:val="24"/>
          <w:lang w:val="en-US" w:eastAsia="zh-CN"/>
        </w:rPr>
        <w:t xml:space="preserve">  </w:t>
      </w:r>
      <w:r>
        <w:rPr>
          <w:rFonts w:hint="eastAsia"/>
          <w:color w:val="auto"/>
          <w:sz w:val="24"/>
          <w:szCs w:val="24"/>
        </w:rPr>
        <w:t>日止</w:t>
      </w:r>
      <w:r>
        <w:rPr>
          <w:rFonts w:hint="eastAsia"/>
          <w:color w:val="auto"/>
          <w:sz w:val="24"/>
          <w:szCs w:val="24"/>
          <w:lang w:eastAsia="zh-CN"/>
        </w:rPr>
        <w:t>。</w:t>
      </w:r>
    </w:p>
    <w:p>
      <w:pPr>
        <w:spacing w:line="360" w:lineRule="auto"/>
        <w:ind w:firstLine="480" w:firstLineChars="200"/>
        <w:rPr>
          <w:rFonts w:hint="eastAsia"/>
          <w:sz w:val="24"/>
          <w:szCs w:val="24"/>
        </w:rPr>
      </w:pPr>
      <w:r>
        <w:rPr>
          <w:rFonts w:hint="eastAsia"/>
          <w:sz w:val="24"/>
          <w:szCs w:val="24"/>
        </w:rPr>
        <w:t>3.附件一为本合同组成部分，与本合同具有同等法律效力。</w:t>
      </w:r>
    </w:p>
    <w:p>
      <w:pPr>
        <w:shd w:val="clear"/>
        <w:spacing w:line="360" w:lineRule="auto"/>
        <w:ind w:firstLine="480" w:firstLineChars="200"/>
        <w:rPr>
          <w:rFonts w:hint="eastAsia"/>
          <w:sz w:val="24"/>
          <w:szCs w:val="24"/>
          <w:lang w:val="en-US" w:eastAsia="zh-CN"/>
        </w:rPr>
      </w:pPr>
      <w:r>
        <w:rPr>
          <w:rFonts w:hint="eastAsia"/>
          <w:sz w:val="24"/>
          <w:szCs w:val="24"/>
          <w:lang w:val="en-US" w:eastAsia="zh-CN"/>
        </w:rPr>
        <w:t>4.本合同未尽事宜，由甲、乙双方另行议定，并签订补充协议，补充协议与本合同具有同等法律效力。</w:t>
      </w:r>
    </w:p>
    <w:p>
      <w:pPr>
        <w:shd w:val="clear"/>
        <w:spacing w:line="360" w:lineRule="auto"/>
        <w:ind w:firstLine="480" w:firstLineChars="200"/>
        <w:rPr>
          <w:rFonts w:hint="eastAsia"/>
          <w:sz w:val="24"/>
          <w:szCs w:val="24"/>
          <w:lang w:val="en-US" w:eastAsia="zh-CN"/>
        </w:rPr>
      </w:pPr>
      <w:r>
        <w:rPr>
          <w:rFonts w:hint="eastAsia"/>
          <w:sz w:val="24"/>
          <w:szCs w:val="24"/>
          <w:lang w:val="en-US" w:eastAsia="zh-CN"/>
        </w:rPr>
        <w:t>（以下无正文）</w:t>
      </w:r>
    </w:p>
    <w:p>
      <w:pPr>
        <w:shd w:val="clear"/>
        <w:spacing w:line="360" w:lineRule="auto"/>
        <w:ind w:firstLine="480" w:firstLineChars="200"/>
        <w:rPr>
          <w:rFonts w:hint="eastAsia"/>
          <w:sz w:val="24"/>
          <w:szCs w:val="24"/>
          <w:lang w:val="en-US" w:eastAsia="zh-CN"/>
        </w:rPr>
      </w:pPr>
    </w:p>
    <w:p>
      <w:pPr>
        <w:shd w:val="clear"/>
        <w:spacing w:line="360" w:lineRule="auto"/>
        <w:ind w:firstLine="480" w:firstLineChars="200"/>
        <w:rPr>
          <w:rFonts w:hint="eastAsia"/>
          <w:sz w:val="24"/>
          <w:szCs w:val="24"/>
          <w:lang w:val="en-US" w:eastAsia="zh-CN"/>
        </w:rPr>
      </w:pPr>
    </w:p>
    <w:p>
      <w:pPr>
        <w:shd w:val="clear"/>
        <w:spacing w:line="360" w:lineRule="auto"/>
        <w:ind w:firstLine="480" w:firstLineChars="200"/>
        <w:rPr>
          <w:rFonts w:hint="eastAsia"/>
          <w:sz w:val="24"/>
          <w:szCs w:val="24"/>
          <w:lang w:val="en-US" w:eastAsia="zh-CN"/>
        </w:rPr>
      </w:pPr>
    </w:p>
    <w:p>
      <w:pPr>
        <w:shd w:val="clear"/>
        <w:spacing w:line="360" w:lineRule="auto"/>
        <w:ind w:firstLine="480" w:firstLineChars="200"/>
        <w:rPr>
          <w:rFonts w:hint="eastAsia"/>
          <w:sz w:val="24"/>
          <w:szCs w:val="24"/>
          <w:lang w:val="en-US" w:eastAsia="zh-CN"/>
        </w:rPr>
      </w:pPr>
    </w:p>
    <w:p>
      <w:pPr>
        <w:spacing w:line="240" w:lineRule="auto"/>
        <w:rPr>
          <w:rFonts w:hint="eastAsia"/>
          <w:sz w:val="24"/>
          <w:szCs w:val="24"/>
        </w:rPr>
      </w:pPr>
    </w:p>
    <w:tbl>
      <w:tblPr>
        <w:tblStyle w:val="5"/>
        <w:tblW w:w="852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012"/>
        <w:gridCol w:w="45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4012" w:type="dxa"/>
          </w:tcPr>
          <w:p>
            <w:pPr>
              <w:spacing w:line="360" w:lineRule="auto"/>
              <w:rPr>
                <w:rFonts w:hint="eastAsia"/>
                <w:sz w:val="24"/>
                <w:szCs w:val="24"/>
                <w:vertAlign w:val="baseline"/>
              </w:rPr>
            </w:pPr>
            <w:r>
              <w:rPr>
                <w:rFonts w:hint="eastAsia"/>
                <w:sz w:val="24"/>
                <w:szCs w:val="24"/>
              </w:rPr>
              <w:t>甲方：海口市人民医院（公章）</w:t>
            </w:r>
          </w:p>
        </w:tc>
        <w:tc>
          <w:tcPr>
            <w:tcW w:w="4510" w:type="dxa"/>
          </w:tcPr>
          <w:p>
            <w:pPr>
              <w:spacing w:line="360" w:lineRule="auto"/>
              <w:ind w:left="1680" w:hanging="1680" w:hangingChars="700"/>
              <w:rPr>
                <w:rFonts w:hint="eastAsia" w:ascii="宋体" w:hAnsi="宋体" w:eastAsia="宋体" w:cs="宋体"/>
                <w:kern w:val="0"/>
                <w:sz w:val="24"/>
                <w:szCs w:val="24"/>
                <w:lang w:val="en-US" w:eastAsia="zh-CN" w:bidi="ar"/>
              </w:rPr>
            </w:pPr>
            <w:r>
              <w:rPr>
                <w:rFonts w:hint="eastAsia"/>
                <w:sz w:val="24"/>
                <w:szCs w:val="24"/>
              </w:rPr>
              <w:t>乙方（公章）：</w:t>
            </w:r>
            <w:r>
              <w:rPr>
                <w:rFonts w:hint="eastAsia"/>
                <w:sz w:val="24"/>
                <w:szCs w:val="24"/>
                <w:lang w:val="en-US"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4012" w:type="dxa"/>
          </w:tcPr>
          <w:p>
            <w:pPr>
              <w:spacing w:line="360" w:lineRule="auto"/>
              <w:rPr>
                <w:rFonts w:hint="eastAsia"/>
                <w:sz w:val="24"/>
                <w:szCs w:val="24"/>
                <w:vertAlign w:val="baseline"/>
              </w:rPr>
            </w:pPr>
            <w:r>
              <w:rPr>
                <w:rFonts w:hint="eastAsia"/>
                <w:sz w:val="24"/>
                <w:szCs w:val="24"/>
              </w:rPr>
              <w:t>地址：海口市美兰区人民大道43号</w:t>
            </w:r>
          </w:p>
        </w:tc>
        <w:tc>
          <w:tcPr>
            <w:tcW w:w="4510" w:type="dxa"/>
          </w:tcPr>
          <w:p>
            <w:pPr>
              <w:widowControl/>
              <w:spacing w:line="360" w:lineRule="auto"/>
              <w:ind w:left="720" w:hanging="720" w:hangingChars="300"/>
              <w:jc w:val="left"/>
              <w:rPr>
                <w:rFonts w:hint="eastAsia"/>
                <w:sz w:val="24"/>
                <w:szCs w:val="24"/>
                <w:vertAlign w:val="baseline"/>
              </w:rPr>
            </w:pPr>
            <w:r>
              <w:rPr>
                <w:rFonts w:hint="eastAsia"/>
                <w:sz w:val="24"/>
                <w:szCs w:val="24"/>
              </w:rPr>
              <w:t>地址：</w:t>
            </w:r>
            <w:r>
              <w:rPr>
                <w:rFonts w:hint="eastAsia"/>
                <w:sz w:val="24"/>
                <w:szCs w:val="24"/>
                <w:lang w:val="en-US"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437" w:hRule="atLeast"/>
        </w:trPr>
        <w:tc>
          <w:tcPr>
            <w:tcW w:w="4012" w:type="dxa"/>
          </w:tcPr>
          <w:p>
            <w:pPr>
              <w:spacing w:line="360" w:lineRule="auto"/>
              <w:rPr>
                <w:rFonts w:hint="eastAsia"/>
                <w:sz w:val="24"/>
                <w:szCs w:val="24"/>
                <w:vertAlign w:val="baseline"/>
              </w:rPr>
            </w:pPr>
            <w:r>
              <w:rPr>
                <w:rFonts w:hint="eastAsia"/>
                <w:sz w:val="24"/>
                <w:szCs w:val="24"/>
                <w:lang w:eastAsia="zh-CN"/>
              </w:rPr>
              <w:t>单位负责人</w:t>
            </w:r>
            <w:r>
              <w:rPr>
                <w:rFonts w:hint="eastAsia"/>
                <w:sz w:val="24"/>
                <w:szCs w:val="24"/>
              </w:rPr>
              <w:t xml:space="preserve">（签字或盖章）： </w:t>
            </w:r>
          </w:p>
        </w:tc>
        <w:tc>
          <w:tcPr>
            <w:tcW w:w="4510" w:type="dxa"/>
          </w:tcPr>
          <w:p>
            <w:pPr>
              <w:spacing w:line="360" w:lineRule="auto"/>
              <w:rPr>
                <w:rFonts w:hint="eastAsia"/>
                <w:sz w:val="24"/>
                <w:szCs w:val="24"/>
              </w:rPr>
            </w:pPr>
            <w:r>
              <w:rPr>
                <w:rFonts w:hint="eastAsia"/>
                <w:sz w:val="24"/>
                <w:szCs w:val="24"/>
                <w:lang w:val="en-US" w:eastAsia="zh-CN"/>
              </w:rPr>
              <w:t>法定代表人</w:t>
            </w:r>
            <w:r>
              <w:rPr>
                <w:rFonts w:hint="eastAsia"/>
                <w:sz w:val="24"/>
                <w:szCs w:val="24"/>
              </w:rPr>
              <w:t>（签字或盖章）：</w:t>
            </w:r>
          </w:p>
          <w:p>
            <w:pPr>
              <w:spacing w:line="360" w:lineRule="auto"/>
              <w:rPr>
                <w:rFonts w:hint="eastAsia"/>
                <w:sz w:val="24"/>
                <w:szCs w:val="24"/>
              </w:rPr>
            </w:pPr>
          </w:p>
          <w:p>
            <w:pPr>
              <w:spacing w:line="360" w:lineRule="auto"/>
              <w:rPr>
                <w:rFonts w:hint="eastAsia"/>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4012" w:type="dxa"/>
          </w:tcPr>
          <w:p>
            <w:pPr>
              <w:spacing w:line="360" w:lineRule="auto"/>
              <w:rPr>
                <w:rFonts w:hint="eastAsia" w:eastAsiaTheme="minorEastAsia"/>
                <w:sz w:val="24"/>
                <w:szCs w:val="24"/>
                <w:vertAlign w:val="baseline"/>
                <w:lang w:eastAsia="zh-CN"/>
              </w:rPr>
            </w:pPr>
            <w:r>
              <w:rPr>
                <w:rFonts w:hint="eastAsia"/>
                <w:sz w:val="24"/>
                <w:szCs w:val="24"/>
                <w:lang w:eastAsia="zh-CN"/>
              </w:rPr>
              <w:t>分管院领导</w:t>
            </w:r>
            <w:r>
              <w:rPr>
                <w:rFonts w:hint="eastAsia"/>
                <w:sz w:val="24"/>
                <w:szCs w:val="24"/>
              </w:rPr>
              <w:t>（签字或盖章）</w:t>
            </w:r>
            <w:r>
              <w:rPr>
                <w:rFonts w:hint="eastAsia"/>
                <w:sz w:val="24"/>
                <w:szCs w:val="24"/>
                <w:lang w:eastAsia="zh-CN"/>
              </w:rPr>
              <w:t>：</w:t>
            </w:r>
          </w:p>
        </w:tc>
        <w:tc>
          <w:tcPr>
            <w:tcW w:w="4510" w:type="dxa"/>
          </w:tcPr>
          <w:p>
            <w:pPr>
              <w:keepNext w:val="0"/>
              <w:keepLines w:val="0"/>
              <w:widowControl/>
              <w:suppressLineNumbers w:val="0"/>
              <w:spacing w:line="360" w:lineRule="auto"/>
              <w:ind w:firstLine="0" w:firstLineChars="0"/>
              <w:jc w:val="left"/>
              <w:rPr>
                <w:rFonts w:hint="eastAsia" w:ascii="新宋体" w:hAnsi="新宋体" w:eastAsia="新宋体" w:cs="Arial"/>
                <w:b w:val="0"/>
                <w:bCs w:val="0"/>
                <w:color w:val="000000"/>
                <w:kern w:val="0"/>
                <w:sz w:val="24"/>
                <w:szCs w:val="24"/>
                <w:lang w:val="en-US" w:eastAsia="zh-CN"/>
              </w:rPr>
            </w:pPr>
            <w:r>
              <w:rPr>
                <w:rFonts w:hint="eastAsia" w:ascii="新宋体" w:hAnsi="新宋体" w:eastAsia="新宋体" w:cs="Arial"/>
                <w:b w:val="0"/>
                <w:bCs w:val="0"/>
                <w:color w:val="000000"/>
                <w:kern w:val="0"/>
                <w:sz w:val="24"/>
                <w:szCs w:val="24"/>
              </w:rPr>
              <w:t>开户名称：</w:t>
            </w:r>
            <w:r>
              <w:rPr>
                <w:rFonts w:hint="eastAsia" w:ascii="新宋体" w:hAnsi="新宋体" w:eastAsia="新宋体" w:cs="Times New Roman"/>
                <w:b w:val="0"/>
                <w:sz w:val="24"/>
                <w:szCs w:val="24"/>
                <w:lang w:val="en-US" w:eastAsia="zh-CN"/>
              </w:rPr>
              <w:t xml:space="preserve"> </w:t>
            </w:r>
            <w:r>
              <w:rPr>
                <w:rFonts w:hint="eastAsia" w:ascii="新宋体" w:hAnsi="新宋体" w:eastAsia="新宋体" w:cs="Arial"/>
                <w:b w:val="0"/>
                <w:bCs w:val="0"/>
                <w:color w:val="000000"/>
                <w:kern w:val="0"/>
                <w:sz w:val="24"/>
                <w:szCs w:val="24"/>
                <w:lang w:eastAsia="zh-CN"/>
              </w:rPr>
              <w:t xml:space="preserve"> </w:t>
            </w:r>
            <w:r>
              <w:rPr>
                <w:rFonts w:hint="eastAsia" w:ascii="新宋体" w:hAnsi="新宋体" w:eastAsia="新宋体" w:cs="Arial"/>
                <w:b w:val="0"/>
                <w:bCs w:val="0"/>
                <w:color w:val="000000"/>
                <w:kern w:val="0"/>
                <w:sz w:val="24"/>
                <w:szCs w:val="24"/>
                <w:lang w:val="en-US" w:eastAsia="zh-CN"/>
              </w:rPr>
              <w:t xml:space="preserve">                  </w:t>
            </w:r>
          </w:p>
          <w:p>
            <w:pPr>
              <w:keepNext w:val="0"/>
              <w:keepLines w:val="0"/>
              <w:widowControl/>
              <w:suppressLineNumbers w:val="0"/>
              <w:spacing w:line="360" w:lineRule="auto"/>
              <w:ind w:left="1200" w:hanging="1200" w:hangingChars="500"/>
              <w:jc w:val="left"/>
              <w:rPr>
                <w:rFonts w:hint="default" w:ascii="新宋体" w:hAnsi="新宋体" w:eastAsia="新宋体" w:cs="Times New Roman"/>
                <w:b w:val="0"/>
                <w:sz w:val="24"/>
                <w:szCs w:val="24"/>
                <w:lang w:val="en-US" w:eastAsia="zh-CN"/>
              </w:rPr>
            </w:pPr>
            <w:r>
              <w:rPr>
                <w:rFonts w:hint="eastAsia" w:ascii="新宋体" w:hAnsi="新宋体" w:eastAsia="新宋体" w:cs="Arial"/>
                <w:b w:val="0"/>
                <w:bCs w:val="0"/>
                <w:color w:val="000000"/>
                <w:kern w:val="0"/>
                <w:sz w:val="24"/>
                <w:szCs w:val="24"/>
              </w:rPr>
              <w:t>开户银行：</w:t>
            </w:r>
          </w:p>
          <w:p>
            <w:pPr>
              <w:widowControl/>
              <w:spacing w:line="360" w:lineRule="auto"/>
              <w:jc w:val="left"/>
              <w:rPr>
                <w:rFonts w:hint="eastAsia"/>
                <w:sz w:val="24"/>
                <w:szCs w:val="24"/>
                <w:vertAlign w:val="baseline"/>
              </w:rPr>
            </w:pPr>
            <w:r>
              <w:rPr>
                <w:rFonts w:hint="eastAsia" w:ascii="新宋体" w:hAnsi="新宋体" w:eastAsia="新宋体" w:cs="Arial"/>
                <w:b w:val="0"/>
                <w:bCs w:val="0"/>
                <w:color w:val="000000"/>
                <w:kern w:val="0"/>
                <w:sz w:val="24"/>
                <w:szCs w:val="24"/>
              </w:rPr>
              <w:t>账    号：</w:t>
            </w:r>
            <w:r>
              <w:rPr>
                <w:rFonts w:hint="eastAsia" w:ascii="新宋体" w:hAnsi="新宋体" w:eastAsia="新宋体" w:cs="Times New Roman"/>
                <w:b w:val="0"/>
                <w:sz w:val="24"/>
                <w:szCs w:val="24"/>
                <w:lang w:val="en-US"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6" w:hRule="atLeast"/>
        </w:trPr>
        <w:tc>
          <w:tcPr>
            <w:tcW w:w="4012" w:type="dxa"/>
          </w:tcPr>
          <w:p>
            <w:pPr>
              <w:spacing w:line="360" w:lineRule="auto"/>
              <w:rPr>
                <w:rFonts w:hint="eastAsia"/>
                <w:color w:val="auto"/>
                <w:sz w:val="24"/>
                <w:szCs w:val="24"/>
                <w:vertAlign w:val="baseline"/>
              </w:rPr>
            </w:pPr>
            <w:r>
              <w:rPr>
                <w:rFonts w:hint="eastAsia"/>
                <w:color w:val="auto"/>
                <w:sz w:val="24"/>
                <w:szCs w:val="24"/>
              </w:rPr>
              <w:t>签订日期：</w:t>
            </w:r>
            <w:r>
              <w:rPr>
                <w:rFonts w:hint="eastAsia"/>
                <w:color w:val="auto"/>
                <w:sz w:val="24"/>
                <w:szCs w:val="24"/>
                <w:lang w:val="en-US" w:eastAsia="zh-CN"/>
              </w:rPr>
              <w:t xml:space="preserve"> 2025</w:t>
            </w:r>
            <w:r>
              <w:rPr>
                <w:rFonts w:hint="eastAsia"/>
                <w:color w:val="auto"/>
                <w:sz w:val="24"/>
                <w:szCs w:val="24"/>
              </w:rPr>
              <w:t>年</w:t>
            </w:r>
            <w:r>
              <w:rPr>
                <w:rFonts w:hint="eastAsia"/>
                <w:color w:val="auto"/>
                <w:sz w:val="24"/>
                <w:szCs w:val="24"/>
                <w:lang w:val="en-US" w:eastAsia="zh-CN"/>
              </w:rPr>
              <w:t xml:space="preserve">  </w:t>
            </w:r>
            <w:r>
              <w:rPr>
                <w:rFonts w:hint="eastAsia"/>
                <w:color w:val="auto"/>
                <w:sz w:val="24"/>
                <w:szCs w:val="24"/>
              </w:rPr>
              <w:t>月</w:t>
            </w:r>
            <w:r>
              <w:rPr>
                <w:rFonts w:hint="eastAsia"/>
                <w:color w:val="auto"/>
                <w:sz w:val="24"/>
                <w:szCs w:val="24"/>
                <w:lang w:val="en-US" w:eastAsia="zh-CN"/>
              </w:rPr>
              <w:t xml:space="preserve">  </w:t>
            </w:r>
            <w:r>
              <w:rPr>
                <w:rFonts w:hint="eastAsia"/>
                <w:color w:val="auto"/>
                <w:sz w:val="24"/>
                <w:szCs w:val="24"/>
              </w:rPr>
              <w:t xml:space="preserve">日 </w:t>
            </w:r>
          </w:p>
        </w:tc>
        <w:tc>
          <w:tcPr>
            <w:tcW w:w="4510" w:type="dxa"/>
          </w:tcPr>
          <w:p>
            <w:pPr>
              <w:spacing w:line="360" w:lineRule="auto"/>
              <w:rPr>
                <w:rFonts w:hint="eastAsia"/>
                <w:color w:val="auto"/>
                <w:sz w:val="24"/>
                <w:szCs w:val="24"/>
                <w:vertAlign w:val="baseline"/>
              </w:rPr>
            </w:pPr>
            <w:r>
              <w:rPr>
                <w:rFonts w:hint="eastAsia"/>
                <w:color w:val="auto"/>
                <w:sz w:val="24"/>
                <w:szCs w:val="24"/>
              </w:rPr>
              <w:t>签订日期：</w:t>
            </w:r>
            <w:r>
              <w:rPr>
                <w:rFonts w:hint="eastAsia"/>
                <w:color w:val="auto"/>
                <w:sz w:val="24"/>
                <w:szCs w:val="24"/>
                <w:lang w:val="en-US" w:eastAsia="zh-CN"/>
              </w:rPr>
              <w:t>2025</w:t>
            </w:r>
            <w:r>
              <w:rPr>
                <w:rFonts w:hint="eastAsia"/>
                <w:color w:val="auto"/>
                <w:sz w:val="24"/>
                <w:szCs w:val="24"/>
              </w:rPr>
              <w:t>年</w:t>
            </w:r>
            <w:r>
              <w:rPr>
                <w:rFonts w:hint="eastAsia"/>
                <w:color w:val="auto"/>
                <w:sz w:val="24"/>
                <w:szCs w:val="24"/>
                <w:lang w:val="en-US" w:eastAsia="zh-CN"/>
              </w:rPr>
              <w:t xml:space="preserve">  </w:t>
            </w:r>
            <w:r>
              <w:rPr>
                <w:rFonts w:hint="eastAsia"/>
                <w:color w:val="auto"/>
                <w:sz w:val="24"/>
                <w:szCs w:val="24"/>
              </w:rPr>
              <w:t>月</w:t>
            </w:r>
            <w:r>
              <w:rPr>
                <w:rFonts w:hint="eastAsia"/>
                <w:color w:val="auto"/>
                <w:sz w:val="24"/>
                <w:szCs w:val="24"/>
                <w:lang w:val="en-US" w:eastAsia="zh-CN"/>
              </w:rPr>
              <w:t xml:space="preserve">  </w:t>
            </w:r>
            <w:r>
              <w:rPr>
                <w:rFonts w:hint="eastAsia"/>
                <w:color w:val="auto"/>
                <w:sz w:val="24"/>
                <w:szCs w:val="24"/>
              </w:rPr>
              <w:t>日</w:t>
            </w:r>
          </w:p>
        </w:tc>
      </w:tr>
    </w:tbl>
    <w:p>
      <w:pPr>
        <w:spacing w:line="360" w:lineRule="auto"/>
        <w:ind w:firstLine="0" w:firstLineChars="0"/>
        <w:rPr>
          <w:rFonts w:hint="eastAsia" w:eastAsiaTheme="minorEastAsia"/>
          <w:sz w:val="24"/>
          <w:szCs w:val="24"/>
          <w:lang w:eastAsia="zh-CN"/>
        </w:rPr>
      </w:pPr>
      <w:r>
        <w:rPr>
          <w:rFonts w:hint="eastAsia"/>
          <w:sz w:val="24"/>
          <w:szCs w:val="24"/>
        </w:rPr>
        <w:t xml:space="preserve">   </w:t>
      </w:r>
    </w:p>
    <w:p>
      <w:pPr>
        <w:keepNext w:val="0"/>
        <w:keepLines w:val="0"/>
        <w:widowControl/>
        <w:suppressLineNumbers w:val="0"/>
        <w:spacing w:line="360" w:lineRule="auto"/>
        <w:ind w:firstLine="0" w:firstLineChars="0"/>
        <w:jc w:val="left"/>
        <w:rPr>
          <w:rFonts w:hint="eastAsia" w:ascii="新宋体" w:hAnsi="新宋体" w:eastAsia="新宋体" w:cs="Times New Roman"/>
          <w:b/>
          <w:sz w:val="24"/>
          <w:szCs w:val="24"/>
          <w:lang w:eastAsia="zh-CN"/>
        </w:rPr>
      </w:pPr>
      <w:r>
        <w:rPr>
          <w:rFonts w:hint="eastAsia"/>
          <w:sz w:val="24"/>
          <w:szCs w:val="24"/>
        </w:rPr>
        <w:t xml:space="preserve">                       </w:t>
      </w:r>
    </w:p>
    <w:p>
      <w:pPr>
        <w:spacing w:line="360" w:lineRule="auto"/>
        <w:rPr>
          <w:sz w:val="24"/>
          <w:szCs w:val="24"/>
        </w:rPr>
      </w:pPr>
      <w:r>
        <w:rPr>
          <w:rFonts w:hint="eastAsia"/>
          <w:sz w:val="24"/>
          <w:szCs w:val="24"/>
        </w:rPr>
        <w:t xml:space="preserve">         </w:t>
      </w:r>
    </w:p>
    <w:p>
      <w:pPr>
        <w:rPr>
          <w:sz w:val="24"/>
          <w:szCs w:val="24"/>
        </w:rPr>
      </w:pPr>
      <w:r>
        <w:rPr>
          <w:sz w:val="24"/>
          <w:szCs w:val="24"/>
        </w:rPr>
        <w:br w:type="page"/>
      </w:r>
    </w:p>
    <w:p>
      <w:pPr>
        <w:rPr>
          <w:sz w:val="28"/>
          <w:szCs w:val="28"/>
        </w:rPr>
      </w:pPr>
      <w:r>
        <w:rPr>
          <w:rFonts w:hint="eastAsia"/>
          <w:sz w:val="28"/>
          <w:szCs w:val="28"/>
        </w:rPr>
        <w:t>附件一：</w:t>
      </w:r>
    </w:p>
    <w:p>
      <w:pPr>
        <w:jc w:val="center"/>
        <w:rPr>
          <w:sz w:val="44"/>
          <w:szCs w:val="44"/>
        </w:rPr>
      </w:pPr>
      <w:r>
        <w:rPr>
          <w:rFonts w:hint="eastAsia"/>
          <w:sz w:val="36"/>
          <w:szCs w:val="36"/>
        </w:rPr>
        <w:t>质量保证函</w:t>
      </w:r>
    </w:p>
    <w:p>
      <w:pPr>
        <w:ind w:firstLine="440" w:firstLineChars="200"/>
        <w:rPr>
          <w:sz w:val="22"/>
          <w:szCs w:val="22"/>
        </w:rPr>
      </w:pPr>
      <w:r>
        <w:rPr>
          <w:rFonts w:hint="eastAsia"/>
          <w:sz w:val="22"/>
          <w:szCs w:val="22"/>
        </w:rPr>
        <w:t>为加强医用耗材、试剂等产品质量管理，严把进货渠道，保证临床使用安全有效，根据《医疗器械监督管理条例</w:t>
      </w:r>
      <w:r>
        <w:rPr>
          <w:rFonts w:hint="eastAsia"/>
          <w:sz w:val="22"/>
          <w:szCs w:val="22"/>
          <w:lang w:eastAsia="zh-CN"/>
        </w:rPr>
        <w:t>》《</w:t>
      </w:r>
      <w:r>
        <w:rPr>
          <w:rFonts w:hint="eastAsia"/>
          <w:sz w:val="22"/>
          <w:szCs w:val="22"/>
        </w:rPr>
        <w:t>一次性使用无菌医疗器械监督管理办法</w:t>
      </w:r>
      <w:r>
        <w:rPr>
          <w:rFonts w:hint="eastAsia"/>
          <w:sz w:val="22"/>
          <w:szCs w:val="22"/>
          <w:lang w:eastAsia="zh-CN"/>
        </w:rPr>
        <w:t>（</w:t>
      </w:r>
      <w:r>
        <w:rPr>
          <w:rFonts w:hint="eastAsia"/>
          <w:sz w:val="22"/>
          <w:szCs w:val="22"/>
        </w:rPr>
        <w:t>暂行</w:t>
      </w:r>
      <w:r>
        <w:rPr>
          <w:rFonts w:hint="eastAsia"/>
          <w:sz w:val="22"/>
          <w:szCs w:val="22"/>
          <w:lang w:eastAsia="zh-CN"/>
        </w:rPr>
        <w:t>）</w:t>
      </w:r>
      <w:r>
        <w:rPr>
          <w:rFonts w:hint="eastAsia"/>
          <w:sz w:val="22"/>
          <w:szCs w:val="22"/>
        </w:rPr>
        <w:t>》等有关法律法规，经双方协商后制订本协议。</w:t>
      </w:r>
    </w:p>
    <w:p>
      <w:pPr>
        <w:ind w:firstLine="440" w:firstLineChars="200"/>
        <w:rPr>
          <w:sz w:val="22"/>
          <w:szCs w:val="22"/>
        </w:rPr>
      </w:pPr>
      <w:r>
        <w:rPr>
          <w:rFonts w:hint="eastAsia"/>
          <w:sz w:val="22"/>
          <w:szCs w:val="22"/>
        </w:rPr>
        <w:t>一、甲乙双方的质量责任</w:t>
      </w:r>
    </w:p>
    <w:p>
      <w:pPr>
        <w:ind w:firstLine="440" w:firstLineChars="200"/>
        <w:rPr>
          <w:sz w:val="22"/>
          <w:szCs w:val="22"/>
        </w:rPr>
      </w:pPr>
      <w:r>
        <w:rPr>
          <w:rFonts w:hint="eastAsia"/>
          <w:sz w:val="22"/>
          <w:szCs w:val="22"/>
        </w:rPr>
        <w:t xml:space="preserve"> 1、乙方必须对其所提供的医用耗材、试剂等产品质量负责，保证给甲方所供产品无假冒伪劣和超过有效期限产品。对产品在使用过程中有效期限内出现的因质量安全问题而导致的事故、不良事件、医疗纠纷，乙方承担一切经济与法律责任。</w:t>
      </w:r>
    </w:p>
    <w:p>
      <w:pPr>
        <w:ind w:firstLine="440" w:firstLineChars="200"/>
        <w:rPr>
          <w:sz w:val="22"/>
          <w:szCs w:val="22"/>
        </w:rPr>
      </w:pPr>
      <w:r>
        <w:rPr>
          <w:rFonts w:hint="eastAsia"/>
          <w:sz w:val="22"/>
          <w:szCs w:val="22"/>
        </w:rPr>
        <w:t>2、乙方所提供产品必须附有相应合格证明。</w:t>
      </w:r>
    </w:p>
    <w:p>
      <w:pPr>
        <w:ind w:firstLine="440" w:firstLineChars="200"/>
        <w:rPr>
          <w:sz w:val="22"/>
          <w:szCs w:val="22"/>
        </w:rPr>
      </w:pPr>
      <w:r>
        <w:rPr>
          <w:rFonts w:hint="eastAsia"/>
          <w:sz w:val="22"/>
          <w:szCs w:val="22"/>
        </w:rPr>
        <w:t>3、乙方应按照有关规定将所经营医疗器械、消毒产品的相关资质资料复印件加盖红色印章提供给甲方备案存档，如：《医疗器械注册证</w:t>
      </w:r>
      <w:r>
        <w:rPr>
          <w:rFonts w:hint="eastAsia"/>
          <w:sz w:val="22"/>
          <w:szCs w:val="22"/>
          <w:lang w:eastAsia="zh-CN"/>
        </w:rPr>
        <w:t>》《</w:t>
      </w:r>
      <w:r>
        <w:rPr>
          <w:rFonts w:hint="eastAsia"/>
          <w:sz w:val="22"/>
          <w:szCs w:val="22"/>
        </w:rPr>
        <w:t>医疗器械生产企业许可证</w:t>
      </w:r>
      <w:r>
        <w:rPr>
          <w:rFonts w:hint="eastAsia"/>
          <w:sz w:val="22"/>
          <w:szCs w:val="22"/>
          <w:lang w:eastAsia="zh-CN"/>
        </w:rPr>
        <w:t>》《</w:t>
      </w:r>
      <w:r>
        <w:rPr>
          <w:rFonts w:hint="eastAsia"/>
          <w:sz w:val="22"/>
          <w:szCs w:val="22"/>
        </w:rPr>
        <w:t>生产企业营业执照</w:t>
      </w:r>
      <w:r>
        <w:rPr>
          <w:rFonts w:hint="eastAsia"/>
          <w:sz w:val="22"/>
          <w:szCs w:val="22"/>
          <w:lang w:eastAsia="zh-CN"/>
        </w:rPr>
        <w:t>》《</w:t>
      </w:r>
      <w:r>
        <w:rPr>
          <w:rFonts w:hint="eastAsia"/>
          <w:sz w:val="22"/>
          <w:szCs w:val="22"/>
        </w:rPr>
        <w:t>生产企业卫生许可证</w:t>
      </w:r>
      <w:r>
        <w:rPr>
          <w:rFonts w:hint="eastAsia"/>
          <w:sz w:val="22"/>
          <w:szCs w:val="22"/>
          <w:lang w:eastAsia="zh-CN"/>
        </w:rPr>
        <w:t>》《</w:t>
      </w:r>
      <w:r>
        <w:rPr>
          <w:rFonts w:hint="eastAsia"/>
          <w:sz w:val="22"/>
          <w:szCs w:val="22"/>
        </w:rPr>
        <w:t>卫生许可批件</w:t>
      </w:r>
      <w:r>
        <w:rPr>
          <w:rFonts w:hint="eastAsia"/>
          <w:sz w:val="22"/>
          <w:szCs w:val="22"/>
          <w:lang w:eastAsia="zh-CN"/>
        </w:rPr>
        <w:t>》《</w:t>
      </w:r>
      <w:r>
        <w:rPr>
          <w:rFonts w:hint="eastAsia"/>
          <w:sz w:val="22"/>
          <w:szCs w:val="22"/>
        </w:rPr>
        <w:t>生产企业组织代码证》等。</w:t>
      </w:r>
    </w:p>
    <w:p>
      <w:pPr>
        <w:ind w:firstLine="440" w:firstLineChars="200"/>
        <w:rPr>
          <w:sz w:val="22"/>
          <w:szCs w:val="22"/>
        </w:rPr>
      </w:pPr>
      <w:r>
        <w:rPr>
          <w:rFonts w:hint="eastAsia"/>
          <w:sz w:val="22"/>
          <w:szCs w:val="22"/>
        </w:rPr>
        <w:t>4、甲方验收入库后由于自己保管不善所造成的破损、发霉、变质等而带来的经济损失，则由甲方负责。</w:t>
      </w:r>
    </w:p>
    <w:p>
      <w:pPr>
        <w:ind w:firstLine="440" w:firstLineChars="200"/>
        <w:rPr>
          <w:sz w:val="22"/>
          <w:szCs w:val="22"/>
        </w:rPr>
      </w:pPr>
      <w:r>
        <w:rPr>
          <w:rFonts w:hint="eastAsia"/>
          <w:sz w:val="22"/>
          <w:szCs w:val="22"/>
        </w:rPr>
        <w:t>二、乙方应当提供符合规定的资料且对其真实性、有效性负责，因提供虚假或无效资料，对双方所造成的损失，全部由乙方负责；</w:t>
      </w:r>
    </w:p>
    <w:p>
      <w:pPr>
        <w:ind w:firstLine="440" w:firstLineChars="200"/>
        <w:rPr>
          <w:sz w:val="22"/>
          <w:szCs w:val="22"/>
        </w:rPr>
      </w:pPr>
      <w:r>
        <w:rPr>
          <w:rFonts w:hint="eastAsia"/>
          <w:sz w:val="22"/>
          <w:szCs w:val="22"/>
        </w:rPr>
        <w:t>三、乙方应当按照国家规定开具发票；发票应注明产品的名称、规格型号、单位、数量、单价、金额、生产厂家、产品批号等；不能全部注明的，应当附《销售货物清单》，并加盖专用章原印章、注明税票号码。</w:t>
      </w:r>
    </w:p>
    <w:p>
      <w:pPr>
        <w:ind w:firstLine="440" w:firstLineChars="200"/>
        <w:rPr>
          <w:sz w:val="22"/>
          <w:szCs w:val="22"/>
        </w:rPr>
      </w:pPr>
      <w:r>
        <w:rPr>
          <w:rFonts w:hint="eastAsia"/>
          <w:sz w:val="22"/>
          <w:szCs w:val="22"/>
        </w:rPr>
        <w:t>四、乙方所提供的产品，其质量必须符合相关产品质量标准的要求；</w:t>
      </w:r>
    </w:p>
    <w:p>
      <w:pPr>
        <w:ind w:firstLine="440" w:firstLineChars="200"/>
        <w:rPr>
          <w:sz w:val="22"/>
          <w:szCs w:val="22"/>
        </w:rPr>
      </w:pPr>
      <w:r>
        <w:rPr>
          <w:rFonts w:hint="eastAsia"/>
          <w:sz w:val="22"/>
          <w:szCs w:val="22"/>
        </w:rPr>
        <w:t>五、乙方所提供的产品，其包装、标签、说明书必须符合国家有关规定；</w:t>
      </w:r>
    </w:p>
    <w:p>
      <w:pPr>
        <w:ind w:firstLine="440" w:firstLineChars="200"/>
        <w:rPr>
          <w:sz w:val="22"/>
          <w:szCs w:val="22"/>
        </w:rPr>
      </w:pPr>
      <w:r>
        <w:rPr>
          <w:rFonts w:hint="eastAsia"/>
          <w:sz w:val="22"/>
          <w:szCs w:val="22"/>
        </w:rPr>
        <w:t>六、产品运输的质量保证及责任：乙方在运输途中必须采取必要的冷藏、防碰撞、防污染等保证产品质量的措施，甲方在收货时，发现有下列情形之一的均有权拒收：</w:t>
      </w:r>
    </w:p>
    <w:p>
      <w:pPr>
        <w:ind w:firstLine="440" w:firstLineChars="200"/>
        <w:rPr>
          <w:sz w:val="22"/>
          <w:szCs w:val="22"/>
        </w:rPr>
      </w:pPr>
      <w:r>
        <w:rPr>
          <w:rFonts w:hint="eastAsia"/>
          <w:sz w:val="22"/>
          <w:szCs w:val="22"/>
        </w:rPr>
        <w:t>1、产品出现鼠咬、内包装破损等现象的；</w:t>
      </w:r>
    </w:p>
    <w:p>
      <w:pPr>
        <w:ind w:firstLine="440" w:firstLineChars="200"/>
        <w:rPr>
          <w:sz w:val="22"/>
          <w:szCs w:val="22"/>
        </w:rPr>
      </w:pPr>
      <w:r>
        <w:rPr>
          <w:rFonts w:hint="eastAsia"/>
          <w:sz w:val="22"/>
          <w:szCs w:val="22"/>
        </w:rPr>
        <w:t>2、产品包装内有异常响动、液体渗漏和有异常气味；</w:t>
      </w:r>
    </w:p>
    <w:p>
      <w:pPr>
        <w:ind w:firstLine="440" w:firstLineChars="200"/>
        <w:rPr>
          <w:sz w:val="22"/>
          <w:szCs w:val="22"/>
        </w:rPr>
      </w:pPr>
      <w:r>
        <w:rPr>
          <w:rFonts w:hint="eastAsia"/>
          <w:sz w:val="22"/>
          <w:szCs w:val="22"/>
        </w:rPr>
        <w:t>3、产品外包装出现破损、封口不严、衬垫不实、封条严重破坏等现象；</w:t>
      </w:r>
    </w:p>
    <w:p>
      <w:pPr>
        <w:ind w:firstLine="440" w:firstLineChars="200"/>
        <w:rPr>
          <w:sz w:val="22"/>
          <w:szCs w:val="22"/>
        </w:rPr>
      </w:pPr>
      <w:r>
        <w:rPr>
          <w:rFonts w:hint="eastAsia"/>
          <w:sz w:val="22"/>
          <w:szCs w:val="22"/>
        </w:rPr>
        <w:t>4、产品包装、标签上的文字内容模糊不清或瓶签脱落，污染；</w:t>
      </w:r>
    </w:p>
    <w:p>
      <w:pPr>
        <w:ind w:firstLine="440" w:firstLineChars="200"/>
        <w:rPr>
          <w:sz w:val="22"/>
          <w:szCs w:val="22"/>
        </w:rPr>
      </w:pPr>
      <w:r>
        <w:rPr>
          <w:rFonts w:hint="eastAsia"/>
          <w:sz w:val="22"/>
          <w:szCs w:val="22"/>
        </w:rPr>
        <w:t>5、需冷藏产品没有采取冷藏措施或已采取措施但没有达到规定的温度范围；</w:t>
      </w:r>
    </w:p>
    <w:p>
      <w:pPr>
        <w:ind w:firstLine="440" w:firstLineChars="200"/>
        <w:rPr>
          <w:sz w:val="22"/>
          <w:szCs w:val="22"/>
        </w:rPr>
      </w:pPr>
      <w:r>
        <w:rPr>
          <w:rFonts w:hint="eastAsia"/>
          <w:sz w:val="22"/>
          <w:szCs w:val="22"/>
        </w:rPr>
        <w:t>6、其他不符合产品质量标准或有关法律法规的情形。</w:t>
      </w:r>
    </w:p>
    <w:p>
      <w:pPr>
        <w:ind w:firstLine="440" w:firstLineChars="200"/>
        <w:rPr>
          <w:sz w:val="22"/>
          <w:szCs w:val="22"/>
        </w:rPr>
      </w:pPr>
      <w:r>
        <w:rPr>
          <w:rFonts w:hint="eastAsia"/>
          <w:sz w:val="22"/>
          <w:szCs w:val="22"/>
        </w:rPr>
        <w:t>七、乙方应按照甲方的计划订单发货，并在规定时间内到货。如不能按时到货，应及时通知甲方。</w:t>
      </w:r>
    </w:p>
    <w:p>
      <w:pPr>
        <w:ind w:firstLine="440" w:firstLineChars="200"/>
        <w:rPr>
          <w:sz w:val="22"/>
          <w:szCs w:val="22"/>
        </w:rPr>
      </w:pPr>
      <w:r>
        <w:rPr>
          <w:rFonts w:hint="eastAsia"/>
          <w:sz w:val="22"/>
          <w:szCs w:val="22"/>
        </w:rPr>
        <w:t>八、甲方收到乙方的货品应及时验收，如发现货品缺少、破损等情况应及时通知乙方处理。</w:t>
      </w:r>
    </w:p>
    <w:p>
      <w:pPr>
        <w:ind w:firstLine="440" w:firstLineChars="200"/>
        <w:rPr>
          <w:rFonts w:hint="eastAsia"/>
          <w:sz w:val="22"/>
          <w:szCs w:val="22"/>
        </w:rPr>
      </w:pPr>
      <w:r>
        <w:rPr>
          <w:rFonts w:hint="eastAsia"/>
          <w:sz w:val="22"/>
          <w:szCs w:val="22"/>
        </w:rPr>
        <w:t>九、乙方供应的医用耗材如出现27位医保编码更新，须通知甲方，如因提供的医保编码有误或未能及时告知甲方更新，导致甲方造成的损失，由乙方承担一切后果。</w:t>
      </w:r>
    </w:p>
    <w:p>
      <w:pPr>
        <w:wordWrap/>
        <w:ind w:firstLine="0" w:firstLineChars="0"/>
        <w:jc w:val="left"/>
        <w:rPr>
          <w:rFonts w:hint="eastAsia"/>
          <w:sz w:val="22"/>
          <w:szCs w:val="22"/>
          <w:lang w:eastAsia="zh-CN"/>
        </w:rPr>
      </w:pPr>
    </w:p>
    <w:p>
      <w:pPr>
        <w:wordWrap/>
        <w:ind w:firstLine="440" w:firstLineChars="200"/>
        <w:jc w:val="center"/>
        <w:rPr>
          <w:rFonts w:hint="eastAsia" w:eastAsiaTheme="minorEastAsia"/>
          <w:sz w:val="22"/>
          <w:szCs w:val="22"/>
          <w:lang w:eastAsia="zh-CN"/>
        </w:rPr>
      </w:pPr>
      <w:r>
        <w:rPr>
          <w:rFonts w:hint="eastAsia"/>
          <w:sz w:val="22"/>
          <w:szCs w:val="22"/>
          <w:lang w:val="en-US" w:eastAsia="zh-CN"/>
        </w:rPr>
        <w:t xml:space="preserve">                               </w:t>
      </w:r>
      <w:r>
        <w:rPr>
          <w:rFonts w:hint="eastAsia"/>
          <w:sz w:val="22"/>
          <w:szCs w:val="22"/>
          <w:lang w:eastAsia="zh-CN"/>
        </w:rPr>
        <w:t>公司（盖章）：</w:t>
      </w:r>
      <w:r>
        <w:rPr>
          <w:rFonts w:hint="eastAsia"/>
          <w:sz w:val="22"/>
          <w:szCs w:val="22"/>
          <w:lang w:val="en-US" w:eastAsia="zh-CN"/>
        </w:rPr>
        <w:t xml:space="preserve">             </w:t>
      </w:r>
    </w:p>
    <w:p>
      <w:pPr>
        <w:ind w:firstLine="440" w:firstLineChars="200"/>
        <w:jc w:val="center"/>
        <w:rPr>
          <w:rFonts w:hint="eastAsia"/>
          <w:sz w:val="22"/>
          <w:szCs w:val="22"/>
          <w:lang w:val="en-US" w:eastAsia="zh-CN"/>
        </w:rPr>
      </w:pPr>
      <w:r>
        <w:rPr>
          <w:rFonts w:hint="eastAsia"/>
          <w:sz w:val="22"/>
          <w:szCs w:val="22"/>
          <w:lang w:val="en-US" w:eastAsia="zh-CN"/>
        </w:rPr>
        <w:t xml:space="preserve">                                            </w:t>
      </w:r>
    </w:p>
    <w:p>
      <w:r>
        <w:rPr>
          <w:rFonts w:hint="eastAsia"/>
          <w:color w:val="auto"/>
          <w:sz w:val="24"/>
          <w:szCs w:val="24"/>
          <w:lang w:val="en-US" w:eastAsia="zh-CN"/>
        </w:rPr>
        <w:t>2025</w:t>
      </w:r>
      <w:r>
        <w:rPr>
          <w:rFonts w:hint="eastAsia"/>
          <w:color w:val="auto"/>
          <w:sz w:val="24"/>
          <w:szCs w:val="24"/>
        </w:rPr>
        <w:t>年</w:t>
      </w:r>
      <w:r>
        <w:rPr>
          <w:rFonts w:hint="eastAsia"/>
          <w:color w:val="auto"/>
          <w:sz w:val="24"/>
          <w:szCs w:val="24"/>
          <w:lang w:val="en-US" w:eastAsia="zh-CN"/>
        </w:rPr>
        <w:t xml:space="preserve">  </w:t>
      </w:r>
      <w:r>
        <w:rPr>
          <w:rFonts w:hint="eastAsia"/>
          <w:color w:val="auto"/>
          <w:sz w:val="24"/>
          <w:szCs w:val="24"/>
        </w:rPr>
        <w:t>月</w:t>
      </w:r>
      <w:r>
        <w:rPr>
          <w:rFonts w:hint="eastAsia"/>
          <w:color w:val="auto"/>
          <w:sz w:val="24"/>
          <w:szCs w:val="24"/>
          <w:lang w:val="en-US" w:eastAsia="zh-CN"/>
        </w:rPr>
        <w:t xml:space="preserve">  </w:t>
      </w:r>
      <w:r>
        <w:rPr>
          <w:rFonts w:hint="eastAsia"/>
          <w:color w:val="auto"/>
          <w:sz w:val="24"/>
          <w:szCs w:val="24"/>
        </w:rPr>
        <w:t>日</w:t>
      </w:r>
      <w:r>
        <w:br w:type="textWrapp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EEBB83"/>
    <w:multiLevelType w:val="singleLevel"/>
    <w:tmpl w:val="0EEEBB83"/>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7E70FE0"/>
    <w:rsid w:val="13DA7422"/>
    <w:rsid w:val="67E70F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4"/>
      <w:szCs w:val="24"/>
      <w:lang w:val="en-US" w:eastAsia="en-US" w:bidi="ar-SA"/>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6">
    <w:name w:val="样式1"/>
    <w:basedOn w:val="1"/>
    <w:qFormat/>
    <w:uiPriority w:val="0"/>
    <w:rPr>
      <w:rFonts w:ascii="Calibri" w:hAnsi="Calibri" w:eastAsia="宋体" w:cs="Times New Roman"/>
      <w:sz w:val="44"/>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2025-06-18T07:59:00Z</dcterms:created>
  <dc:creator>Administrator</dc:creator>
  <cp:lastModifiedBy>Administrator</cp:lastModifiedBy>
  <dcterms:modified xsi:type="dcterms:W3CDTF">2025-06-18T07:59:26Z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ies>
</file>