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2025年在押人员食堂食材及副产品采购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HNZT2025-139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海口市第二看守所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海南政通招投标有限公司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海口市第二看守所</w:t>
      </w:r>
      <w:r>
        <w:rPr>
          <w:rFonts w:ascii="仿宋_GB2312" w:hAnsi="仿宋_GB2312" w:cs="仿宋_GB2312" w:eastAsia="仿宋_GB2312"/>
        </w:rPr>
        <w:t xml:space="preserve"> 委托， </w:t>
      </w:r>
      <w:r>
        <w:rPr>
          <w:rFonts w:ascii="仿宋_GB2312" w:hAnsi="仿宋_GB2312" w:cs="仿宋_GB2312" w:eastAsia="仿宋_GB2312"/>
        </w:rPr>
        <w:t>海南政通招投标有限公司</w:t>
      </w:r>
      <w:r>
        <w:rPr>
          <w:rFonts w:ascii="仿宋_GB2312" w:hAnsi="仿宋_GB2312" w:cs="仿宋_GB2312" w:eastAsia="仿宋_GB2312"/>
        </w:rPr>
        <w:t xml:space="preserve"> 对 </w:t>
      </w:r>
      <w:r>
        <w:rPr>
          <w:rFonts w:ascii="仿宋_GB2312" w:hAnsi="仿宋_GB2312" w:cs="仿宋_GB2312" w:eastAsia="仿宋_GB2312"/>
        </w:rPr>
        <w:t>2025年在押人员食堂食材及副产品采购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HNZT2025-139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2025年在押人员食堂食材及副产品采购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6,000,000.00元</w:t>
      </w:r>
      <w:r>
        <w:rPr>
          <w:rFonts w:ascii="仿宋_GB2312" w:hAnsi="仿宋_GB2312" w:cs="仿宋_GB2312" w:eastAsia="仿宋_GB2312"/>
        </w:rPr>
        <w:t>陆佰万元整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12个月，自2025年7月1日—2026年6月30日。（合同签订后按采购人要求完成配送）。</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1、单位负责人为同一人或者存在直接控股、管理关系的不同投标人，不得参加同一合同项下的政府采购活动。：投标人提供书面声明加盖公章，格式自拟。</w:t>
      </w:r>
    </w:p>
    <w:p>
      <w:pPr>
        <w:pStyle w:val="null3"/>
        <w:jc w:val="left"/>
      </w:pPr>
      <w:r>
        <w:rPr>
          <w:rFonts w:ascii="仿宋_GB2312" w:hAnsi="仿宋_GB2312" w:cs="仿宋_GB2312" w:eastAsia="仿宋_GB2312"/>
        </w:rPr>
        <w:t>2、参加政府采购活动前三年内，无环保类行政处罚记录。：提供承诺函加盖公章。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海口市第二看守所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海口市新大洲大道</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13136033092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海南政通招投标有限公司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海南省海口市美兰区蓝天路西12号世纪生活港B0905号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林维纬</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0898-68592663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自提交投标文件截止日起60天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以中标金额（预算金额*折扣）为基数，按照原国家计委《关于印发招标代理服务收费管理暂行办法的通知》（计价格[2002]1980号）的服务收费标准80%收取，由中标（成交）供应商向招标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（1）本次采购标的所属行业为其他未列明行业。 （2）本项目采用折扣报价，投标人报价不得低于85%。 （3）根据《关于在相关自由贸易试验区和自由贸易港开展推动解决政府采购异常低价问题试点工作的通知》（财办库〔2024〕265号）的要求，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联系人：海南政通招投标有限公司</w:t>
      </w:r>
    </w:p>
    <w:p>
      <w:pPr>
        <w:pStyle w:val="null3"/>
        <w:jc w:val="left"/>
      </w:pPr>
      <w:r>
        <w:rPr>
          <w:rFonts w:ascii="仿宋_GB2312" w:hAnsi="仿宋_GB2312" w:cs="仿宋_GB2312" w:eastAsia="仿宋_GB2312"/>
        </w:rPr>
        <w:t>联系电话：0898-68592663</w:t>
      </w:r>
    </w:p>
    <w:p>
      <w:pPr>
        <w:pStyle w:val="null3"/>
        <w:jc w:val="left"/>
      </w:pPr>
      <w:r>
        <w:rPr>
          <w:rFonts w:ascii="仿宋_GB2312" w:hAnsi="仿宋_GB2312" w:cs="仿宋_GB2312" w:eastAsia="仿宋_GB2312"/>
        </w:rPr>
        <w:t>地址：海南省海口市美兰区蓝天路西12号世纪生活港B0905号</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在押人员食堂食材及副产品采购项目采购供应商，给在押人员提供粮油、蔬菜、肉类、蛋类、配料类等食材供应服务。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6,000,000.00</w:t>
      </w:r>
    </w:p>
    <w:p>
      <w:pPr>
        <w:pStyle w:val="null3"/>
        <w:jc w:val="left"/>
      </w:pPr>
      <w:r>
        <w:rPr>
          <w:rFonts w:ascii="仿宋_GB2312" w:hAnsi="仿宋_GB2312" w:cs="仿宋_GB2312" w:eastAsia="仿宋_GB2312"/>
        </w:rPr>
        <w:t>采购包最高限价（元）: 6,000,000.00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2025年在押人员食堂食材及副产品采购</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投标人报价折扣不得低于85%。</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2025年在押人员食堂食材及副产品采购</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2025年在押人员食堂食材及副产品采购</w:t>
            </w:r>
          </w:p>
        </w:tc>
        <w:tc>
          <w:tcPr>
            <w:tcW w:type="dxa" w:w="2076"/>
          </w:tcPr>
          <w:p>
            <w:pPr>
              <w:pStyle w:val="null3"/>
              <w:jc w:val="left"/>
            </w:pPr>
            <w:r>
              <w:rPr>
                <w:rFonts w:ascii="仿宋_GB2312" w:hAnsi="仿宋_GB2312" w:cs="仿宋_GB2312" w:eastAsia="仿宋_GB2312"/>
              </w:rPr>
              <w:t>C99000000-其他服务</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投标人报价折扣不得低于85%。</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1、成交供应商需严格按照采购人书面通知配送安全新鲜、符合国家规定标准的所有标的物，在满足国家、行业标准的基础上，均应达到无公害食品的标准。 2、因采购单位行业的特殊性，成交供应商须严格遵守采购单位的安保管理要求，成交供应商须确保配送人员工作认真负责、身体健康与采购人对接，建立接送卡，专车配送，专职司机。合同签订时，须将所有指定配送人员(含司机)的身份信息报送采购人备案，未经采购人同意不能随意更换已备案配送人员。</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1、供应商要保证蔬菜、肉类、食用油等食品存放场地的环境卫生整洁，空气流通，符合国家卫生要求，避免食物腐坏、变质、包装破损或被老鼠、蟑螂等害虫叮咬。</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成交供应商按采购人要求的产品种类及数量送至采购人指定地点，配送的副食品由双方共同验收，验收合格的副食品由双方在供货清单上签字确认。不符合验收标准的，采购人有权拒收。所有损失由成交供应商承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1、符合国家食品卫生安全标准和食品质量标准；以上相关标准如有国家、相关行业最近发布的标准，按国家及相关行业发布的执行标准为准。 2、所供禽肉类食品必须安全卫生，色泽鲜艳，有检验检疫合格标识，不得以次充好，不得将病死肉、残剩肉、注水肉等不合格品参杂其中；每批供货要求附检验检疫证明。 3、供应商配送的标的物，从出厂开始到采购人食用结束全过 程的各个环节，均按照最新的国家标准规范配送和存储保鲜，确保卫生安全和新鲜。 4、供应商必须保证产品质量安全和运输安全，凡因产品质量安全问题和向采购人派送标的物途中的一切安全问题，均由成交供应商承担全部责任。 5、按质、按时、按量、按合同做好配送服务工作， 按照监管部门要求执行。 6、如遇临时任务，需要加菜或者台风天气等特殊情况，供应商必须保障准时配送。 7、严格执行配送食品的检验、留样、放行程序，根据批次出厂的配送食品都留样备查。成交供应商必须保证产品质量安全和运输安全，凡因产品质量安全问题和向采购人派送标的物途中的一切安全问题，均由成交供应商承担全部责任。</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1、成交供应商必须指定专人参加配送及联系工作，必须保证 24 小时电话畅通，如果被指定专人变更或联系电话发生变化,应及时通报采购人。 2、成交供应商应根据采购人相关文件规定的工作时间进行配送。 3、定期接受随机抽样检查，检验费用由成交供应商支付。 4、供应商要保持同采购人的密切联系，遇有重大事项及时报告和反馈信息，尊重采购人的意见，接受采购人的提议、监督和指导因食品质量问题给在押人员健康带来影响或发生疾病，伤亡事故，承担相关经济和法律责任。</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采购内容：</w:t>
            </w:r>
          </w:p>
          <w:tbl>
            <w:tblPr>
              <w:tblBorders>
                <w:top w:val="none" w:color="000000" w:sz="4"/>
                <w:left w:val="none" w:color="000000" w:sz="4"/>
                <w:bottom w:val="none" w:color="000000" w:sz="4"/>
                <w:right w:val="none" w:color="000000" w:sz="4"/>
                <w:insideH w:val="none"/>
                <w:insideV w:val="none"/>
              </w:tblBorders>
            </w:tblPr>
            <w:tblGrid>
              <w:gridCol w:w="196"/>
              <w:gridCol w:w="408"/>
              <w:gridCol w:w="346"/>
              <w:gridCol w:w="408"/>
              <w:gridCol w:w="295"/>
              <w:gridCol w:w="280"/>
              <w:gridCol w:w="353"/>
              <w:gridCol w:w="262"/>
            </w:tblGrid>
            <w:tr>
              <w:tc>
                <w:tcPr>
                  <w:tcW w:type="dxa" w:w="19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单位</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品种</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食物量月标准（公斤）</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质量要求</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供货</w:t>
                  </w:r>
                </w:p>
                <w:p>
                  <w:pPr>
                    <w:pStyle w:val="null3"/>
                    <w:jc w:val="center"/>
                  </w:pPr>
                  <w:r>
                    <w:rPr>
                      <w:rFonts w:ascii="仿宋_GB2312" w:hAnsi="仿宋_GB2312" w:cs="仿宋_GB2312" w:eastAsia="仿宋_GB2312"/>
                      <w:sz w:val="24"/>
                    </w:rPr>
                    <w:t>服务期限(月)</w:t>
                  </w:r>
                </w:p>
              </w:tc>
              <w:tc>
                <w:tcPr>
                  <w:tcW w:type="dxa" w:w="28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预算金额</w:t>
                  </w:r>
                </w:p>
                <w:p>
                  <w:pPr>
                    <w:pStyle w:val="null3"/>
                    <w:jc w:val="center"/>
                  </w:pPr>
                  <w:r>
                    <w:rPr>
                      <w:rFonts w:ascii="仿宋_GB2312" w:hAnsi="仿宋_GB2312" w:cs="仿宋_GB2312" w:eastAsia="仿宋_GB2312"/>
                      <w:sz w:val="24"/>
                    </w:rPr>
                    <w:t>（万元）</w:t>
                  </w: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供货服务期</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供货服务地点</w:t>
                  </w: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海口市第二看守所</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粮食</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15-20</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详见采购清单</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600.00</w:t>
                  </w:r>
                </w:p>
              </w:tc>
              <w:tc>
                <w:tcPr>
                  <w:tcW w:type="dxa" w:w="3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r>
                    <w:rPr>
                      <w:rFonts w:ascii="仿宋_GB2312" w:hAnsi="仿宋_GB2312" w:cs="仿宋_GB2312" w:eastAsia="仿宋_GB2312"/>
                      <w:sz w:val="24"/>
                    </w:rPr>
                    <w:t>个月， 自2025年6月1日—2026年5月31日。（合同签订后按采购人要求完成配送）</w:t>
                  </w:r>
                </w:p>
              </w:tc>
              <w:tc>
                <w:tcPr>
                  <w:tcW w:type="dxa" w:w="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配送至海口市第二看守所</w:t>
                  </w:r>
                </w:p>
              </w:tc>
            </w:tr>
            <w:tr>
              <w:tc>
                <w:tcPr>
                  <w:tcW w:type="dxa" w:w="196"/>
                  <w:vMerge/>
                  <w:tcBorders>
                    <w:top w:val="non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蔬菜（水果）</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16-24</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详见采购清单</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80"/>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食油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0.7-1</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详见采购清单</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80"/>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肉（食）类</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1.4-2.4</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详见采购清单</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80"/>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蛋类</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1-1.4</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详见采购清单</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80"/>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豆制品</w:t>
                  </w:r>
                </w:p>
                <w:p>
                  <w:pPr>
                    <w:pStyle w:val="null3"/>
                    <w:jc w:val="center"/>
                  </w:pPr>
                  <w:r>
                    <w:rPr>
                      <w:rFonts w:ascii="仿宋_GB2312" w:hAnsi="仿宋_GB2312" w:cs="仿宋_GB2312" w:eastAsia="仿宋_GB2312"/>
                      <w:sz w:val="24"/>
                    </w:rPr>
                    <w:t>（以干豆计）</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1-1.4</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详见采购清单</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80"/>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r>
            <w:tr>
              <w:tc>
                <w:tcPr>
                  <w:tcW w:type="dxa" w:w="196"/>
                  <w:vMerge/>
                  <w:tcBorders>
                    <w:top w:val="non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调味品</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适量</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详见采购清单</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280"/>
                  <w:vMerge/>
                  <w:tcBorders>
                    <w:top w:val="none" w:color="000000" w:sz="4"/>
                    <w:left w:val="none" w:color="000000" w:sz="4"/>
                    <w:bottom w:val="single" w:color="000000" w:sz="4"/>
                    <w:right w:val="single" w:color="000000" w:sz="4"/>
                  </w:tcBorders>
                </w:tcPr>
                <w:p/>
              </w:tc>
              <w:tc>
                <w:tcPr>
                  <w:tcW w:type="dxa" w:w="353"/>
                  <w:vMerge/>
                  <w:tcBorders>
                    <w:top w:val="none" w:color="000000" w:sz="4"/>
                    <w:left w:val="none" w:color="000000" w:sz="4"/>
                    <w:bottom w:val="single" w:color="000000" w:sz="4"/>
                    <w:right w:val="single" w:color="000000" w:sz="4"/>
                  </w:tcBorders>
                </w:tcPr>
                <w:p/>
              </w:tc>
              <w:tc>
                <w:tcPr>
                  <w:tcW w:type="dxa" w:w="262"/>
                  <w:vMerge/>
                  <w:tcBorders>
                    <w:top w:val="none" w:color="000000" w:sz="4"/>
                    <w:left w:val="none" w:color="000000" w:sz="4"/>
                    <w:bottom w:val="singl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采购清单</w:t>
            </w:r>
          </w:p>
          <w:p>
            <w:pPr>
              <w:pStyle w:val="null3"/>
              <w:jc w:val="left"/>
            </w:pPr>
            <w:r>
              <w:rPr>
                <w:rFonts w:ascii="仿宋_GB2312" w:hAnsi="仿宋_GB2312" w:cs="仿宋_GB2312" w:eastAsia="仿宋_GB2312"/>
                <w:sz w:val="24"/>
                <w:b/>
              </w:rPr>
              <w:t>以上蔬菜、肉类、主副食品供应包括但不限于下表所列品目：</w:t>
            </w:r>
          </w:p>
          <w:tbl>
            <w:tblPr>
              <w:tblInd w:type="dxa" w:w="90"/>
              <w:tblBorders>
                <w:top w:val="single"/>
                <w:left w:val="single"/>
                <w:bottom w:val="single"/>
                <w:right w:val="single"/>
                <w:insideH w:val="single"/>
                <w:insideV w:val="single"/>
              </w:tblBorders>
            </w:tblPr>
            <w:tblGrid>
              <w:gridCol w:w="258"/>
              <w:gridCol w:w="512"/>
              <w:gridCol w:w="323"/>
              <w:gridCol w:w="1176"/>
              <w:gridCol w:w="286"/>
              <w:gridCol w:w="0"/>
            </w:tblGrid>
            <w:tr>
              <w:tc>
                <w:tcPr>
                  <w:tcW w:type="dxa" w:w="25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序号</w:t>
                  </w:r>
                </w:p>
              </w:tc>
              <w:tc>
                <w:tcPr>
                  <w:tcW w:type="dxa" w:w="51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品目名称</w:t>
                  </w:r>
                </w:p>
              </w:tc>
              <w:tc>
                <w:tcPr>
                  <w:tcW w:type="dxa" w:w="32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单位</w:t>
                  </w:r>
                </w:p>
              </w:tc>
              <w:tc>
                <w:tcPr>
                  <w:tcW w:type="dxa" w:w="117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质量要求</w:t>
                  </w:r>
                </w:p>
              </w:tc>
              <w:tc>
                <w:tcPr>
                  <w:tcW w:type="dxa" w:w="28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备注</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vMerge/>
                  <w:tcBorders>
                    <w:top w:val="single" w:color="000000" w:sz="4"/>
                    <w:left w:val="single" w:color="000000" w:sz="4"/>
                    <w:bottom w:val="single" w:color="000000" w:sz="4"/>
                    <w:right w:val="single" w:color="000000" w:sz="4"/>
                  </w:tcBorders>
                </w:tcPr>
                <w:p/>
              </w:tc>
              <w:tc>
                <w:tcPr>
                  <w:tcW w:type="dxa" w:w="512"/>
                  <w:vMerge/>
                  <w:tcBorders>
                    <w:top w:val="single" w:color="000000" w:sz="4"/>
                    <w:left w:val="none" w:color="000000" w:sz="4"/>
                    <w:bottom w:val="single" w:color="000000" w:sz="4"/>
                    <w:right w:val="single" w:color="000000" w:sz="4"/>
                  </w:tcBorders>
                </w:tcPr>
                <w:p/>
              </w:tc>
              <w:tc>
                <w:tcPr>
                  <w:tcW w:type="dxa" w:w="323"/>
                  <w:vMerge/>
                  <w:tcBorders>
                    <w:top w:val="single" w:color="000000" w:sz="4"/>
                    <w:left w:val="none" w:color="000000" w:sz="4"/>
                    <w:bottom w:val="single" w:color="000000" w:sz="4"/>
                    <w:right w:val="single" w:color="000000" w:sz="4"/>
                  </w:tcBorders>
                </w:tcPr>
                <w:p/>
              </w:tc>
              <w:tc>
                <w:tcPr>
                  <w:tcW w:type="dxa" w:w="1176"/>
                  <w:vMerge/>
                  <w:tcBorders>
                    <w:top w:val="single" w:color="000000" w:sz="4"/>
                    <w:left w:val="none" w:color="000000" w:sz="4"/>
                    <w:bottom w:val="single" w:color="000000" w:sz="4"/>
                    <w:right w:val="single" w:color="000000" w:sz="4"/>
                  </w:tcBorders>
                </w:tcPr>
                <w:p/>
              </w:tc>
              <w:tc>
                <w:tcPr>
                  <w:tcW w:type="dxa" w:w="286"/>
                  <w:vMerge/>
                  <w:tcBorders>
                    <w:top w:val="singl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大白菜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当季各类新鲜蔬菜以及大棚种植蔬菜，蔬菜类必须保证无黄叶、枯死叶、无虫、无杂质，须</w:t>
                  </w:r>
                  <w:r>
                    <w:rPr>
                      <w:rFonts w:ascii="仿宋_GB2312" w:hAnsi="仿宋_GB2312" w:cs="仿宋_GB2312" w:eastAsia="仿宋_GB2312"/>
                      <w:sz w:val="24"/>
                    </w:rPr>
                    <w:t>48</w:t>
                  </w:r>
                  <w:r>
                    <w:rPr>
                      <w:rFonts w:ascii="仿宋_GB2312" w:hAnsi="仿宋_GB2312" w:cs="仿宋_GB2312" w:eastAsia="仿宋_GB2312"/>
                      <w:sz w:val="24"/>
                    </w:rPr>
                    <w:t>小时内采摘供应，原菜须保证菜面干净、无明显泥土、码放整齐、无破损、大小基本统一、不得过熟或欠熟；净菜须保证菜面完全干净、无泥土、按统一标准加工、码放整齐、无须二次处理可以直接进行熟加工</w:t>
                  </w: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所有商品必须满足国家和地方相关规定</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包菜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冬瓜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南瓜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黄瓜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茄子</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空心菜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海带</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花椰菜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木耳</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豆芽</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土豆</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小白菜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丝瓜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菠菜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上海青</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胡萝</w:t>
                  </w:r>
                  <w:r>
                    <w:rPr>
                      <w:rFonts w:ascii="仿宋_GB2312" w:hAnsi="仿宋_GB2312" w:cs="仿宋_GB2312" w:eastAsia="仿宋_GB2312"/>
                      <w:sz w:val="24"/>
                      <w:color w:val="000000"/>
                    </w:rPr>
                    <w:t>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白萝</w:t>
                  </w:r>
                  <w:r>
                    <w:rPr>
                      <w:rFonts w:ascii="仿宋_GB2312" w:hAnsi="仿宋_GB2312" w:cs="仿宋_GB2312" w:eastAsia="仿宋_GB2312"/>
                      <w:sz w:val="24"/>
                      <w:color w:val="000000"/>
                    </w:rPr>
                    <w:t>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韭菜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菜椒</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洋葱</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豆角</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小葱</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蒜头</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酸菜、酸豆角</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26</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猪头骨</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鲜肉</w:t>
                  </w:r>
                  <w:r>
                    <w:rPr>
                      <w:rFonts w:ascii="仿宋_GB2312" w:hAnsi="仿宋_GB2312" w:cs="仿宋_GB2312" w:eastAsia="仿宋_GB2312"/>
                      <w:sz w:val="24"/>
                    </w:rPr>
                    <w:t>：</w:t>
                  </w:r>
                  <w:r>
                    <w:rPr>
                      <w:rFonts w:ascii="仿宋_GB2312" w:hAnsi="仿宋_GB2312" w:cs="仿宋_GB2312" w:eastAsia="仿宋_GB2312"/>
                      <w:sz w:val="24"/>
                    </w:rPr>
                    <w:t>净</w:t>
                  </w:r>
                  <w:r>
                    <w:rPr>
                      <w:rFonts w:ascii="仿宋_GB2312" w:hAnsi="仿宋_GB2312" w:cs="仿宋_GB2312" w:eastAsia="仿宋_GB2312"/>
                      <w:sz w:val="24"/>
                    </w:rPr>
                    <w:t>瘦</w:t>
                  </w:r>
                  <w:r>
                    <w:rPr>
                      <w:rFonts w:ascii="仿宋_GB2312" w:hAnsi="仿宋_GB2312" w:cs="仿宋_GB2312" w:eastAsia="仿宋_GB2312"/>
                      <w:sz w:val="24"/>
                    </w:rPr>
                    <w:t>肉、</w:t>
                  </w:r>
                  <w:r>
                    <w:rPr>
                      <w:rFonts w:ascii="仿宋_GB2312" w:hAnsi="仿宋_GB2312" w:cs="仿宋_GB2312" w:eastAsia="仿宋_GB2312"/>
                      <w:sz w:val="24"/>
                    </w:rPr>
                    <w:t>五花肉</w:t>
                  </w:r>
                  <w:r>
                    <w:rPr>
                      <w:rFonts w:ascii="仿宋_GB2312" w:hAnsi="仿宋_GB2312" w:cs="仿宋_GB2312" w:eastAsia="仿宋_GB2312"/>
                      <w:sz w:val="24"/>
                    </w:rPr>
                    <w:t>、猪油、</w:t>
                  </w:r>
                  <w:r>
                    <w:rPr>
                      <w:rFonts w:ascii="仿宋_GB2312" w:hAnsi="仿宋_GB2312" w:cs="仿宋_GB2312" w:eastAsia="仿宋_GB2312"/>
                      <w:sz w:val="24"/>
                    </w:rPr>
                    <w:t>猪头骨</w:t>
                  </w:r>
                  <w:r>
                    <w:rPr>
                      <w:rFonts w:ascii="仿宋_GB2312" w:hAnsi="仿宋_GB2312" w:cs="仿宋_GB2312" w:eastAsia="仿宋_GB2312"/>
                      <w:sz w:val="24"/>
                    </w:rPr>
                    <w:t>、猪血等；</w:t>
                  </w:r>
                  <w:r>
                    <w:rPr>
                      <w:rFonts w:ascii="仿宋_GB2312" w:hAnsi="仿宋_GB2312" w:cs="仿宋_GB2312" w:eastAsia="仿宋_GB2312"/>
                      <w:sz w:val="24"/>
                    </w:rPr>
                    <w:t>必须保证供应为屠宰厂当日屠宰的猪肉，肉身必须盖有卫生检疫章，须出具加盖国家或地方政府监督所检疫章的动物检疫证明。肉品须表皮洁净、膘厚适中、色泽鲜亮、纹理清晰、肉质细腻、无异味、去骨、无毛、按压无水迹</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冻品：</w:t>
                  </w:r>
                  <w:r>
                    <w:rPr>
                      <w:rFonts w:ascii="仿宋_GB2312" w:hAnsi="仿宋_GB2312" w:cs="仿宋_GB2312" w:eastAsia="仿宋_GB2312"/>
                      <w:sz w:val="24"/>
                    </w:rPr>
                    <w:t>外包装需完整，无破损，无不封口现象</w:t>
                  </w:r>
                  <w:r>
                    <w:rPr>
                      <w:rFonts w:ascii="仿宋_GB2312" w:hAnsi="仿宋_GB2312" w:cs="仿宋_GB2312" w:eastAsia="仿宋_GB2312"/>
                      <w:sz w:val="24"/>
                    </w:rPr>
                    <w:t>，有生产日期。冻品在解冻后，发现质量问题需退货。符合国家绿色批发市场标准，应具备满足交易需要的冷冻贮藏设施。</w:t>
                  </w: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27</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猪肉</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28</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鲜鸭</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29</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鲜鸡</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冻鸭</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冻鸡</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鸡翅</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33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鸡腿</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鸡蛋</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新</w:t>
                  </w:r>
                  <w:r>
                    <w:rPr>
                      <w:rFonts w:ascii="仿宋_GB2312" w:hAnsi="仿宋_GB2312" w:cs="仿宋_GB2312" w:eastAsia="仿宋_GB2312"/>
                      <w:sz w:val="24"/>
                    </w:rPr>
                    <w:t>鲜</w:t>
                  </w:r>
                  <w:r>
                    <w:rPr>
                      <w:rFonts w:ascii="仿宋_GB2312" w:hAnsi="仿宋_GB2312" w:cs="仿宋_GB2312" w:eastAsia="仿宋_GB2312"/>
                      <w:sz w:val="24"/>
                    </w:rPr>
                    <w:t>、大小均匀、无破损、</w:t>
                  </w:r>
                  <w:r>
                    <w:rPr>
                      <w:rFonts w:ascii="仿宋_GB2312" w:hAnsi="仿宋_GB2312" w:cs="仿宋_GB2312" w:eastAsia="仿宋_GB2312"/>
                      <w:sz w:val="24"/>
                    </w:rPr>
                    <w:t>无异味</w:t>
                  </w:r>
                  <w:r>
                    <w:rPr>
                      <w:rFonts w:ascii="仿宋_GB2312" w:hAnsi="仿宋_GB2312" w:cs="仿宋_GB2312" w:eastAsia="仿宋_GB2312"/>
                      <w:sz w:val="24"/>
                    </w:rPr>
                    <w:t>，须出具加盖地方政府监督所检疫章的动物检疫证明</w:t>
                  </w:r>
                  <w:r>
                    <w:rPr>
                      <w:rFonts w:ascii="仿宋_GB2312" w:hAnsi="仿宋_GB2312" w:cs="仿宋_GB2312" w:eastAsia="仿宋_GB2312"/>
                      <w:sz w:val="24"/>
                    </w:rPr>
                    <w:t>。</w:t>
                  </w: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豆腐</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须保证食材干净、不含非食品用化学物质、按统一标准加工、码放整齐、无须二次处理可以直接进行熟加工</w:t>
                  </w:r>
                  <w:r>
                    <w:rPr>
                      <w:rFonts w:ascii="仿宋_GB2312" w:hAnsi="仿宋_GB2312" w:cs="仿宋_GB2312" w:eastAsia="仿宋_GB2312"/>
                      <w:sz w:val="24"/>
                    </w:rPr>
                    <w:t>。</w:t>
                  </w: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36</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豆腐干</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37</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腐竹</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38</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食盐</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大米：无掺杂、无沙石，碎米少，无黄粒米；大米包装袋上印有大米品名、等级、数量、出厂名、厂家地址及其电话。</w:t>
                  </w:r>
                </w:p>
                <w:p>
                  <w:pPr>
                    <w:pStyle w:val="null3"/>
                    <w:jc w:val="left"/>
                  </w:pPr>
                  <w:r>
                    <w:rPr>
                      <w:rFonts w:ascii="仿宋_GB2312" w:hAnsi="仿宋_GB2312" w:cs="仿宋_GB2312" w:eastAsia="仿宋_GB2312"/>
                      <w:sz w:val="24"/>
                    </w:rPr>
                    <w:t>食品油：按国家食用调和油质量标准GB1535，质量等级一级；有合格检疫报告，外观的色泽、透明度、气味滋味等无异常；定型包装。</w:t>
                  </w:r>
                </w:p>
                <w:p>
                  <w:pPr>
                    <w:pStyle w:val="null3"/>
                    <w:jc w:val="left"/>
                  </w:pPr>
                  <w:r>
                    <w:rPr>
                      <w:rFonts w:ascii="仿宋_GB2312" w:hAnsi="仿宋_GB2312" w:cs="仿宋_GB2312" w:eastAsia="仿宋_GB2312"/>
                      <w:sz w:val="24"/>
                    </w:rPr>
                    <w:t>调料：外包装无污物、无泄漏，无胀袋或胖听或鼓盖现象，无变质发霉现象。1.色泽正常，具有该品种固有的香味，滋味无异味，油酱均匀的酱体或无结块的粉状固体，封口平整，无破包，夹包，漏包，无污染。</w:t>
                  </w:r>
                </w:p>
                <w:p>
                  <w:pPr>
                    <w:pStyle w:val="null3"/>
                    <w:jc w:val="left"/>
                  </w:pPr>
                  <w:r>
                    <w:rPr>
                      <w:rFonts w:ascii="仿宋_GB2312" w:hAnsi="仿宋_GB2312" w:cs="仿宋_GB2312" w:eastAsia="仿宋_GB2312"/>
                      <w:sz w:val="24"/>
                    </w:rPr>
                    <w:t>副食及其他：须保证食材干净、不含非食品用化学物质、按统一标准加工、无须二次处理可以直接进行熟加工。</w:t>
                  </w: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39</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粉丝</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味精</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生抽</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老抽</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白醋</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黄豆</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绿豆</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46</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白糖</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47</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生姜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48</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豆瓣酱</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49</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蚝油</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生粉</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萝卜干、榨菜</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水饺</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53</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红糖</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54</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大米</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55</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面粉</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56</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食用油</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斤</w:t>
                  </w:r>
                </w:p>
              </w:tc>
              <w:tc>
                <w:tcPr>
                  <w:tcW w:type="dxa" w:w="1176"/>
                  <w:vMerge/>
                  <w:tcBorders>
                    <w:top w:val="none" w:color="000000" w:sz="4"/>
                    <w:left w:val="none" w:color="000000" w:sz="4"/>
                    <w:bottom w:val="single" w:color="000000" w:sz="4"/>
                    <w:right w:val="single" w:color="000000" w:sz="4"/>
                  </w:tcBorders>
                </w:tcPr>
                <w:p/>
              </w:tc>
              <w:tc>
                <w:tcPr>
                  <w:tcW w:type="dxa" w:w="286"/>
                  <w:vMerge/>
                  <w:tcBorders>
                    <w:top w:val="none" w:color="000000" w:sz="4"/>
                    <w:left w:val="none" w:color="000000" w:sz="4"/>
                    <w:bottom w:val="single" w:color="000000" w:sz="4"/>
                    <w:right w:val="single" w:color="000000" w:sz="4"/>
                  </w:tcBorders>
                </w:tc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rPr>
                    <w:t xml:space="preserve"> </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合同履行期限（服务期）：12个月，自2025年7月1日—2026年6月30日。（合同签订后按采购人要求完成配送）</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配送服务地点：海口市琼山区新大洲大道，采购人指定地点。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验收标准：按照国家有关规定进行验收。</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如出现质量问题或缺斤少两的，须在30分钟内完成退换货或补齐斤两，拒不退换货或补齐斤两的，由采购人发违约通知函，按退换货品的三倍价值作为违约金，供货期内发生3次以上（含），采购人有权单方终止合同，没收履约保证金；若出现食品安全事故，除按本合同违约处理外，成交人承担采购人的其它赔偿责任，直至追究法律责任。</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本采购需求书中要求供应商提供承诺函，必须完全响应，否则视为无效响应。</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供应商必须接受由有关职能部门组成的检查小组对配送单位营业执照、卫生情况、从业人员健康证等内容进行定期和不定期检查。</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签订合同前采购人有权对成交供应商资格等进行核查，如发现与其响应文件中的描述不一，采购人将报政府采购主管部门严肃处理。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成交供应商结算价以当日三家超市（海口大润发超市、华润万家超市、海南旺豪超市）三家超市零售价的平均价为基准价进行下浮。采购人将定期或不定期进行市场零售价调查，零售价格以调查结果为准，若采购人发现当日零售价高于这三家超市的平均价，采购人有权不支出超出费用。成交供应商须按采购人随机抽查要求提供当日商品价格的图片或视频留档备查，发现成交供应商采集价格不真实次数超过3次，采购人有权解除合同，成交供应商自行承担全部责任。</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报价一览表 无环保类行政处罚记录声明函 商务应答表 自觉抵制政府采购领域商业贿赂行为承诺书 封面 商业信誉、财务会计制度、缴纳税收和社保的承诺函 具有独立承担民事责任的能力证明文件 技术响应表 投标人承诺函 其他材料 售后服务承诺书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3322"/>
          </w:tcPr>
          <w:p>
            <w:pPr>
              <w:pStyle w:val="null3"/>
              <w:jc w:val="left"/>
            </w:pPr>
            <w:r>
              <w:rPr>
                <w:rFonts w:ascii="仿宋_GB2312" w:hAnsi="仿宋_GB2312" w:cs="仿宋_GB2312" w:eastAsia="仿宋_GB2312"/>
              </w:rPr>
              <w:t>投标人提供书面声明加盖公章，格式自拟。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提供承诺函加盖公章。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报价一览表 商务应答表 自觉抵制政府采购领域商业贿赂行为承诺书 封面 商业信誉、财务会计制度、缴纳税收和社保的承诺函 具有独立承担民事责任的能力证明文件 技术响应表 投标人承诺函 其他材料 投标函 残疾人福利性单位声明函 售后服务承诺书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 技术响应表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报价一览表 无环保类行政处罚记录声明函 商务应答表 自觉抵制政府采购领域商业贿赂行为承诺书 封面 商业信誉、财务会计制度、缴纳税收和社保的承诺函 具有独立承担民事责任的能力证明文件 技术响应表 投标人承诺函 投标函 其他材料 残疾人福利性单位声明函 售后服务承诺书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无环保类行政处罚记录声明函 报价一览表 商务应答表 自觉抵制政府采购领域商业贿赂行为承诺书 封面 商业信誉、财务会计制度、缴纳税收和社保的承诺函 具有独立承担民事责任的能力证明文件 技术响应表 投标人承诺函 投标函 其他材料 残疾人福利性单位声明函 售后服务承诺书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技术部分42.00分</w:t>
            </w:r>
          </w:p>
          <w:p>
            <w:pPr>
              <w:pStyle w:val="null3"/>
              <w:jc w:val="both"/>
            </w:pPr>
            <w:r>
              <w:rPr>
                <w:rFonts w:ascii="仿宋_GB2312" w:hAnsi="仿宋_GB2312" w:cs="仿宋_GB2312" w:eastAsia="仿宋_GB2312"/>
              </w:rPr>
              <w:t>商务部分28.00分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配送方案</w:t>
            </w:r>
          </w:p>
        </w:tc>
        <w:tc>
          <w:tcPr>
            <w:tcW w:type="dxa" w:w="2492"/>
          </w:tcPr>
          <w:p>
            <w:pPr>
              <w:pStyle w:val="null3"/>
              <w:jc w:val="both"/>
            </w:pPr>
            <w:r>
              <w:rPr>
                <w:rFonts w:ascii="仿宋_GB2312" w:hAnsi="仿宋_GB2312" w:cs="仿宋_GB2312" w:eastAsia="仿宋_GB2312"/>
              </w:rPr>
              <w:t>配送方案包括却不限于配送计划、配送方式、配送人员等。投标人提供配送方案的得4分，不提供不得分。评标委员会在根据提供的方案进行综合评审： 1、方案内容详细完整、思路清晰、结构合理、易于落实，得4分； 2、方案内容完整、思路比较清晰、基本可行，得3分； 3、方案内容不完整、条理不清、可行性一般，得2分； 4、方案内容不完整、条理不清、可行性差，得1分。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供货方案</w:t>
            </w:r>
          </w:p>
        </w:tc>
        <w:tc>
          <w:tcPr>
            <w:tcW w:type="dxa" w:w="2492"/>
          </w:tcPr>
          <w:p>
            <w:pPr>
              <w:pStyle w:val="null3"/>
              <w:jc w:val="both"/>
            </w:pPr>
            <w:r>
              <w:rPr>
                <w:rFonts w:ascii="仿宋_GB2312" w:hAnsi="仿宋_GB2312" w:cs="仿宋_GB2312" w:eastAsia="仿宋_GB2312"/>
              </w:rPr>
              <w:t>供货方案包括却不限于供货计划、货品来源、食品食材包装等。投标人提供供货方案的得4分，不提供不得分。评标委员会在根据提供的方案进行综合评审： 1、方案内容详细完整、思路清晰、结构合理、易于落实，得4分； 2、方案内容完整、思路比较清晰、基本可行，得3分； 3、方案内容不完整、条理不清、可行性一般，得2分； 4、方案内容不完整、条理不清、可行性差，得1分。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应急方案包括但不限于应急方案、突发紧急配送管理措施、食物中毒事件措施、应对灾害性天气及其他突发事件的措施，善后处理等。投标人提供应急方案的得4分，不提供不得分。评标委员会在根据提供的方案进行综合评审： 1、方案内容详细完整、思路清晰、结构合理、易于落实，得4分； 2、方案内容完整、思路比较清晰、基本可行，得3分； 3、方案内容不完整、条理不清、可行性一般，得2分； 4、方案内容不完整、条理不清、可行性差，得1分。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质量保证方案包括但不限于质量保证措施、食材质量保障、食品安全溯源管理、质量保证承诺等。投标人提供质量保证方案的得5分，不提供不得分。评标委员会在根据提供的方案进行综合评审： 1、方案内容详细完整、思路清晰、结构合理、易于落实，得5分； 2、方案内容完整、思路比较清晰、基本可行，得4分； 3、方案内容不完整、条理不清、可行性一般，得3分； 4、方案内容不完整、条理不清、可行性差，得2分。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售后服务方案包括但不限于售后服务、售后服务响应时间、响应方式、售后服务体系及服务团队、服务质量保证措施等内容。投标人提供售后服务方案的得4分，不提供不得分。评标委员会在根据提供的方案进行综合评审： 1、方案内容详细完整、思路清晰、结构合理、易于落实，得4分； 2、方案内容完整、思路比较清晰、基本可行，得3分； 3、方案内容不完整、条理不清、可行性一般，得2分； 4、方案内容不完整、条理不清、可行性差，得1分。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2022年5月1日至今供应商提供同类（副食品供货或副食品配送)业绩的，每提供一个得4分，此项最多得12分。 注：提供合同关键页（含合同首页、签署页）复印件并加盖公章，如合同无法体现评审要求内容，需附合同甲方盖章的清单证明材料。提供证明材料不足不得分。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企业综合实力（1）</w:t>
            </w:r>
          </w:p>
        </w:tc>
        <w:tc>
          <w:tcPr>
            <w:tcW w:type="dxa" w:w="2492"/>
          </w:tcPr>
          <w:p>
            <w:pPr>
              <w:pStyle w:val="null3"/>
              <w:jc w:val="both"/>
            </w:pPr>
            <w:r>
              <w:rPr>
                <w:rFonts w:ascii="仿宋_GB2312" w:hAnsi="仿宋_GB2312" w:cs="仿宋_GB2312" w:eastAsia="仿宋_GB2312"/>
              </w:rPr>
              <w:t>供应商具有保鲜功能(车内配有车载冰箱或车载保鲜柜、车载冷藏柜、含冰袋的泡沫箱都视为具有保鲜功能)的配送货车，每提供1辆得2分，最多得4分。 注：提供车辆照片及车辆行驶证、车辆强制险保单复印件并加盖公章，如租赁的需提供租赁协议复印件并加盖公章，不提供不得分。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企业综合实力（2）</w:t>
            </w:r>
          </w:p>
        </w:tc>
        <w:tc>
          <w:tcPr>
            <w:tcW w:type="dxa" w:w="2492"/>
          </w:tcPr>
          <w:p>
            <w:pPr>
              <w:pStyle w:val="null3"/>
              <w:jc w:val="both"/>
            </w:pPr>
            <w:r>
              <w:rPr>
                <w:rFonts w:ascii="仿宋_GB2312" w:hAnsi="仿宋_GB2312" w:cs="仿宋_GB2312" w:eastAsia="仿宋_GB2312"/>
              </w:rPr>
              <w:t>供应商拥有营业场所面积100㎡及以上的得1分。 注：提供营业场所租赁合同或自有房产证复印件加盖公章。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企业综合实力（3）</w:t>
            </w:r>
          </w:p>
        </w:tc>
        <w:tc>
          <w:tcPr>
            <w:tcW w:type="dxa" w:w="2492"/>
          </w:tcPr>
          <w:p>
            <w:pPr>
              <w:pStyle w:val="null3"/>
              <w:jc w:val="both"/>
            </w:pPr>
            <w:r>
              <w:rPr>
                <w:rFonts w:ascii="仿宋_GB2312" w:hAnsi="仿宋_GB2312" w:cs="仿宋_GB2312" w:eastAsia="仿宋_GB2312"/>
              </w:rPr>
              <w:t>供应商仓储面积达到500㎡的得2分，每增加100㎡的加1分，最多得4分。 注：提供仓储场所租赁合同或自有房产证复印件，及仓储场景照片，证明材料加盖公章。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企业综合实力（4）</w:t>
            </w:r>
          </w:p>
        </w:tc>
        <w:tc>
          <w:tcPr>
            <w:tcW w:type="dxa" w:w="2492"/>
          </w:tcPr>
          <w:p>
            <w:pPr>
              <w:pStyle w:val="null3"/>
              <w:jc w:val="both"/>
            </w:pPr>
            <w:r>
              <w:rPr>
                <w:rFonts w:ascii="仿宋_GB2312" w:hAnsi="仿宋_GB2312" w:cs="仿宋_GB2312" w:eastAsia="仿宋_GB2312"/>
              </w:rPr>
              <w:t>供应商配备人员中有2名及以上的专职配送人员具有卫生行政部门颁发的健康证（需在有效期内）的得2分，不满足不得分。 注：提供健康证、身份证复印件加盖公章，不提供不得分。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企业综合实力（5）</w:t>
            </w:r>
          </w:p>
        </w:tc>
        <w:tc>
          <w:tcPr>
            <w:tcW w:type="dxa" w:w="2492"/>
          </w:tcPr>
          <w:p>
            <w:pPr>
              <w:pStyle w:val="null3"/>
              <w:jc w:val="both"/>
            </w:pPr>
            <w:r>
              <w:rPr>
                <w:rFonts w:ascii="仿宋_GB2312" w:hAnsi="仿宋_GB2312" w:cs="仿宋_GB2312" w:eastAsia="仿宋_GB2312"/>
              </w:rPr>
              <w:t>供应商须具有有效的《食品生产许可证》或《食品经营许可证》的得2分，不满足不得分。 注：提供证书材料复印件加盖公章。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食品安全责任保险</w:t>
            </w:r>
          </w:p>
        </w:tc>
        <w:tc>
          <w:tcPr>
            <w:tcW w:type="dxa" w:w="2492"/>
          </w:tcPr>
          <w:p>
            <w:pPr>
              <w:pStyle w:val="null3"/>
              <w:jc w:val="both"/>
            </w:pPr>
            <w:r>
              <w:rPr>
                <w:rFonts w:ascii="仿宋_GB2312" w:hAnsi="仿宋_GB2312" w:cs="仿宋_GB2312" w:eastAsia="仿宋_GB2312"/>
              </w:rPr>
              <w:t>根据供应商购买的食品安全责任保险年保额进行评审：供应商购买食品安全责任保险年保额等于或大于本项目采购预算金额的，得3分。 注：①需提供有效期内食品安全责任保险投保单复印件、发票复印件并加盖单位公章；②保险有效期应覆盖本项目合同期，如不能覆盖的，投标人还应提交承诺函（格式自拟）加盖公章，承诺保险到期后将继续购买食品安全责任保险，可有效覆盖合同期且保额不低于投标时保险保额，否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报价一览表</w:t>
            </w:r>
          </w:p>
          <w:p>
            <w:pPr>
              <w:pStyle w:val="null3"/>
              <w:jc w:val="both"/>
            </w:pPr>
            <w:r>
              <w:rPr>
                <w:rFonts w:ascii="仿宋_GB2312" w:hAnsi="仿宋_GB2312" w:cs="仿宋_GB2312" w:eastAsia="仿宋_GB2312"/>
              </w:rPr>
              <w:t>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HNZT2025-139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2025年在押人员食堂食材及副产品采购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2025年在押人员食堂食材及副产品采购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2025年在押人员食堂食材及副产品采购</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备注：投标人报价折扣不得低于85%。</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HNZT2025-139</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2025年在押人员食堂食材及副产品采购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2025年在押人员食堂食材及副产品采购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2025年在押人员食堂食材及副产品采购</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服务期</w:t>
            </w:r>
          </w:p>
        </w:tc>
        <w:tc>
          <w:tcPr>
            <w:tcW w:type="dxa" w:w="755"/>
          </w:tcPr>
          <w:p>
            <w:pPr>
              <w:pStyle w:val="null3"/>
              <w:jc w:val="left"/>
            </w:pPr>
            <w:r>
              <w:rPr>
                <w:rFonts w:ascii="仿宋_GB2312" w:hAnsi="仿宋_GB2312" w:cs="仿宋_GB2312" w:eastAsia="仿宋_GB2312"/>
              </w:rPr>
              <w:t xml:space="preserve"> 服务地点</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服务要求</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2025年在押人员食堂食材及副产品采购</w:t>
            </w:r>
          </w:p>
        </w:tc>
        <w:tc>
          <w:tcPr>
            <w:tcW w:type="dxa" w:w="755"/>
          </w:tcPr>
          <w:p>
            <w:pPr>
              <w:pStyle w:val="null3"/>
              <w:jc w:val="left"/>
            </w:pPr>
            <w:r>
              <w:rPr>
                <w:rFonts w:ascii="仿宋_GB2312" w:hAnsi="仿宋_GB2312" w:cs="仿宋_GB2312" w:eastAsia="仿宋_GB2312"/>
              </w:rPr>
              <w:t xml:space="preserve"> C99000000-其他服务</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备注：投标人报价折扣不得低于85%。</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详见附件：中小企业声明函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