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海口市2025年森林督查及森林、草原、湿地调查监测工作</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[HDZB]20250500001[CS]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河南惠德工程咨询有限公司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海口市林业局</w:t>
      </w:r>
      <w:r>
        <w:rPr>
          <w:rFonts w:ascii="仿宋_GB2312" w:hAnsi="仿宋_GB2312" w:cs="仿宋_GB2312" w:eastAsia="仿宋_GB2312"/>
        </w:rPr>
        <w:t xml:space="preserve"> 的委托， </w:t>
      </w:r>
      <w:r>
        <w:rPr>
          <w:rFonts w:ascii="仿宋_GB2312" w:hAnsi="仿宋_GB2312" w:cs="仿宋_GB2312" w:eastAsia="仿宋_GB2312"/>
        </w:rPr>
        <w:t>河南惠德工程咨询有限公司</w:t>
      </w:r>
      <w:r>
        <w:rPr>
          <w:rFonts w:ascii="仿宋_GB2312" w:hAnsi="仿宋_GB2312" w:cs="仿宋_GB2312" w:eastAsia="仿宋_GB2312"/>
        </w:rPr>
        <w:t xml:space="preserve"> 对 </w:t>
      </w:r>
      <w:r>
        <w:rPr>
          <w:rFonts w:ascii="仿宋_GB2312" w:hAnsi="仿宋_GB2312" w:cs="仿宋_GB2312" w:eastAsia="仿宋_GB2312"/>
        </w:rPr>
        <w:t>海口市2025年森林督查及森林、草原、湿地调查监测工作</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[HDZB]20250500001[CS]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海口市2025年森林督查及森林、草原、湿地调查监测工作</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2,360,000.00元</w:t>
      </w:r>
      <w:r>
        <w:rPr>
          <w:rFonts w:ascii="仿宋_GB2312" w:hAnsi="仿宋_GB2312" w:cs="仿宋_GB2312" w:eastAsia="仿宋_GB2312"/>
        </w:rPr>
        <w:t>贰佰叁拾陆万元整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2025年12月31日前完成</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1、本项目采购信息指定发布媒体为海南省政府采购网(网址 https://www.ccgp-hainan.gov.cn/)。关于本项目采购文件的补遗、澄清及变更信息以上述网站公告为准，代理机构不再另 行通知，采购文件与更正公告的内容相互矛盾时，以最后发出的更正公告内容为准。 2、请投标人（供应商）详阅本文件中 《政府采购电子招标投标活动须知》，并自行在海南省政府采购智慧云平台-下载专区查看相应的系统操作指南，严格按照操 作指南要求进行系统操作，供应商使用交易系统遇到问题可致电技术支持：4001691288。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海口市秀英区长滨二横路市政府第二办公区17栋北五楼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庞舒贤</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0898-68724517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河南惠德工程咨询有限公司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海口市龙华区东沙路7号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0898-66213222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采购包1：2,360,000.00元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代理服务费收费标准：招标代理服务费参考海南省物价局《关于降低部分招标代理服务收费标准的通知》(琼价费管[2011]225号文)由中标单位向代理公司缴纳服务费。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联系电话：089866213222</w:t>
      </w:r>
    </w:p>
    <w:p>
      <w:pPr>
        <w:pStyle w:val="null3"/>
        <w:jc w:val="left"/>
      </w:pPr>
      <w:r>
        <w:rPr>
          <w:rFonts w:ascii="仿宋_GB2312" w:hAnsi="仿宋_GB2312" w:cs="仿宋_GB2312" w:eastAsia="仿宋_GB2312"/>
        </w:rPr>
        <w:t>地址：海口市龙华区东沙路7号</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为深入贯彻习近平生态文明思想，统筹推进山水林田湖草沙系统治理，充分发挥全省第三次国土调查数据在国土空间管理中的</w:t>
      </w:r>
      <w:r>
        <w:rPr>
          <w:rFonts w:ascii="仿宋_GB2312" w:hAnsi="仿宋_GB2312" w:cs="仿宋_GB2312" w:eastAsia="仿宋_GB2312"/>
          <w:sz w:val="24"/>
        </w:rPr>
        <w:t>“统一底版”作用，通过对接融合工作，厘清林地、草地、湿地与其他土地的范围界线，推进林草湿治理体系和治理能力现代化,拟采购一家单位以提供海口市2025年森林督查及森林、草原、湿地调查监测工作项目相关服务。</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2,360,000.00</w:t>
      </w:r>
    </w:p>
    <w:p>
      <w:pPr>
        <w:pStyle w:val="null3"/>
        <w:jc w:val="left"/>
      </w:pPr>
      <w:r>
        <w:rPr>
          <w:rFonts w:ascii="仿宋_GB2312" w:hAnsi="仿宋_GB2312" w:cs="仿宋_GB2312" w:eastAsia="仿宋_GB2312"/>
        </w:rPr>
        <w:t>采购包最高限价（元）: 2,360,000.00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（一）森林督查工作任务</w:t>
            </w:r>
          </w:p>
          <w:p>
            <w:pPr>
              <w:pStyle w:val="null3"/>
              <w:ind w:firstLine="480"/>
              <w:jc w:val="both"/>
            </w:pPr>
            <w:r>
              <w:rPr>
                <w:rFonts w:ascii="仿宋_GB2312" w:hAnsi="仿宋_GB2312" w:cs="仿宋_GB2312" w:eastAsia="仿宋_GB2312"/>
                <w:sz w:val="24"/>
              </w:rPr>
              <w:t>1、建立“省级组织、分级负责、上下联动、齐抓共管”的常态化森林资源监管机制，督促各市县人民政府依法落实保护发展森林资源目标责任。</w:t>
            </w:r>
          </w:p>
          <w:p>
            <w:pPr>
              <w:pStyle w:val="null3"/>
              <w:ind w:firstLine="480"/>
              <w:jc w:val="both"/>
            </w:pPr>
            <w:r>
              <w:rPr>
                <w:rFonts w:ascii="仿宋_GB2312" w:hAnsi="仿宋_GB2312" w:cs="仿宋_GB2312" w:eastAsia="仿宋_GB2312"/>
                <w:sz w:val="24"/>
              </w:rPr>
              <w:t>2、以遥感判读变化图斑为线索，以20</w:t>
            </w:r>
            <w:r>
              <w:rPr>
                <w:rFonts w:ascii="仿宋_GB2312" w:hAnsi="仿宋_GB2312" w:cs="仿宋_GB2312" w:eastAsia="仿宋_GB2312"/>
                <w:sz w:val="24"/>
              </w:rPr>
              <w:t>24</w:t>
            </w:r>
            <w:r>
              <w:rPr>
                <w:rFonts w:ascii="仿宋_GB2312" w:hAnsi="仿宋_GB2312" w:cs="仿宋_GB2312" w:eastAsia="仿宋_GB2312"/>
                <w:sz w:val="24"/>
              </w:rPr>
              <w:t>年国家验收的森林资源管理</w:t>
            </w:r>
            <w:r>
              <w:rPr>
                <w:rFonts w:ascii="仿宋_GB2312" w:hAnsi="仿宋_GB2312" w:cs="仿宋_GB2312" w:eastAsia="仿宋_GB2312"/>
                <w:sz w:val="24"/>
              </w:rPr>
              <w:t>“一张图”（已完成与林草湿、国土三调、二调数据对接融合版，下同）、总体规划、国土三调为底版，采用内业档案核实和必要的现地调查核实两种方式，对所有变化图斑进行调查核实，补充有关变化图斑，查清所有图斑变化原因，重点查清建设项目使用（毁坏）林地、土地整理和毁林开垦等违法使用林地，以及违法采伐（毁坏）林木情况，完善填写属性信息，建立森林督察数据库。</w:t>
            </w:r>
          </w:p>
          <w:p>
            <w:pPr>
              <w:pStyle w:val="null3"/>
              <w:ind w:firstLine="480"/>
              <w:jc w:val="both"/>
            </w:pPr>
            <w:r>
              <w:rPr>
                <w:rFonts w:ascii="仿宋_GB2312" w:hAnsi="仿宋_GB2312" w:cs="仿宋_GB2312" w:eastAsia="仿宋_GB2312"/>
                <w:sz w:val="24"/>
              </w:rPr>
              <w:t>3、加快推进案件查处，按照“三个到位”原则，及时对核实为违法破坏森林资源的案件进行查处和整改。</w:t>
            </w:r>
          </w:p>
          <w:p>
            <w:pPr>
              <w:pStyle w:val="null3"/>
              <w:ind w:firstLine="480"/>
              <w:jc w:val="both"/>
            </w:pPr>
            <w:r>
              <w:rPr>
                <w:rFonts w:ascii="仿宋_GB2312" w:hAnsi="仿宋_GB2312" w:cs="仿宋_GB2312" w:eastAsia="仿宋_GB2312"/>
                <w:sz w:val="24"/>
              </w:rPr>
              <w:t>4、开展森林督察“回头看”，对上年度森林督察自查质量、整改完成情况开展核查督导，持续推动市县整改落实，确保“案件查处、林地回收、追责问责”三个到位。</w:t>
            </w:r>
          </w:p>
          <w:p>
            <w:pPr>
              <w:pStyle w:val="null3"/>
              <w:jc w:val="both"/>
            </w:pPr>
            <w:r>
              <w:rPr>
                <w:rFonts w:ascii="仿宋_GB2312" w:hAnsi="仿宋_GB2312" w:cs="仿宋_GB2312" w:eastAsia="仿宋_GB2312"/>
                <w:sz w:val="24"/>
                <w:b/>
              </w:rPr>
              <w:t>（二）森林、草原、湿地调查监测工作任务</w:t>
            </w:r>
          </w:p>
          <w:p>
            <w:pPr>
              <w:pStyle w:val="null3"/>
              <w:ind w:firstLine="480"/>
              <w:jc w:val="both"/>
            </w:pPr>
            <w:r>
              <w:rPr>
                <w:rFonts w:ascii="仿宋_GB2312" w:hAnsi="仿宋_GB2312" w:cs="仿宋_GB2312" w:eastAsia="仿宋_GB2312"/>
                <w:sz w:val="24"/>
              </w:rPr>
              <w:t>依据《国土空间调查监测、规划和用途管制用地用海分类指南》，以</w:t>
            </w:r>
            <w:r>
              <w:rPr>
                <w:rFonts w:ascii="仿宋_GB2312" w:hAnsi="仿宋_GB2312" w:cs="仿宋_GB2312" w:eastAsia="仿宋_GB2312"/>
                <w:sz w:val="24"/>
              </w:rPr>
              <w:t>“三调”及20</w:t>
            </w:r>
            <w:r>
              <w:rPr>
                <w:rFonts w:ascii="仿宋_GB2312" w:hAnsi="仿宋_GB2312" w:cs="仿宋_GB2312" w:eastAsia="仿宋_GB2312"/>
                <w:sz w:val="24"/>
              </w:rPr>
              <w:t>24</w:t>
            </w:r>
            <w:r>
              <w:rPr>
                <w:rFonts w:ascii="仿宋_GB2312" w:hAnsi="仿宋_GB2312" w:cs="仿宋_GB2312" w:eastAsia="仿宋_GB2312"/>
                <w:sz w:val="24"/>
              </w:rPr>
              <w:t>年度国土变更调查成果为统一底图，开展</w:t>
            </w:r>
            <w:r>
              <w:rPr>
                <w:rFonts w:ascii="仿宋_GB2312" w:hAnsi="仿宋_GB2312" w:cs="仿宋_GB2312" w:eastAsia="仿宋_GB2312"/>
                <w:sz w:val="24"/>
              </w:rPr>
              <w:t>2024年全市林草湿调查监测工作。</w:t>
            </w:r>
          </w:p>
          <w:p>
            <w:pPr>
              <w:pStyle w:val="null3"/>
              <w:jc w:val="both"/>
            </w:pPr>
            <w:r>
              <w:rPr>
                <w:rFonts w:ascii="仿宋_GB2312" w:hAnsi="仿宋_GB2312" w:cs="仿宋_GB2312" w:eastAsia="仿宋_GB2312"/>
                <w:sz w:val="24"/>
                <w:b/>
              </w:rPr>
              <w:t>（三）成果要求</w:t>
            </w:r>
          </w:p>
          <w:p>
            <w:pPr>
              <w:pStyle w:val="null3"/>
              <w:ind w:firstLine="480"/>
              <w:jc w:val="both"/>
            </w:pPr>
            <w:r>
              <w:rPr>
                <w:rFonts w:ascii="仿宋_GB2312" w:hAnsi="仿宋_GB2312" w:cs="仿宋_GB2312" w:eastAsia="仿宋_GB2312"/>
                <w:sz w:val="24"/>
              </w:rPr>
              <w:t>1、成果报告</w:t>
            </w:r>
          </w:p>
          <w:p>
            <w:pPr>
              <w:pStyle w:val="null3"/>
              <w:ind w:firstLine="480"/>
              <w:jc w:val="both"/>
            </w:pPr>
            <w:r>
              <w:rPr>
                <w:rFonts w:ascii="仿宋_GB2312" w:hAnsi="仿宋_GB2312" w:cs="仿宋_GB2312" w:eastAsia="仿宋_GB2312"/>
                <w:sz w:val="24"/>
              </w:rPr>
              <w:t>成果报告为森林督查自查报告，内容主要包括检查工作开展情况、森林资源管理情况，对检查结果的分析评价，开展森林督查的做法和成效，森林资源保护管理典型做法和成功经验，存在问题，以及对森林资源保护管理工作的建议等，上一次检查发现问题的移交、查处和整改情况，附主要结果统计表、典型违法项目（伐区）说明。</w:t>
            </w:r>
          </w:p>
          <w:p>
            <w:pPr>
              <w:pStyle w:val="null3"/>
              <w:ind w:firstLine="480"/>
              <w:jc w:val="both"/>
            </w:pPr>
            <w:r>
              <w:rPr>
                <w:rFonts w:ascii="仿宋_GB2312" w:hAnsi="仿宋_GB2312" w:cs="仿宋_GB2312" w:eastAsia="仿宋_GB2312"/>
                <w:sz w:val="24"/>
              </w:rPr>
              <w:t>2、数据库</w:t>
            </w:r>
          </w:p>
          <w:p>
            <w:pPr>
              <w:pStyle w:val="null3"/>
              <w:jc w:val="both"/>
            </w:pPr>
            <w:r>
              <w:rPr>
                <w:rFonts w:ascii="仿宋_GB2312" w:hAnsi="仿宋_GB2312" w:cs="仿宋_GB2312" w:eastAsia="仿宋_GB2312"/>
                <w:sz w:val="24"/>
              </w:rPr>
              <w:t>数据库包括市级森林督查数据库、破坏森林资源问题追责问责情况汇总表、挂牌督办单位提交挂牌督办数据库、现地督办单位提交现地督办数据库、森林专题数据库、草原专题数据库、湿地专题数据库。</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项目实施地点：海南省海口市；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合同履约期限：2025年12月31日前</w:t>
            </w:r>
            <w:r>
              <w:rPr>
                <w:rFonts w:ascii="仿宋_GB2312" w:hAnsi="仿宋_GB2312" w:cs="仿宋_GB2312" w:eastAsia="仿宋_GB2312"/>
                <w:sz w:val="24"/>
              </w:rPr>
              <w:t>完成；</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付款条件和方式：以合同约定为准；</w:t>
            </w:r>
          </w:p>
          <w:p>
            <w:pPr>
              <w:pStyle w:val="null3"/>
              <w:ind w:firstLine="480"/>
              <w:jc w:val="both"/>
            </w:pPr>
            <w:r>
              <w:rPr>
                <w:rFonts w:ascii="仿宋_GB2312" w:hAnsi="仿宋_GB2312" w:cs="仿宋_GB2312" w:eastAsia="仿宋_GB2312"/>
                <w:sz w:val="24"/>
              </w:rPr>
              <w:t>4、验收：</w:t>
            </w:r>
            <w:r>
              <w:rPr>
                <w:rFonts w:ascii="仿宋_GB2312" w:hAnsi="仿宋_GB2312" w:cs="仿宋_GB2312" w:eastAsia="仿宋_GB2312"/>
                <w:sz w:val="24"/>
              </w:rPr>
              <w:t>由采购人组织，</w:t>
            </w:r>
            <w:r>
              <w:rPr>
                <w:rFonts w:ascii="仿宋_GB2312" w:hAnsi="仿宋_GB2312" w:cs="仿宋_GB2312" w:eastAsia="仿宋_GB2312"/>
                <w:sz w:val="24"/>
              </w:rPr>
              <w:t>成交供应商</w:t>
            </w:r>
            <w:r>
              <w:rPr>
                <w:rFonts w:ascii="仿宋_GB2312" w:hAnsi="仿宋_GB2312" w:cs="仿宋_GB2312" w:eastAsia="仿宋_GB2312"/>
                <w:sz w:val="24"/>
              </w:rPr>
              <w:t>配合，根据对本项目采购需求及国家行业标准进行验收。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封面 法定代表人资格证明书或法定代表人授权委托书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开标（报价）一览表 投标（响应）报价明细表 商务应答表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技术部分53.00分</w:t>
            </w:r>
          </w:p>
          <w:p>
            <w:pPr>
              <w:pStyle w:val="null3"/>
              <w:jc w:val="left"/>
            </w:pPr>
            <w:r>
              <w:rPr>
                <w:rFonts w:ascii="仿宋_GB2312" w:hAnsi="仿宋_GB2312" w:cs="仿宋_GB2312" w:eastAsia="仿宋_GB2312"/>
              </w:rPr>
              <w:t>商务部分37.00分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项目总体服务方案</w:t>
            </w:r>
          </w:p>
        </w:tc>
        <w:tc>
          <w:tcPr>
            <w:tcW w:type="dxa" w:w="2492"/>
          </w:tcPr>
          <w:p>
            <w:pPr>
              <w:pStyle w:val="null3"/>
              <w:jc w:val="left"/>
            </w:pPr>
            <w:r>
              <w:rPr>
                <w:rFonts w:ascii="仿宋_GB2312" w:hAnsi="仿宋_GB2312" w:cs="仿宋_GB2312" w:eastAsia="仿宋_GB2312"/>
              </w:rPr>
              <w:t>包括但不限于技术准备、调查监测方法、进度计划、工作步骤、技术路线等内容： 1、对项目目标定位准确，技术准备充分，调查监测方法先进科学合理，工作步骤全面具体，技术路线清晰，对本项目针对性较强的得16分； 2、技术准备齐全，调查监测方法满足工作开展要求，工作步骤内容完善，技术路线合理，对本项目具有针对性的得11分； 3、技术准备齐全，调查监测方法基本满足工作开展要求，工作步骤内容简单，技术路线合理，对本项目针对性一般的得6分； 4、技术准备存在欠缺，调查监测方法未能完全满足工作开展要求，工作步骤内容简单，技术路线欠合理，对本项目针对性较差的得1分； 5、不提供不得分。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项目质量保障措施</w:t>
            </w:r>
          </w:p>
        </w:tc>
        <w:tc>
          <w:tcPr>
            <w:tcW w:type="dxa" w:w="2492"/>
          </w:tcPr>
          <w:p>
            <w:pPr>
              <w:pStyle w:val="null3"/>
              <w:jc w:val="left"/>
            </w:pPr>
            <w:r>
              <w:rPr>
                <w:rFonts w:ascii="仿宋_GB2312" w:hAnsi="仿宋_GB2312" w:cs="仿宋_GB2312" w:eastAsia="仿宋_GB2312"/>
              </w:rPr>
              <w:t>1、质量保证措施科学合理，条理清晰，内容细致，对本项目针对性较强的得15分； 2、质量保证措施合理，内容完整，满足项目工作需要，对本项目具有针对性的得11分； 3、质量保证措施完整，内容简单，基本满足项目工作需要，对本项目针对性一般的得7分； 4、质量保证措施简单，内容欠合理，无法满足项目工作需要，对本项目针对性较差的得3分； 5、不提供不得分。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项目重点、难点分析</w:t>
            </w:r>
          </w:p>
        </w:tc>
        <w:tc>
          <w:tcPr>
            <w:tcW w:type="dxa" w:w="2492"/>
          </w:tcPr>
          <w:p>
            <w:pPr>
              <w:pStyle w:val="null3"/>
              <w:jc w:val="left"/>
            </w:pPr>
            <w:r>
              <w:rPr>
                <w:rFonts w:ascii="仿宋_GB2312" w:hAnsi="仿宋_GB2312" w:cs="仿宋_GB2312" w:eastAsia="仿宋_GB2312"/>
              </w:rPr>
              <w:t>供应商提供应急方案，包括：①重点、难点分析、②重点、难点解决方法。 1、针对本项目特点提出的重点、难点分析到位，切合项目背景和目的，内容科学详细，对策与方案建议对本项目针对性较强的得10分； 2、针对本项目特点提出的重点、难点分析准确，内容完整，对策与方案建议对本项目具有针对性的得7分； 3、针对本项目特点提出的重点、难点分析基本准确，内容简单，对策与方案建议对本项目针对性一般的得4分 4、针对本项目特点提出的重点、难点分析不符合项目背景，内容欠合理，对策与方案建议对本项目针对性较差的得1分。 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项目服务保障方案</w:t>
            </w:r>
          </w:p>
        </w:tc>
        <w:tc>
          <w:tcPr>
            <w:tcW w:type="dxa" w:w="2492"/>
          </w:tcPr>
          <w:p>
            <w:pPr>
              <w:pStyle w:val="null3"/>
              <w:jc w:val="left"/>
            </w:pPr>
            <w:r>
              <w:rPr>
                <w:rFonts w:ascii="仿宋_GB2312" w:hAnsi="仿宋_GB2312" w:cs="仿宋_GB2312" w:eastAsia="仿宋_GB2312"/>
              </w:rPr>
              <w:t>针对本项目拟定的后续服务保障方案，方案包括但不限于后续服务能力，响应时间等内容： 1、服务保障措施科学合理，条理清晰，内容细致，对本项目针对性较强的得12分； 2、服务保障措施合理，内容较完整，满足项目工作需要，对本项目具有针对性的得9分； 3、服务保障措施完整，内容简单，基本满足项目工作需要，对本项目针对性一般的得6分； 4、服务保障措施简单，内容欠合理，无法满足项目工作需要，对本项目针对性较差的得3分； 5、不提供不得分。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拟在本项目投入的服务团队</w:t>
            </w:r>
          </w:p>
        </w:tc>
        <w:tc>
          <w:tcPr>
            <w:tcW w:type="dxa" w:w="2492"/>
          </w:tcPr>
          <w:p>
            <w:pPr>
              <w:pStyle w:val="null3"/>
              <w:jc w:val="left"/>
            </w:pPr>
            <w:r>
              <w:rPr>
                <w:rFonts w:ascii="仿宋_GB2312" w:hAnsi="仿宋_GB2312" w:cs="仿宋_GB2312" w:eastAsia="仿宋_GB2312"/>
              </w:rPr>
              <w:t>1、供应商拟在本项目中投入的团队人员中具有林业相关专业高级职称人员的，每提供1个得5分，最多得10分。 2、供应商拟在本项目中投入的团队人员中具有林业相关专业中级职称人员的，每提供1个得2分，最多得12分。 证明材料：以上人员提供职称证书及2024年6月至今任意3个月在本单位缴纳社保的证明材料复印件加盖公章，不提供不得分。</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供应商2022年1月1日至今（以合同签订时间为准）承接过或正在履行合同的类似项目业绩，每提供一个得3分，最多得15分。（注：提供合同复印件加盖公章，不提供不得分）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详见附件：技术咨询服务合同.docx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[HDZB]20250500001[CS]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海口市2025年森林督查及森林、草原、湿地调查监测工作</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海口市2025年森林督查及森林、草原、湿地调查监测工作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响应文件有效期</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2360000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