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海口市琼山中学高中部校园物业服务项目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[HKGP]20250500008[GK]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海口市琼山中学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海口市琼山中学</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海口市琼山中学高中部校园物业服务项目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[HKGP]20250500008[GK]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海口市琼山中学高中部校园物业服务项目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1、在中华人民共和国境内注册，具有 独立承担民事责任的能力：提供营 业执照副本、或事业单位法人证书 （事业单位）、或执业许可证（非 企业专业服务机构）、或身份证（ 自然人）的复印件。：符合采购文件要求</w:t>
      </w:r>
    </w:p>
    <w:p>
      <w:pPr>
        <w:pStyle w:val="null3"/>
        <w:jc w:val="left"/>
      </w:pPr>
      <w:r>
        <w:rPr>
          <w:rFonts w:ascii="仿宋_GB2312" w:hAnsi="仿宋_GB2312" w:cs="仿宋_GB2312" w:eastAsia="仿宋_GB2312"/>
        </w:rPr>
        <w:t>2、投标人在“信用中国”网站（www.c reditchina.gov.cn)未被列入失信 被执行人(因信用中国网站失信被执 行人查询时直接跳转中国执行信息 公开网（http://zxgk.court.gov.c n/shixin/）,故以中国执行信息公 开网“全国法院失信被执行人名单 信息公布与查询”查询结果为准)、 重大税收违法失信主体，在中国政 府采购网（www.ccgp.gov.cn） 未被列入政府采购严重违法失信行 为记录名单。（以资格审查时在上 述网站查询的结果为准（投标人无 需提供），如在上述网站查询结果 均显示没有相关记录，视为没有上 述不良信用记录，同时对信用信息 查询记录和证据打印存档。如相关 失信记录已失效，投标人须提供相 关证明资料并加盖公章。）：符合采购文件要求</w:t>
      </w:r>
    </w:p>
    <w:p>
      <w:pPr>
        <w:pStyle w:val="null3"/>
        <w:jc w:val="left"/>
      </w:pPr>
      <w:r>
        <w:rPr>
          <w:rFonts w:ascii="仿宋_GB2312" w:hAnsi="仿宋_GB2312" w:cs="仿宋_GB2312" w:eastAsia="仿宋_GB2312"/>
        </w:rPr>
        <w:t>3、本项目不接受联合体投标。：投标函响应即可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海口市琼山中学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海口市琼山区新大洲大道396-2琼山中学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65989033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65250519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312F2F"/>
          <w:shd w:fill="FFFFFF" w:val="clear"/>
        </w:rPr>
        <w:t>海口市琼山中学高中部占地202亩，总建筑面积约5.5万平方米，规划合理，设施先进，功能齐全，环境优雅的现代化高级中学。目前学校有高中教学班62个，在校学生3018人；教职工378人。</w:t>
      </w:r>
    </w:p>
    <w:p>
      <w:pPr>
        <w:pStyle w:val="null3"/>
        <w:ind w:firstLine="560"/>
        <w:jc w:val="both"/>
      </w:pPr>
      <w:r>
        <w:rPr>
          <w:rFonts w:ascii="仿宋_GB2312" w:hAnsi="仿宋_GB2312" w:cs="仿宋_GB2312" w:eastAsia="仿宋_GB2312"/>
          <w:sz w:val="28"/>
        </w:rPr>
        <w:t>为了给广大师生提供清洁、优美、安全的教学、生活环境，学校决定选择有实力、有诚信、业绩好的物管企业为学校提供专业化的校园物业管理与服务。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所</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实质性响应要求：</w:t>
            </w:r>
            <w:r>
              <w:rPr>
                <w:rFonts w:ascii="仿宋_GB2312" w:hAnsi="仿宋_GB2312" w:cs="仿宋_GB2312" w:eastAsia="仿宋_GB2312"/>
                <w:sz w:val="28"/>
                <w:b/>
              </w:rPr>
              <w:t>★</w:t>
            </w:r>
            <w:r>
              <w:rPr>
                <w:rFonts w:ascii="仿宋_GB2312" w:hAnsi="仿宋_GB2312" w:cs="仿宋_GB2312" w:eastAsia="仿宋_GB2312"/>
                <w:sz w:val="28"/>
                <w:b/>
              </w:rPr>
              <w:t>本项目校园物业管理服务必须达到的各项指标，投标人必须作出</w:t>
            </w:r>
            <w:r>
              <w:rPr>
                <w:rFonts w:ascii="仿宋_GB2312" w:hAnsi="仿宋_GB2312" w:cs="仿宋_GB2312" w:eastAsia="仿宋_GB2312"/>
                <w:sz w:val="28"/>
                <w:b/>
              </w:rPr>
              <w:t>满足以下事项的</w:t>
            </w:r>
            <w:r>
              <w:rPr>
                <w:rFonts w:ascii="仿宋_GB2312" w:hAnsi="仿宋_GB2312" w:cs="仿宋_GB2312" w:eastAsia="仿宋_GB2312"/>
                <w:sz w:val="28"/>
                <w:b/>
              </w:rPr>
              <w:t>书面承诺（提供承诺书即可，格式自拟），否则，视为无效投标。</w:t>
            </w:r>
          </w:p>
          <w:p>
            <w:pPr>
              <w:pStyle w:val="null3"/>
              <w:ind w:firstLine="560"/>
              <w:jc w:val="both"/>
            </w:pPr>
            <w:r>
              <w:rPr>
                <w:rFonts w:ascii="仿宋_GB2312" w:hAnsi="仿宋_GB2312" w:cs="仿宋_GB2312" w:eastAsia="仿宋_GB2312"/>
                <w:sz w:val="28"/>
              </w:rPr>
              <w:t>1、按需求人员配置要求，拟派本项目每日到岗人数不少于40人。</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、杜绝火灾责任事故，防范刑事案件发生；</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、环境卫生、清洁率达</w:t>
            </w:r>
            <w:r>
              <w:rPr>
                <w:rFonts w:ascii="仿宋_GB2312" w:hAnsi="仿宋_GB2312" w:cs="仿宋_GB2312" w:eastAsia="仿宋_GB2312"/>
                <w:sz w:val="28"/>
              </w:rPr>
              <w:t>99%；</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、消防设备设施完好率</w:t>
            </w:r>
            <w:r>
              <w:rPr>
                <w:rFonts w:ascii="仿宋_GB2312" w:hAnsi="仿宋_GB2312" w:cs="仿宋_GB2312" w:eastAsia="仿宋_GB2312"/>
                <w:sz w:val="28"/>
              </w:rPr>
              <w:t>100%；</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、机电设备完好率</w:t>
            </w:r>
            <w:r>
              <w:rPr>
                <w:rFonts w:ascii="仿宋_GB2312" w:hAnsi="仿宋_GB2312" w:cs="仿宋_GB2312" w:eastAsia="仿宋_GB2312"/>
                <w:sz w:val="28"/>
              </w:rPr>
              <w:t>99%；</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、零修、报修及时率</w:t>
            </w:r>
            <w:r>
              <w:rPr>
                <w:rFonts w:ascii="仿宋_GB2312" w:hAnsi="仿宋_GB2312" w:cs="仿宋_GB2312" w:eastAsia="仿宋_GB2312"/>
                <w:sz w:val="28"/>
              </w:rPr>
              <w:t>100%，返修率小于1%；</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、服务有效投诉少于</w:t>
            </w:r>
            <w:r>
              <w:rPr>
                <w:rFonts w:ascii="仿宋_GB2312" w:hAnsi="仿宋_GB2312" w:cs="仿宋_GB2312" w:eastAsia="仿宋_GB2312"/>
                <w:sz w:val="28"/>
              </w:rPr>
              <w:t>1%，处理率100%；</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、服务满意度达</w:t>
            </w:r>
            <w:r>
              <w:rPr>
                <w:rFonts w:ascii="仿宋_GB2312" w:hAnsi="仿宋_GB2312" w:cs="仿宋_GB2312" w:eastAsia="仿宋_GB2312"/>
                <w:sz w:val="28"/>
              </w:rPr>
              <w:t>90%以上。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both"/>
            </w:pPr>
            <w:r>
              <w:rPr>
                <w:rFonts w:ascii="仿宋_GB2312" w:hAnsi="仿宋_GB2312" w:cs="仿宋_GB2312" w:eastAsia="仿宋_GB2312"/>
                <w:sz w:val="28"/>
                <w:b/>
                <w:color w:val="333333"/>
                <w:shd w:fill="0A82E5" w:val="clear"/>
              </w:rPr>
              <w:t>实质性响应要求：★</w:t>
            </w:r>
            <w:r>
              <w:rPr>
                <w:rFonts w:ascii="仿宋_GB2312" w:hAnsi="仿宋_GB2312" w:cs="仿宋_GB2312" w:eastAsia="仿宋_GB2312"/>
                <w:sz w:val="28"/>
                <w:b/>
                <w:color w:val="333333"/>
                <w:shd w:fill="0A82E5" w:val="clear"/>
              </w:rPr>
              <w:t>本项目校园物业管理服务必须达到的各项指标，投标人必须作出</w:t>
            </w:r>
            <w:r>
              <w:rPr>
                <w:rFonts w:ascii="仿宋_GB2312" w:hAnsi="仿宋_GB2312" w:cs="仿宋_GB2312" w:eastAsia="仿宋_GB2312"/>
                <w:sz w:val="28"/>
                <w:b/>
                <w:color w:val="333333"/>
                <w:shd w:fill="0A82E5" w:val="clear"/>
              </w:rPr>
              <w:t>满足以下事项的</w:t>
            </w:r>
            <w:r>
              <w:rPr>
                <w:rFonts w:ascii="仿宋_GB2312" w:hAnsi="仿宋_GB2312" w:cs="仿宋_GB2312" w:eastAsia="仿宋_GB2312"/>
                <w:sz w:val="28"/>
                <w:b/>
                <w:color w:val="333333"/>
                <w:shd w:fill="0A82E5" w:val="clear"/>
              </w:rPr>
              <w:t>书面承诺（提供承诺书即可，格式自拟），否则，视为无效投标。</w:t>
            </w:r>
          </w:p>
          <w:p>
            <w:pPr>
              <w:pStyle w:val="null3"/>
              <w:ind w:firstLine="643"/>
              <w:jc w:val="both"/>
            </w:pPr>
            <w:r>
              <w:rPr>
                <w:rFonts w:ascii="仿宋_GB2312" w:hAnsi="仿宋_GB2312" w:cs="仿宋_GB2312" w:eastAsia="仿宋_GB2312"/>
                <w:sz w:val="28"/>
                <w:color w:val="333333"/>
                <w:shd w:fill="0A82E5" w:val="clear"/>
              </w:rPr>
              <w:t>服务团队</w:t>
            </w:r>
          </w:p>
          <w:p>
            <w:pPr>
              <w:pStyle w:val="null3"/>
              <w:ind w:firstLine="420"/>
              <w:jc w:val="both"/>
            </w:pPr>
            <w:r>
              <w:rPr>
                <w:rFonts w:ascii="仿宋_GB2312" w:hAnsi="仿宋_GB2312" w:cs="仿宋_GB2312" w:eastAsia="仿宋_GB2312"/>
                <w:sz w:val="21"/>
                <w:color w:val="000000"/>
                <w:shd w:fill="0A82E5" w:val="clear"/>
              </w:rPr>
              <w:t>★</w:t>
            </w:r>
            <w:r>
              <w:rPr>
                <w:rFonts w:ascii="仿宋_GB2312" w:hAnsi="仿宋_GB2312" w:cs="仿宋_GB2312" w:eastAsia="仿宋_GB2312"/>
                <w:sz w:val="28"/>
                <w:color w:val="333333"/>
                <w:shd w:fill="0A82E5" w:val="clear"/>
              </w:rPr>
              <w:t>1、项目人数配置要求：</w:t>
            </w:r>
          </w:p>
          <w:p>
            <w:pPr>
              <w:pStyle w:val="null3"/>
              <w:ind w:firstLine="560"/>
              <w:jc w:val="both"/>
            </w:pPr>
            <w:r>
              <w:rPr>
                <w:rFonts w:ascii="仿宋_GB2312" w:hAnsi="仿宋_GB2312" w:cs="仿宋_GB2312" w:eastAsia="仿宋_GB2312"/>
                <w:sz w:val="28"/>
                <w:color w:val="333333"/>
                <w:shd w:fill="0A82E5" w:val="clear"/>
              </w:rPr>
              <w:t>项目总定员人数</w:t>
            </w:r>
            <w:r>
              <w:rPr>
                <w:rFonts w:ascii="仿宋_GB2312" w:hAnsi="仿宋_GB2312" w:cs="仿宋_GB2312" w:eastAsia="仿宋_GB2312"/>
                <w:sz w:val="28"/>
                <w:color w:val="333333"/>
                <w:shd w:fill="0A82E5" w:val="clear"/>
              </w:rPr>
              <w:t>40人，其中：</w:t>
            </w:r>
            <w:r>
              <w:rPr>
                <w:rFonts w:ascii="仿宋_GB2312" w:hAnsi="仿宋_GB2312" w:cs="仿宋_GB2312" w:eastAsia="仿宋_GB2312"/>
                <w:sz w:val="28"/>
                <w:color w:val="333333"/>
                <w:shd w:fill="0A82E5" w:val="clear"/>
              </w:rPr>
              <w:t>管理处综合经理</w:t>
            </w:r>
            <w:r>
              <w:rPr>
                <w:rFonts w:ascii="仿宋_GB2312" w:hAnsi="仿宋_GB2312" w:cs="仿宋_GB2312" w:eastAsia="仿宋_GB2312"/>
                <w:sz w:val="28"/>
                <w:color w:val="333333"/>
                <w:shd w:fill="0A82E5" w:val="clear"/>
              </w:rPr>
              <w:t>1人，经理助理1人，</w:t>
            </w:r>
            <w:r>
              <w:rPr>
                <w:rFonts w:ascii="仿宋_GB2312" w:hAnsi="仿宋_GB2312" w:cs="仿宋_GB2312" w:eastAsia="仿宋_GB2312"/>
                <w:sz w:val="28"/>
                <w:color w:val="333333"/>
                <w:shd w:fill="0A82E5" w:val="clear"/>
              </w:rPr>
              <w:t>事务助理</w:t>
            </w:r>
            <w:r>
              <w:rPr>
                <w:rFonts w:ascii="仿宋_GB2312" w:hAnsi="仿宋_GB2312" w:cs="仿宋_GB2312" w:eastAsia="仿宋_GB2312"/>
                <w:sz w:val="28"/>
                <w:color w:val="333333"/>
                <w:shd w:fill="0A82E5" w:val="clear"/>
              </w:rPr>
              <w:t>1人；</w:t>
            </w:r>
            <w:r>
              <w:rPr>
                <w:rFonts w:ascii="仿宋_GB2312" w:hAnsi="仿宋_GB2312" w:cs="仿宋_GB2312" w:eastAsia="仿宋_GB2312"/>
                <w:sz w:val="28"/>
                <w:color w:val="000000"/>
                <w:shd w:fill="0A82E5" w:val="clear"/>
              </w:rPr>
              <w:t>工程管理部</w:t>
            </w:r>
            <w:r>
              <w:rPr>
                <w:rFonts w:ascii="仿宋_GB2312" w:hAnsi="仿宋_GB2312" w:cs="仿宋_GB2312" w:eastAsia="仿宋_GB2312"/>
                <w:sz w:val="28"/>
                <w:color w:val="000000"/>
                <w:shd w:fill="0A82E5" w:val="clear"/>
              </w:rPr>
              <w:t>2人，其中主管1人，水电工1人；秩序维护部</w:t>
            </w:r>
            <w:r>
              <w:rPr>
                <w:rFonts w:ascii="仿宋_GB2312" w:hAnsi="仿宋_GB2312" w:cs="仿宋_GB2312" w:eastAsia="仿宋_GB2312"/>
                <w:sz w:val="28"/>
                <w:color w:val="000000"/>
                <w:shd w:fill="0A82E5" w:val="clear"/>
              </w:rPr>
              <w:t>8</w:t>
            </w:r>
            <w:r>
              <w:rPr>
                <w:rFonts w:ascii="仿宋_GB2312" w:hAnsi="仿宋_GB2312" w:cs="仿宋_GB2312" w:eastAsia="仿宋_GB2312"/>
                <w:sz w:val="28"/>
                <w:color w:val="000000"/>
                <w:shd w:fill="0A82E5" w:val="clear"/>
              </w:rPr>
              <w:t>人，其中</w:t>
            </w:r>
            <w:r>
              <w:rPr>
                <w:rFonts w:ascii="仿宋_GB2312" w:hAnsi="仿宋_GB2312" w:cs="仿宋_GB2312" w:eastAsia="仿宋_GB2312"/>
                <w:sz w:val="28"/>
                <w:color w:val="333333"/>
                <w:shd w:fill="0A82E5" w:val="clear"/>
              </w:rPr>
              <w:t>秩序维护主管</w:t>
            </w:r>
            <w:r>
              <w:rPr>
                <w:rFonts w:ascii="仿宋_GB2312" w:hAnsi="仿宋_GB2312" w:cs="仿宋_GB2312" w:eastAsia="仿宋_GB2312"/>
                <w:sz w:val="28"/>
                <w:color w:val="333333"/>
                <w:shd w:fill="0A82E5" w:val="clear"/>
              </w:rPr>
              <w:t>1人，秩序维护员</w:t>
            </w:r>
            <w:r>
              <w:rPr>
                <w:rFonts w:ascii="仿宋_GB2312" w:hAnsi="仿宋_GB2312" w:cs="仿宋_GB2312" w:eastAsia="仿宋_GB2312"/>
                <w:sz w:val="28"/>
                <w:color w:val="333333"/>
                <w:shd w:fill="0A82E5" w:val="clear"/>
              </w:rPr>
              <w:t>7</w:t>
            </w:r>
            <w:r>
              <w:rPr>
                <w:rFonts w:ascii="仿宋_GB2312" w:hAnsi="仿宋_GB2312" w:cs="仿宋_GB2312" w:eastAsia="仿宋_GB2312"/>
                <w:sz w:val="28"/>
                <w:color w:val="333333"/>
                <w:shd w:fill="0A82E5" w:val="clear"/>
              </w:rPr>
              <w:t>人；</w:t>
            </w:r>
            <w:r>
              <w:rPr>
                <w:rFonts w:ascii="仿宋_GB2312" w:hAnsi="仿宋_GB2312" w:cs="仿宋_GB2312" w:eastAsia="仿宋_GB2312"/>
                <w:sz w:val="28"/>
                <w:color w:val="000000"/>
                <w:shd w:fill="0A82E5" w:val="clear"/>
              </w:rPr>
              <w:t>环境管理部</w:t>
            </w:r>
            <w:r>
              <w:rPr>
                <w:rFonts w:ascii="仿宋_GB2312" w:hAnsi="仿宋_GB2312" w:cs="仿宋_GB2312" w:eastAsia="仿宋_GB2312"/>
                <w:sz w:val="28"/>
                <w:color w:val="000000"/>
                <w:shd w:fill="0A82E5" w:val="clear"/>
              </w:rPr>
              <w:t>12</w:t>
            </w:r>
            <w:r>
              <w:rPr>
                <w:rFonts w:ascii="仿宋_GB2312" w:hAnsi="仿宋_GB2312" w:cs="仿宋_GB2312" w:eastAsia="仿宋_GB2312"/>
                <w:sz w:val="28"/>
                <w:color w:val="000000"/>
                <w:shd w:fill="0A82E5" w:val="clear"/>
              </w:rPr>
              <w:t>人，其中环境主管</w:t>
            </w:r>
            <w:r>
              <w:rPr>
                <w:rFonts w:ascii="仿宋_GB2312" w:hAnsi="仿宋_GB2312" w:cs="仿宋_GB2312" w:eastAsia="仿宋_GB2312"/>
                <w:sz w:val="28"/>
                <w:color w:val="000000"/>
                <w:shd w:fill="0A82E5" w:val="clear"/>
              </w:rPr>
              <w:t>1人，</w:t>
            </w:r>
            <w:r>
              <w:rPr>
                <w:rFonts w:ascii="仿宋_GB2312" w:hAnsi="仿宋_GB2312" w:cs="仿宋_GB2312" w:eastAsia="仿宋_GB2312"/>
                <w:sz w:val="28"/>
                <w:color w:val="333333"/>
                <w:shd w:fill="0A82E5" w:val="clear"/>
              </w:rPr>
              <w:t>保洁员</w:t>
            </w:r>
            <w:r>
              <w:rPr>
                <w:rFonts w:ascii="仿宋_GB2312" w:hAnsi="仿宋_GB2312" w:cs="仿宋_GB2312" w:eastAsia="仿宋_GB2312"/>
                <w:sz w:val="28"/>
                <w:color w:val="333333"/>
                <w:shd w:fill="0A82E5" w:val="clear"/>
              </w:rPr>
              <w:t>9</w:t>
            </w:r>
            <w:r>
              <w:rPr>
                <w:rFonts w:ascii="仿宋_GB2312" w:hAnsi="仿宋_GB2312" w:cs="仿宋_GB2312" w:eastAsia="仿宋_GB2312"/>
                <w:sz w:val="28"/>
                <w:color w:val="333333"/>
                <w:shd w:fill="0A82E5" w:val="clear"/>
              </w:rPr>
              <w:t>人，绿化工</w:t>
            </w:r>
            <w:r>
              <w:rPr>
                <w:rFonts w:ascii="仿宋_GB2312" w:hAnsi="仿宋_GB2312" w:cs="仿宋_GB2312" w:eastAsia="仿宋_GB2312"/>
                <w:sz w:val="28"/>
                <w:color w:val="333333"/>
                <w:shd w:fill="0A82E5" w:val="clear"/>
              </w:rPr>
              <w:t>2人；</w:t>
            </w:r>
            <w:r>
              <w:rPr>
                <w:rFonts w:ascii="仿宋_GB2312" w:hAnsi="仿宋_GB2312" w:cs="仿宋_GB2312" w:eastAsia="仿宋_GB2312"/>
                <w:sz w:val="28"/>
                <w:color w:val="000000"/>
                <w:shd w:fill="0A82E5" w:val="clear"/>
              </w:rPr>
              <w:t>公寓管理部</w:t>
            </w:r>
            <w:r>
              <w:rPr>
                <w:rFonts w:ascii="仿宋_GB2312" w:hAnsi="仿宋_GB2312" w:cs="仿宋_GB2312" w:eastAsia="仿宋_GB2312"/>
                <w:sz w:val="28"/>
                <w:color w:val="000000"/>
                <w:shd w:fill="0A82E5" w:val="clear"/>
              </w:rPr>
              <w:t>1</w:t>
            </w:r>
            <w:r>
              <w:rPr>
                <w:rFonts w:ascii="仿宋_GB2312" w:hAnsi="仿宋_GB2312" w:cs="仿宋_GB2312" w:eastAsia="仿宋_GB2312"/>
                <w:sz w:val="28"/>
                <w:color w:val="000000"/>
                <w:shd w:fill="0A82E5" w:val="clear"/>
              </w:rPr>
              <w:t>5</w:t>
            </w:r>
            <w:r>
              <w:rPr>
                <w:rFonts w:ascii="仿宋_GB2312" w:hAnsi="仿宋_GB2312" w:cs="仿宋_GB2312" w:eastAsia="仿宋_GB2312"/>
                <w:sz w:val="28"/>
                <w:color w:val="000000"/>
                <w:shd w:fill="0A82E5" w:val="clear"/>
              </w:rPr>
              <w:t>人，其中主管</w:t>
            </w:r>
            <w:r>
              <w:rPr>
                <w:rFonts w:ascii="仿宋_GB2312" w:hAnsi="仿宋_GB2312" w:cs="仿宋_GB2312" w:eastAsia="仿宋_GB2312"/>
                <w:sz w:val="28"/>
                <w:color w:val="000000"/>
                <w:shd w:fill="0A82E5" w:val="clear"/>
              </w:rPr>
              <w:t>1人，</w:t>
            </w:r>
            <w:r>
              <w:rPr>
                <w:rFonts w:ascii="仿宋_GB2312" w:hAnsi="仿宋_GB2312" w:cs="仿宋_GB2312" w:eastAsia="仿宋_GB2312"/>
                <w:sz w:val="28"/>
                <w:color w:val="333333"/>
                <w:shd w:fill="0A82E5" w:val="clear"/>
              </w:rPr>
              <w:t>公寓管理员</w:t>
            </w:r>
            <w:r>
              <w:rPr>
                <w:rFonts w:ascii="仿宋_GB2312" w:hAnsi="仿宋_GB2312" w:cs="仿宋_GB2312" w:eastAsia="仿宋_GB2312"/>
                <w:sz w:val="28"/>
                <w:color w:val="333333"/>
                <w:shd w:fill="0A82E5" w:val="clear"/>
              </w:rPr>
              <w:t>1</w:t>
            </w:r>
            <w:r>
              <w:rPr>
                <w:rFonts w:ascii="仿宋_GB2312" w:hAnsi="仿宋_GB2312" w:cs="仿宋_GB2312" w:eastAsia="仿宋_GB2312"/>
                <w:sz w:val="28"/>
                <w:color w:val="333333"/>
                <w:shd w:fill="0A82E5" w:val="clear"/>
              </w:rPr>
              <w:t>4</w:t>
            </w:r>
            <w:r>
              <w:rPr>
                <w:rFonts w:ascii="仿宋_GB2312" w:hAnsi="仿宋_GB2312" w:cs="仿宋_GB2312" w:eastAsia="仿宋_GB2312"/>
                <w:sz w:val="28"/>
                <w:color w:val="333333"/>
                <w:shd w:fill="0A82E5" w:val="clear"/>
              </w:rPr>
              <w:t>人。</w:t>
            </w:r>
          </w:p>
          <w:p>
            <w:pPr>
              <w:pStyle w:val="null3"/>
              <w:spacing w:before="255" w:after="255"/>
              <w:jc w:val="center"/>
              <w:outlineLvl w:val="1"/>
            </w:pPr>
            <w:r>
              <w:rPr>
                <w:rFonts w:ascii="仿宋_GB2312" w:hAnsi="仿宋_GB2312" w:cs="仿宋_GB2312" w:eastAsia="仿宋_GB2312"/>
                <w:sz w:val="28"/>
                <w:b/>
                <w:color w:val="333333"/>
                <w:shd w:fill="0A82E5" w:val="clear"/>
              </w:rPr>
              <w:t>人员配置岗位分配表</w:t>
            </w:r>
          </w:p>
          <w:tbl>
            <w:tblPr>
              <w:tblBorders>
                <w:top w:val="none" w:color="000000" w:sz="4"/>
                <w:left w:val="none" w:color="000000" w:sz="4"/>
                <w:bottom w:val="none" w:color="000000" w:sz="4"/>
                <w:right w:val="none" w:color="000000" w:sz="4"/>
                <w:insideH w:val="none"/>
                <w:insideV w:val="none"/>
              </w:tblBorders>
            </w:tblPr>
            <w:tblGrid>
              <w:gridCol w:w="371"/>
              <w:gridCol w:w="609"/>
              <w:gridCol w:w="981"/>
              <w:gridCol w:w="585"/>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序号</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部门</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岗位</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人数</w:t>
                  </w:r>
                </w:p>
              </w:tc>
            </w:tr>
            <w:tr>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p>
              </w:tc>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综合管理部</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管理处综合经理</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p>
              </w:tc>
            </w:tr>
            <w:tr>
              <w:tc>
                <w:tcPr>
                  <w:tcW w:type="dxa" w:w="371"/>
                  <w:vMerge/>
                  <w:tcBorders>
                    <w:top w:val="none" w:color="000000" w:sz="4"/>
                    <w:left w:val="single" w:color="000000" w:sz="4"/>
                    <w:bottom w:val="single" w:color="000000" w:sz="4"/>
                    <w:right w:val="single" w:color="000000" w:sz="4"/>
                  </w:tcBorders>
                </w:tcPr>
                <w:p/>
              </w:tc>
              <w:tc>
                <w:tcPr>
                  <w:tcW w:type="dxa" w:w="609"/>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经理助理</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p>
              </w:tc>
            </w:tr>
            <w:tr>
              <w:tc>
                <w:tcPr>
                  <w:tcW w:type="dxa" w:w="371"/>
                  <w:vMerge/>
                  <w:tcBorders>
                    <w:top w:val="none" w:color="000000" w:sz="4"/>
                    <w:left w:val="single" w:color="000000" w:sz="4"/>
                    <w:bottom w:val="single" w:color="000000" w:sz="4"/>
                    <w:right w:val="single" w:color="000000" w:sz="4"/>
                  </w:tcBorders>
                </w:tcPr>
                <w:p/>
              </w:tc>
              <w:tc>
                <w:tcPr>
                  <w:tcW w:type="dxa" w:w="609"/>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事务助理</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p>
              </w:tc>
            </w:tr>
            <w:tr>
              <w:tc>
                <w:tcPr>
                  <w:tcW w:type="dxa" w:w="371"/>
                  <w:vMerge/>
                  <w:tcBorders>
                    <w:top w:val="none" w:color="000000" w:sz="4"/>
                    <w:left w:val="single" w:color="000000" w:sz="4"/>
                    <w:bottom w:val="single" w:color="000000" w:sz="4"/>
                    <w:right w:val="single" w:color="000000" w:sz="4"/>
                  </w:tcBorders>
                </w:tcPr>
                <w:p/>
              </w:tc>
              <w:tc>
                <w:tcPr>
                  <w:tcW w:type="dxa" w:w="159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合计</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3</w:t>
                  </w:r>
                </w:p>
              </w:tc>
            </w:tr>
            <w:tr>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2</w:t>
                  </w:r>
                </w:p>
              </w:tc>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000000"/>
                    </w:rPr>
                    <w:t>工程管理部</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工程主管</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p>
              </w:tc>
            </w:tr>
            <w:tr>
              <w:tc>
                <w:tcPr>
                  <w:tcW w:type="dxa" w:w="371"/>
                  <w:vMerge/>
                  <w:tcBorders>
                    <w:top w:val="none" w:color="000000" w:sz="4"/>
                    <w:left w:val="single" w:color="000000" w:sz="4"/>
                    <w:bottom w:val="single" w:color="000000" w:sz="4"/>
                    <w:right w:val="single" w:color="000000" w:sz="4"/>
                  </w:tcBorders>
                </w:tcPr>
                <w:p/>
              </w:tc>
              <w:tc>
                <w:tcPr>
                  <w:tcW w:type="dxa" w:w="609"/>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水电工</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p>
              </w:tc>
            </w:tr>
            <w:tr>
              <w:tc>
                <w:tcPr>
                  <w:tcW w:type="dxa" w:w="371"/>
                  <w:vMerge/>
                  <w:tcBorders>
                    <w:top w:val="none" w:color="000000" w:sz="4"/>
                    <w:left w:val="single" w:color="000000" w:sz="4"/>
                    <w:bottom w:val="single" w:color="000000" w:sz="4"/>
                    <w:right w:val="single" w:color="000000" w:sz="4"/>
                  </w:tcBorders>
                </w:tcPr>
                <w:p/>
              </w:tc>
              <w:tc>
                <w:tcPr>
                  <w:tcW w:type="dxa" w:w="159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合计</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2</w:t>
                  </w:r>
                </w:p>
              </w:tc>
            </w:tr>
            <w:tr>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3</w:t>
                  </w:r>
                </w:p>
              </w:tc>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000000"/>
                    </w:rPr>
                    <w:t>秩序维护部</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秩序维护主管</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p>
              </w:tc>
            </w:tr>
            <w:tr>
              <w:tc>
                <w:tcPr>
                  <w:tcW w:type="dxa" w:w="371"/>
                  <w:vMerge/>
                  <w:tcBorders>
                    <w:top w:val="none" w:color="000000" w:sz="4"/>
                    <w:left w:val="single" w:color="000000" w:sz="4"/>
                    <w:bottom w:val="single" w:color="000000" w:sz="4"/>
                    <w:right w:val="single" w:color="000000" w:sz="4"/>
                  </w:tcBorders>
                </w:tcPr>
                <w:p/>
              </w:tc>
              <w:tc>
                <w:tcPr>
                  <w:tcW w:type="dxa" w:w="609"/>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秩序维护员</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7</w:t>
                  </w:r>
                </w:p>
              </w:tc>
            </w:tr>
            <w:tr>
              <w:tc>
                <w:tcPr>
                  <w:tcW w:type="dxa" w:w="371"/>
                  <w:vMerge/>
                  <w:tcBorders>
                    <w:top w:val="none" w:color="000000" w:sz="4"/>
                    <w:left w:val="single" w:color="000000" w:sz="4"/>
                    <w:bottom w:val="single" w:color="000000" w:sz="4"/>
                    <w:right w:val="single" w:color="000000" w:sz="4"/>
                  </w:tcBorders>
                </w:tcPr>
                <w:p/>
              </w:tc>
              <w:tc>
                <w:tcPr>
                  <w:tcW w:type="dxa" w:w="159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合计</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8</w:t>
                  </w:r>
                </w:p>
              </w:tc>
            </w:tr>
            <w:tr>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4</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000000"/>
                    </w:rPr>
                    <w:t>环境管理部</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环境主管</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p>
              </w:tc>
            </w:tr>
            <w:tr>
              <w:tc>
                <w:tcPr>
                  <w:tcW w:type="dxa" w:w="371"/>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333333"/>
                    </w:rPr>
                    <w:t>保洁员</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9</w:t>
                  </w:r>
                </w:p>
              </w:tc>
            </w:tr>
            <w:tr>
              <w:tc>
                <w:tcPr>
                  <w:tcW w:type="dxa" w:w="371"/>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333333"/>
                    </w:rPr>
                    <w:t>绿化工</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2</w:t>
                  </w:r>
                </w:p>
              </w:tc>
            </w:tr>
            <w:tr>
              <w:tc>
                <w:tcPr>
                  <w:tcW w:type="dxa" w:w="371"/>
                  <w:vMerge/>
                  <w:tcBorders>
                    <w:top w:val="none" w:color="000000" w:sz="4"/>
                    <w:left w:val="single" w:color="000000" w:sz="4"/>
                    <w:bottom w:val="single" w:color="000000" w:sz="4"/>
                    <w:right w:val="single" w:color="000000" w:sz="4"/>
                  </w:tcBorders>
                </w:tcPr>
                <w:p/>
              </w:tc>
              <w:tc>
                <w:tcPr>
                  <w:tcW w:type="dxa" w:w="159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合计</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12</w:t>
                  </w:r>
                </w:p>
              </w:tc>
            </w:tr>
            <w:tr>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5</w:t>
                  </w:r>
                </w:p>
              </w:tc>
              <w:tc>
                <w:tcPr>
                  <w:tcW w:type="dxa" w:w="6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000000"/>
                    </w:rPr>
                    <w:t>公寓管理部</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公寓管理主管</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p>
              </w:tc>
            </w:tr>
            <w:tr>
              <w:tc>
                <w:tcPr>
                  <w:tcW w:type="dxa" w:w="371"/>
                  <w:vMerge/>
                  <w:tcBorders>
                    <w:top w:val="none" w:color="000000" w:sz="4"/>
                    <w:left w:val="single" w:color="000000" w:sz="4"/>
                    <w:bottom w:val="single" w:color="000000" w:sz="4"/>
                    <w:right w:val="single" w:color="000000" w:sz="4"/>
                  </w:tcBorders>
                </w:tcPr>
                <w:p/>
              </w:tc>
              <w:tc>
                <w:tcPr>
                  <w:tcW w:type="dxa" w:w="609"/>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学生公寓管理员</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14</w:t>
                  </w:r>
                </w:p>
              </w:tc>
            </w:tr>
            <w:tr>
              <w:tc>
                <w:tcPr>
                  <w:tcW w:type="dxa" w:w="371"/>
                  <w:vMerge/>
                  <w:tcBorders>
                    <w:top w:val="none" w:color="000000" w:sz="4"/>
                    <w:left w:val="single" w:color="000000" w:sz="4"/>
                    <w:bottom w:val="single" w:color="000000" w:sz="4"/>
                    <w:right w:val="single" w:color="000000" w:sz="4"/>
                  </w:tcBorders>
                </w:tcPr>
                <w:p/>
              </w:tc>
              <w:tc>
                <w:tcPr>
                  <w:tcW w:type="dxa" w:w="159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合计</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1</w:t>
                  </w:r>
                  <w:r>
                    <w:rPr>
                      <w:rFonts w:ascii="仿宋_GB2312" w:hAnsi="仿宋_GB2312" w:cs="仿宋_GB2312" w:eastAsia="仿宋_GB2312"/>
                      <w:sz w:val="24"/>
                      <w:color w:val="333333"/>
                    </w:rPr>
                    <w:t>5</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color w:val="333333"/>
                    </w:rPr>
                    <w:t>6</w:t>
                  </w:r>
                </w:p>
              </w:tc>
              <w:tc>
                <w:tcPr>
                  <w:tcW w:type="dxa" w:w="217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lineRule="exact" w:line="240"/>
                    <w:jc w:val="center"/>
                  </w:pPr>
                  <w:r>
                    <w:rPr>
                      <w:rFonts w:ascii="仿宋_GB2312" w:hAnsi="仿宋_GB2312" w:cs="仿宋_GB2312" w:eastAsia="仿宋_GB2312"/>
                      <w:sz w:val="24"/>
                      <w:b/>
                      <w:color w:val="000000"/>
                    </w:rPr>
                    <w:t>岗位配置人员总计</w:t>
                  </w:r>
                  <w:r>
                    <w:rPr>
                      <w:rFonts w:ascii="仿宋_GB2312" w:hAnsi="仿宋_GB2312" w:cs="仿宋_GB2312" w:eastAsia="仿宋_GB2312"/>
                      <w:sz w:val="24"/>
                      <w:b/>
                      <w:color w:val="000000"/>
                    </w:rPr>
                    <w:t>40人</w:t>
                  </w:r>
                </w:p>
              </w:tc>
            </w:tr>
          </w:tbl>
          <w:p>
            <w:pPr>
              <w:pStyle w:val="null3"/>
              <w:ind w:firstLine="560"/>
              <w:jc w:val="both"/>
            </w:pPr>
            <w:r>
              <w:rPr>
                <w:rFonts w:ascii="仿宋_GB2312" w:hAnsi="仿宋_GB2312" w:cs="仿宋_GB2312" w:eastAsia="仿宋_GB2312"/>
                <w:sz w:val="21"/>
                <w:color w:val="000000"/>
                <w:shd w:fill="0A82E5" w:val="clear"/>
              </w:rPr>
              <w:t xml:space="preserve">★ </w:t>
            </w:r>
            <w:r>
              <w:rPr>
                <w:rFonts w:ascii="仿宋_GB2312" w:hAnsi="仿宋_GB2312" w:cs="仿宋_GB2312" w:eastAsia="仿宋_GB2312"/>
                <w:sz w:val="28"/>
                <w:color w:val="333333"/>
                <w:shd w:fill="0A82E5" w:val="clear"/>
              </w:rPr>
              <w:t>2.项目人员配备执证要求</w:t>
            </w:r>
          </w:p>
          <w:p>
            <w:pPr>
              <w:pStyle w:val="null3"/>
              <w:ind w:firstLine="560"/>
              <w:jc w:val="both"/>
            </w:pPr>
            <w:r>
              <w:rPr>
                <w:rFonts w:ascii="仿宋_GB2312" w:hAnsi="仿宋_GB2312" w:cs="仿宋_GB2312" w:eastAsia="仿宋_GB2312"/>
                <w:sz w:val="28"/>
                <w:color w:val="333333"/>
                <w:shd w:fill="0A82E5" w:val="clear"/>
              </w:rPr>
              <w:t>1）管理处综合经理：</w:t>
            </w:r>
          </w:p>
          <w:p>
            <w:pPr>
              <w:pStyle w:val="null3"/>
              <w:ind w:firstLine="560"/>
              <w:jc w:val="both"/>
            </w:pPr>
            <w:r>
              <w:rPr>
                <w:rFonts w:ascii="仿宋_GB2312" w:hAnsi="仿宋_GB2312" w:cs="仿宋_GB2312" w:eastAsia="仿宋_GB2312"/>
                <w:sz w:val="28"/>
                <w:color w:val="333333"/>
                <w:shd w:fill="0A82E5" w:val="clear"/>
              </w:rPr>
              <w:t>管理处综合经理应该具有本科及以上学历，执有全国物业管理企业经理上岗证书。</w:t>
            </w:r>
          </w:p>
          <w:p>
            <w:pPr>
              <w:pStyle w:val="null3"/>
              <w:ind w:firstLine="560"/>
              <w:jc w:val="both"/>
            </w:pPr>
            <w:r>
              <w:rPr>
                <w:rFonts w:ascii="仿宋_GB2312" w:hAnsi="仿宋_GB2312" w:cs="仿宋_GB2312" w:eastAsia="仿宋_GB2312"/>
                <w:sz w:val="28"/>
                <w:color w:val="333333"/>
                <w:shd w:fill="0A82E5" w:val="clear"/>
              </w:rPr>
              <w:t>2）秩序维护员：</w:t>
            </w:r>
          </w:p>
          <w:p>
            <w:pPr>
              <w:pStyle w:val="null3"/>
              <w:ind w:firstLine="560"/>
              <w:jc w:val="both"/>
            </w:pPr>
            <w:r>
              <w:rPr>
                <w:rFonts w:ascii="仿宋_GB2312" w:hAnsi="仿宋_GB2312" w:cs="仿宋_GB2312" w:eastAsia="仿宋_GB2312"/>
                <w:sz w:val="28"/>
                <w:color w:val="333333"/>
                <w:shd w:fill="0A82E5" w:val="clear"/>
              </w:rPr>
              <w:t>项目秩序维护员应该持有国家公安机关颁发的保安员上岗证书。</w:t>
            </w:r>
          </w:p>
          <w:p>
            <w:pPr>
              <w:pStyle w:val="null3"/>
              <w:ind w:firstLine="560"/>
              <w:jc w:val="both"/>
            </w:pPr>
            <w:r>
              <w:rPr>
                <w:rFonts w:ascii="仿宋_GB2312" w:hAnsi="仿宋_GB2312" w:cs="仿宋_GB2312" w:eastAsia="仿宋_GB2312"/>
                <w:sz w:val="28"/>
                <w:color w:val="333333"/>
                <w:shd w:fill="0A82E5" w:val="clear"/>
              </w:rPr>
              <w:t>3）</w:t>
            </w:r>
            <w:r>
              <w:rPr>
                <w:rFonts w:ascii="仿宋_GB2312" w:hAnsi="仿宋_GB2312" w:cs="仿宋_GB2312" w:eastAsia="仿宋_GB2312"/>
                <w:sz w:val="28"/>
                <w:color w:val="333333"/>
                <w:shd w:fill="0A82E5" w:val="clear"/>
              </w:rPr>
              <w:t>工程主管、</w:t>
            </w:r>
            <w:r>
              <w:rPr>
                <w:rFonts w:ascii="仿宋_GB2312" w:hAnsi="仿宋_GB2312" w:cs="仿宋_GB2312" w:eastAsia="仿宋_GB2312"/>
                <w:sz w:val="28"/>
                <w:color w:val="333333"/>
                <w:shd w:fill="0A82E5" w:val="clear"/>
              </w:rPr>
              <w:t>水电工：</w:t>
            </w:r>
          </w:p>
          <w:p>
            <w:pPr>
              <w:pStyle w:val="null3"/>
              <w:ind w:firstLine="560"/>
              <w:jc w:val="both"/>
            </w:pPr>
            <w:r>
              <w:rPr>
                <w:rFonts w:ascii="仿宋_GB2312" w:hAnsi="仿宋_GB2312" w:cs="仿宋_GB2312" w:eastAsia="仿宋_GB2312"/>
                <w:sz w:val="28"/>
                <w:color w:val="333333"/>
                <w:shd w:fill="0A82E5" w:val="clear"/>
              </w:rPr>
              <w:t>工程主管、</w:t>
            </w:r>
            <w:r>
              <w:rPr>
                <w:rFonts w:ascii="仿宋_GB2312" w:hAnsi="仿宋_GB2312" w:cs="仿宋_GB2312" w:eastAsia="仿宋_GB2312"/>
                <w:sz w:val="28"/>
                <w:color w:val="333333"/>
                <w:shd w:fill="0A82E5" w:val="clear"/>
              </w:rPr>
              <w:t>水电工</w:t>
            </w:r>
            <w:r>
              <w:rPr>
                <w:rFonts w:ascii="仿宋_GB2312" w:hAnsi="仿宋_GB2312" w:cs="仿宋_GB2312" w:eastAsia="仿宋_GB2312"/>
                <w:sz w:val="28"/>
                <w:color w:val="333333"/>
                <w:shd w:fill="0A82E5" w:val="clear"/>
              </w:rPr>
              <w:t>应该</w:t>
            </w:r>
            <w:r>
              <w:rPr>
                <w:rFonts w:ascii="仿宋_GB2312" w:hAnsi="仿宋_GB2312" w:cs="仿宋_GB2312" w:eastAsia="仿宋_GB2312"/>
                <w:sz w:val="28"/>
                <w:color w:val="333333"/>
                <w:shd w:fill="0A82E5" w:val="clear"/>
              </w:rPr>
              <w:t>持有国家应急管理部门颁发的低压电工作业证。</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详见附件 第三章 采购需求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（1）关于符合规定的中小微企业（供应商）参与投标 ① 在政府采购活动中，监狱企业、残疾人福利性单位视同小型、 微型企业。 ② 符合中小企业划分标准的个体工商户，在政府采购活动中视同中小企业。 ③ 以联合体形式参加政府采购活 动，联合体各方均为中小企业的，联合体视同中小企业。其中，联合体各方均为小微企业的，联合体视同小微企业。 ④ 供 应商为符合规定的小型或微型企业时，报价给予价格扣除，用扣除后的价格参与评审。 ⑤ 专门面向中小企业采购的项目或 者采购包，不再执行价格评审优惠的扶持政策。 ⑥ 大中型企业与小微企业组成联合体或者大中型企业向一家或者多家小微 企业分包的，对于联合协议或者分包意向协议约定小微企业的合同份额占到合同总金额 30％以上的，对联合体或者大中型企 业的报价给予价格扣除，用扣除后的价格参与评审。组成联合体或者接受分包的小微企业与联合体内其他企业、分包企业之间 存在直接控股、管理关系的，不享受价格扣除优惠政策。 ⑦ 《中小企业声明函》由参加政府采购活动的供应商出具。以联 合体形式参加政府采购活动或者合同分包的，《中小企业声明函》中需填写联合体中的中小企业或签订分包意向协议的中小企 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 购项目是货物、工程还是服务项目。享受中小企业扶持政策的供应商应当满足下列条件：在货物采购项目中，货物应当由中小 企业制造，不对其中涉及的服务的承接商作出要求；在工程采购项目中，工程应当由中小企业承建，不对其中涉及的货物的制 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 中小企业扶持政策。在货物采购项目中，供应商提供的货物既有中小企业制造货物，也有大型企业制造货物的，不享受相 应的中小企业扶持政策。享受扶持政策获得政府采购合同的，小微企业不得将合同分包给大中型企业，中型企业不得将合 同分包给大型企业。 供应商认为其为中型或小型或微型企业的应提供合法有效的《中小企业声明函》，并明确企业类型； 供应商认为其为监狱企业的须提供由省级以上监狱管理局、戒毒管理局（含新疆生产建设兵团）出具的属于监狱企业的证明文 件；供应商认为其为符合条件的残疾人福利性单位的应当提供《残疾人福利性单位声明函》。供应商须对以上材料的真实性负 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在中华人民共和国境内注册，具有 独立承担民事责任的能力：提供营 业执照副本、或事业单位法人证书 （事业单位）、或执业许可证（非 企业专业服务机构）、或身份证（ 自然人）的复印件。</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投标人在“信用中国”网站（www.c reditchina.gov.cn)未被列入失信 被执行人(因信用中国网站失信被执 行人查询时直接跳转中国执行信息 公开网（http://zxgk.court.gov.c n/shixin/）,故以中国执行信息公 开网“全国法院失信被执行人名单 信息公布与查询”查询结果为准)、 重大税收违法失信主体，在中国政 府采购网（www.ccgp.gov.cn） 未被列入政府采购严重违法失信行 为记录名单。（以资格审查时在上 述网站查询的结果为准（投标人无 需提供），如在上述网站查询结果 均显示没有相关记录，视为没有上 述不良信用记录，同时对信用信息 查询记录和证据打印存档。如相关 失信记录已失效，投标人须提供相 关证明资料并加盖公章。）</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投标函 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供应商应主动公示的材料 开标（报价）一览表 中小企业声明函 自觉抵制政府采购领域商业贿赂行为承诺书 封面 商业信誉、财务会计制度、缴纳税收和社保的承诺函 具有独立承担民事责任的能力证明文件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供应商应主动公示的材料 开标（报价）一览表 中小企业声明函 自觉抵制政府采购领域商业贿赂行为承诺书 封面 商业信誉、财务会计制度、缴纳税收和社保的承诺函 具有独立承担民事责任的能力证明文件 投标（响应）报价明细表 投标函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政府采购评审中出现下列情形之一 的，评审委员会应当启动异常低价 投标（响应）审查程序： （一）投 标（响应）报价低于全部通过符合 性审查供应商投标（响应）报价平 均值50%的，即投标（响应）报价 &lt;全部通过符合性审查供应商投标 （响应）报价平均值×50%；（二 ）投标（响应）报价低于通过符合 性审查且报价次低供应商投标（响 应）报价50%的，即投标（响应） 报价&lt;通过符合性审查且报价次低 供应商投标（响应）报价×50%； （三）投标（响应）报价低于采购 项目最高限价45%的，即投标（响 应）报价&lt;采购项目最高限价×45 %；（四）其他评审委员会认为供 应商报价过低，有可能影响产品质 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 明其报价合理性。</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第二、服务内容和标准/（一）校园物业管理标准及要求第1项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1项，满足采购需求得0.8分，优于采购需求加0.4分，此项满分1.2分，不满足或未响应不得分。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第二、服务内容和标准/（一）校园物业管理标准及要求第2项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2项，满足采购需求得0.8分，优于采购需求加0.4分，此项满分1.2分，不满足或未响应不得分。备注：每优于1项加0.4分是指每项条款及其所有分项条款（如有）方案均优于需求内容才可以加分，否则不加分。 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第二、服务内容和标准/（一）校园物业管理标准及要求第3项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3项，满足采购需求得0.8分，优于采购需求加0.4分，此项满分1.2分，不满足或未响应不得分。备注：每优于1项加0.4分是指每项条款及其所有分项条款（如有）方案均优于需求内容才可以加分，否则不加分。 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第二、服务内容和标准/（一）校园物业管理标准及要求第4项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4项，满足采购需求得0.8分，优于采购需求加0.4分，此项满分1.2分，不满足或未响应不得分。备注：每优于1项加0.4分是指每项条款及其所有分项条款（如有）方案均优于需求内容才可以加分，否则不加分。 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第二、服务内容和标准/（一）校园物业管理标准及要求第5项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5项，满足采购需求得0.8分，优于采购需求加0.4分，此项满分1.2分，不满足或未响应不得分。备注：每优于1项加0.4分是指每项条款及其所有分项条款（如有）方案均优于需求内容才可以加分，否则不加分。 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第二、服务内容和标准/（一）校园物业管理标准及要求第6项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6项，满足采购需求得0.8分，优于采购需求加0.4分，此项满分1.2分，不满足或未响应不得分。备注：每优于1项加0.4分是指每项条款及其所有分项条款（如有）方案均优于需求内容才可以加分，否则不加分。 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第二、服务内容和标准/（一）校园物业管理标准及要求第7项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7项，满足采购需求得0.8分，优于采购需求加0.4分，此项满分1.2分，不满足或未响应不得分。备注：每优于1项加0.4分是指每项条款及其所有分项条款（如有）方案均优于需求内容才可以加分，否则不加分。 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第二、服务内容和标准/（一）校园物业管理标准及要求第8项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8项，满足采购需求得0.8分，优于采购需求加0.4分，此项满分1.2分，不满足或未响应不得分。备注：每优于1项加0.4分是指每项条款及其所有分项条款（如有）方案均优于需求内容才可以加分，否则不加分。 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第二、服务内容和标准/（一）校园物业管理标准及要求第9项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9项，满足采购需求得0.8分，优于采购需求加0.4分，此项满分1.2分，不满足或未响应不得分。备注：每优于1项加0.4分是指每项条款及其所有分项条款（如有）方案均优于需求内容才可以加分，否则不加分。 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第二、服务内容和标准/（一）校园物业管理标准及要求第10项</w:t>
            </w:r>
          </w:p>
        </w:tc>
        <w:tc>
          <w:tcPr>
            <w:tcW w:type="dxa" w:w="2492"/>
          </w:tcPr>
          <w:p>
            <w:pPr>
              <w:pStyle w:val="null3"/>
              <w:jc w:val="both"/>
            </w:pPr>
            <w:r>
              <w:rPr>
                <w:rFonts w:ascii="仿宋_GB2312" w:hAnsi="仿宋_GB2312" w:cs="仿宋_GB2312" w:eastAsia="仿宋_GB2312"/>
              </w:rPr>
              <w:t>根据采购需求 第二、服务内容和标准（一）校园物业管理标准及要求第10项，满足采购需求得0.8分，优于采购需求加0.4分，此项满分1.2分，不满足或未响应不得分。备注：每优于1项加0.4分是指每项条款及其所有分项条款（如有）方案均优于需求内容才可以加分，否则不加分。 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第二、服务内容和标准（二）校园秩序维护与消防管理服务内容及要求第1项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第二、服务内容和标准（二）校园秩序维护与消防管理服务内容及要求第1项满足采购需求得0.8分，优于采购需求加0.4分，此项满分1.2分，不满足或未响应不得分。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第二、服务内容和标准（二）校园秩序维护与消防管理服务内容及要求第2项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第二、服务内容和标准（二）校园秩序维护与消防管理服务内容及要求第2项满足采购需求得0.8分，优于采购需求加0.4分，此项满分1.2分，不满足或未响应不得分。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第二、服务内容和标准（二）校园秩序维护与消防管理服务内容及要求第3项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第二、服务内容和标准（二）校园秩序维护与消防管理服务内容及要求第3项满足采购需求得0.8分，优于采购需求加0.4分，此项满分1.2分，不满足或未响应不得分。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第二、服务内容和标准（二）校园秩序维护与消防管理服务内容及要求第4项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第二、服务内容和标准（二）校园秩序维护与消防管理服务内容及要求第4项满足采购需求得0.8分，优于采购需求加0.4分，此项满分1.2分，不满足或未响应不得分。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第二、服务内容和标准（二）校园秩序维护与消防管理服务内容及要求第5项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第二、服务内容和标准（二）校园秩序维护与消防管理服务内容及要求第5项满足采购需求得0.8分，优于采购需求加0.4分，此项满分1.2分，不满足或未响应不得分。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第二、服务内容和标准（二）校园秩序维护与消防管理服务内容及要求第6项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第二、服务内容和标准（二）校园秩序维护与消防管理服务内容及要求第6项满足采购需求得0.8分，优于采购需求加0.4分，此项满分1.2分，不满足或未响应不得分。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第二、服务内容和标准（二）校园秩序维护与消防管理服务内容及要求第7项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第二、服务内容和标准（二）校园秩序维护与消防管理服务内容及要求第7项满足采购需求得0.8分，优于采购需求加0.4分，此项满分1.2分，不满足或未响应不得分。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第二、服务内容和标准（二）校园秩序维护与消防管理服务内容及要求第8项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第二、服务内容和标准（二）校园秩序维护与消防管理服务内容及要求第8项满足采购需求得0.8分，优于采购需求加0.4分，此项满分1.2分，不满足或未响应不得分。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第二、服务内容和标准（二）校园秩序维护与消防管理服务内容及要求第9项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第二、服务内容和标准（二）校园秩序维护与消防管理服务内容及要求第9项满足采购需求得0.8分，优于采购需求加0.4分，此项满分1.2分，不满足或未响应不得分。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第二、服务内容和标准（二）校园秩序维护与消防管理服务内容及要求第10项</w:t>
            </w:r>
          </w:p>
        </w:tc>
        <w:tc>
          <w:tcPr>
            <w:tcW w:type="dxa" w:w="2492"/>
          </w:tcPr>
          <w:p>
            <w:pPr>
              <w:pStyle w:val="null3"/>
              <w:jc w:val="both"/>
            </w:pPr>
            <w:r>
              <w:rPr>
                <w:rFonts w:ascii="仿宋_GB2312" w:hAnsi="仿宋_GB2312" w:cs="仿宋_GB2312" w:eastAsia="仿宋_GB2312"/>
              </w:rPr>
              <w:t>对比第二章采购需求 第二、服务内容和标准（二）校园秩序维护与消防管理服务内容及要求第10项满足采购需求得0.8分，优于采购需求加0.4分，此项满分1.2分，不满足或未响应不得分。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第二、服务内容和标准（三）公共设施及公用设备运行维护管理服务内容及要求第1项</w:t>
            </w:r>
          </w:p>
        </w:tc>
        <w:tc>
          <w:tcPr>
            <w:tcW w:type="dxa" w:w="2492"/>
          </w:tcPr>
          <w:p>
            <w:pPr>
              <w:pStyle w:val="null3"/>
              <w:jc w:val="both"/>
            </w:pPr>
            <w:r>
              <w:rPr>
                <w:rFonts w:ascii="仿宋_GB2312" w:hAnsi="仿宋_GB2312" w:cs="仿宋_GB2312" w:eastAsia="仿宋_GB2312"/>
              </w:rPr>
              <w:t>对比第二章采购需求 第二、服务内容和标准（三）公共设施及公用设备运行维护管理服务内容及要求第1项满足采购需求得0.9分，优于采购需求加0.35分，此项满分1.25分，不满足或未响应不得分。 备注：每优于1项加0.35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1.25</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第二、服务内容和标准（三）公共设施及公用设备运行维护管理服务内容及要求第2项</w:t>
            </w:r>
          </w:p>
        </w:tc>
        <w:tc>
          <w:tcPr>
            <w:tcW w:type="dxa" w:w="2492"/>
          </w:tcPr>
          <w:p>
            <w:pPr>
              <w:pStyle w:val="null3"/>
              <w:jc w:val="both"/>
            </w:pPr>
            <w:r>
              <w:rPr>
                <w:rFonts w:ascii="仿宋_GB2312" w:hAnsi="仿宋_GB2312" w:cs="仿宋_GB2312" w:eastAsia="仿宋_GB2312"/>
              </w:rPr>
              <w:t>对比第二章采购需求 第二、服务内容和标准（三）公共设施及公用设备运行维护管理服务内容及要求第2项满足采购需求得0.9分，优于采购需求加0.35分，此项满分1.25分，不满足或未响应不得分。 备注：每优于1项加0.35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1.25</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第二、服务内容和标准（三）公共设施及公用设备运行维护管理服务内容及要求第3项</w:t>
            </w:r>
          </w:p>
        </w:tc>
        <w:tc>
          <w:tcPr>
            <w:tcW w:type="dxa" w:w="2492"/>
          </w:tcPr>
          <w:p>
            <w:pPr>
              <w:pStyle w:val="null3"/>
              <w:jc w:val="both"/>
            </w:pPr>
            <w:r>
              <w:rPr>
                <w:rFonts w:ascii="仿宋_GB2312" w:hAnsi="仿宋_GB2312" w:cs="仿宋_GB2312" w:eastAsia="仿宋_GB2312"/>
              </w:rPr>
              <w:t>对比第二章采购需求 第二、服务内容和标准（三）公共设施及公用设备运行维护管理服务内容及要求第3项满足采购需求得0.9分，优于采购需求加0.35分，此项满分1.25分，不满足或未响应不得分。 备注：每优于1项加0.35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1.25</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第二、服务内容和标准（三）公共设施及公用设备运行维护管理服务内容及要求第4项</w:t>
            </w:r>
          </w:p>
        </w:tc>
        <w:tc>
          <w:tcPr>
            <w:tcW w:type="dxa" w:w="2492"/>
          </w:tcPr>
          <w:p>
            <w:pPr>
              <w:pStyle w:val="null3"/>
              <w:jc w:val="both"/>
            </w:pPr>
            <w:r>
              <w:rPr>
                <w:rFonts w:ascii="仿宋_GB2312" w:hAnsi="仿宋_GB2312" w:cs="仿宋_GB2312" w:eastAsia="仿宋_GB2312"/>
              </w:rPr>
              <w:t>对比第二章采购需求 第二、服务内容和标准（三）公共设施及公用设备运行维护管理服务内容及要求第4项满足采购需求得0.9分，优于采购需求加0.35分，此项满分1.25分，不满足或未响应不得分。 备注：每优于1项加0.35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1.25</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第二、服务内容和标准（三）公共设施及公用设备运行维护管理服务内容及要求第5项</w:t>
            </w:r>
          </w:p>
        </w:tc>
        <w:tc>
          <w:tcPr>
            <w:tcW w:type="dxa" w:w="2492"/>
          </w:tcPr>
          <w:p>
            <w:pPr>
              <w:pStyle w:val="null3"/>
              <w:jc w:val="both"/>
            </w:pPr>
            <w:r>
              <w:rPr>
                <w:rFonts w:ascii="仿宋_GB2312" w:hAnsi="仿宋_GB2312" w:cs="仿宋_GB2312" w:eastAsia="仿宋_GB2312"/>
              </w:rPr>
              <w:t>对比第二章采购需求 第二、服务内容和标准（三）公共设施及公用设备运行维护管理服务内容及要求第5项满足采购需求得0.9分，优于采购需求加0.35分，此项满分1.25分，不满足或未响应不得分。 备注：每优于1项加0.35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1.25</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第二、服务内容和标准（三）公共设施及公用设备运行维护管理服务内容及要求第6项</w:t>
            </w:r>
          </w:p>
        </w:tc>
        <w:tc>
          <w:tcPr>
            <w:tcW w:type="dxa" w:w="2492"/>
          </w:tcPr>
          <w:p>
            <w:pPr>
              <w:pStyle w:val="null3"/>
              <w:jc w:val="both"/>
            </w:pPr>
            <w:r>
              <w:rPr>
                <w:rFonts w:ascii="仿宋_GB2312" w:hAnsi="仿宋_GB2312" w:cs="仿宋_GB2312" w:eastAsia="仿宋_GB2312"/>
              </w:rPr>
              <w:t>对比第二章采购需求 第二、服务内容和标准（三）公共设施及公用设备运行维护管理服务内容及要求第6项满足采购需求得0.9分，优于采购需求加0.35分，此项满分1.25分，不满足或未响应不得分。 备注：每优于1项加0.35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1.25</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第二、服务内容和标准（三）公共设施及公用设备运行维护管理服务内容及要求第7项</w:t>
            </w:r>
          </w:p>
        </w:tc>
        <w:tc>
          <w:tcPr>
            <w:tcW w:type="dxa" w:w="2492"/>
          </w:tcPr>
          <w:p>
            <w:pPr>
              <w:pStyle w:val="null3"/>
              <w:jc w:val="both"/>
            </w:pPr>
            <w:r>
              <w:rPr>
                <w:rFonts w:ascii="仿宋_GB2312" w:hAnsi="仿宋_GB2312" w:cs="仿宋_GB2312" w:eastAsia="仿宋_GB2312"/>
              </w:rPr>
              <w:t>对比第二章采购需求 第二、服务内容和标准（三）公共设施及公用设备运行维护管理服务内容及要求第7项满足采购需求得0.9分，优于采购需求加0.35分，此项满分1.25分，不满足或未响应不得分。 备注：每优于1项加0.35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1.25</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第二、服务内容和标准（三）公共设施及公用设备运行维护管理服务内容及要求第8项</w:t>
            </w:r>
          </w:p>
        </w:tc>
        <w:tc>
          <w:tcPr>
            <w:tcW w:type="dxa" w:w="2492"/>
          </w:tcPr>
          <w:p>
            <w:pPr>
              <w:pStyle w:val="null3"/>
              <w:jc w:val="both"/>
            </w:pPr>
            <w:r>
              <w:rPr>
                <w:rFonts w:ascii="仿宋_GB2312" w:hAnsi="仿宋_GB2312" w:cs="仿宋_GB2312" w:eastAsia="仿宋_GB2312"/>
              </w:rPr>
              <w:t>对比第二章采购需求 第二、服务内容和标准（三）公共设施及公用设备运行维护管理服务内容及要求第8项满足采购需求得0.9分，优于采购需求加0.35分，此项满分1.25分，不满足或未响应不得分。 备注：每优于1项加0.35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1.25</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第二、服务内容和标准（四）校园环境卫生服务内容及要求第1项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第二、服务内容和标准（四）校园环境卫生服务内容及要求第1项满足采购需求得0.6分，优于采购需求加0.4分，此项满分1.0分，不满足或未响应不得分。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第二、服务内容和标准（四）校园环境卫生服务内容及要求第2项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第二、服务内容和标准（四）校园环境卫生服务内容及要求第2项满足采购需求得0.6分，优于采购需求加0.4分，此项满分1.0分，不满足或未响应不得分。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第二、服务内容和标准（四）校园环境卫生服务内容及要求第3项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第二、服务内容和标准（四）校园环境卫生服务内容及要求第3项满足采购需求得0.6分，优于采购需求加0.4分，此项满分1.0分，不满足或未响应不得分。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第二、服务内容和标准（四）校园环境卫生服务内容及要求第4项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第二、服务内容和标准（四）校园环境卫生服务内容及要求第4项满足采购需求得0.6分，优于采购需求加0.4分，此项满分1.0分，不满足或未响应不得分。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第二、服务内容和标准（四）校园环境卫生服务内容及要求第5项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第二、服务内容和标准（四）校园环境卫生服务内容及要求第5项满足采购需求得0.6分，优于采购需求加0.4分，此项满分1.0分，不满足或未响应不得分。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第二、服务内容和标准（四）校园环境卫生服务内容及要求第6项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第二、服务内容和标准（四）校园环境卫生服务内容及要求第6项满足采购需求得0.6分，优于采购需求加0.4分，此项满分1.0分，不满足或未响应不得分。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第二、服务内容和标准（四）校园环境卫生服务内容及要求第7项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第二、服务内容和标准（四）校园环境卫生服务内容及要求第7项满足采购需求得0.6分，优于采购需求加0.4分，此项满分1.0分，不满足或未响应不得分。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第二、服务内容和标准（四）校园环境卫生服务内容及要求第8项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第二、服务内容和标准（四）校园环境卫生服务内容及要求第8项满足采购需求得0.6分，优于采购需求加0.4分，此项满分1.0分，不满足或未响应不得分。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第二、服务内容和标准（四）校园环境卫生服务内容及要求第9项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第二、服务内容和标准（四）校园环境卫生服务内容及要求第9项满足采购需求得0.6分，优于采购需求加0.4分，此项满分1.0分，不满足或未响应不得分。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第二、服务内容和标准（四）校园环境卫生服务内容及要求第10项</w:t>
            </w:r>
          </w:p>
        </w:tc>
        <w:tc>
          <w:tcPr>
            <w:tcW w:type="dxa" w:w="2492"/>
          </w:tcPr>
          <w:p>
            <w:pPr>
              <w:pStyle w:val="null3"/>
              <w:jc w:val="both"/>
            </w:pPr>
            <w:r>
              <w:rPr>
                <w:rFonts w:ascii="仿宋_GB2312" w:hAnsi="仿宋_GB2312" w:cs="仿宋_GB2312" w:eastAsia="仿宋_GB2312"/>
              </w:rPr>
              <w:t>对比第二章采购需求 第二、服务内容和标准（四）校园环境卫生服务内容及要求第10项满足采购需求得0.6分，优于采购需求加0.4分，此项满分1.0分，不满足或未响应不得分。 备注：每优于1项加0.4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第二、服务内容和标准（五）绿化养护服务内容及要求第1项</w:t>
            </w:r>
          </w:p>
        </w:tc>
        <w:tc>
          <w:tcPr>
            <w:tcW w:type="dxa" w:w="2492"/>
          </w:tcPr>
          <w:p>
            <w:pPr>
              <w:pStyle w:val="null3"/>
              <w:jc w:val="both"/>
            </w:pPr>
            <w:r>
              <w:rPr>
                <w:rFonts w:ascii="仿宋_GB2312" w:hAnsi="仿宋_GB2312" w:cs="仿宋_GB2312" w:eastAsia="仿宋_GB2312"/>
              </w:rPr>
              <w:t>对比第二章采购需求 第二、服务内容和标准（五）绿化养护服务内容及要求第1项满足采购需求得0.7分，优于采购需求加0.3分，此项满分1.0分，不满足或未响应不得分。 备注：每优于1项加0.3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第二、服务内容和标准（五）绿化养护服务内容及要求第2项</w:t>
            </w:r>
          </w:p>
        </w:tc>
        <w:tc>
          <w:tcPr>
            <w:tcW w:type="dxa" w:w="2492"/>
          </w:tcPr>
          <w:p>
            <w:pPr>
              <w:pStyle w:val="null3"/>
              <w:jc w:val="both"/>
            </w:pPr>
            <w:r>
              <w:rPr>
                <w:rFonts w:ascii="仿宋_GB2312" w:hAnsi="仿宋_GB2312" w:cs="仿宋_GB2312" w:eastAsia="仿宋_GB2312"/>
              </w:rPr>
              <w:t>对比第二章采购需求 第二、服务内容和标准（五）绿化养护服务内容及要求第2项满足采购需求得0.7分，优于采购需求加0.3分，此项满分1.0分，不满足或未响应不得分。 备注：每优于1项加0.3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第二、服务内容和标准（五）绿化养护服务内容及要求第3项</w:t>
            </w:r>
          </w:p>
        </w:tc>
        <w:tc>
          <w:tcPr>
            <w:tcW w:type="dxa" w:w="2492"/>
          </w:tcPr>
          <w:p>
            <w:pPr>
              <w:pStyle w:val="null3"/>
              <w:jc w:val="both"/>
            </w:pPr>
            <w:r>
              <w:rPr>
                <w:rFonts w:ascii="仿宋_GB2312" w:hAnsi="仿宋_GB2312" w:cs="仿宋_GB2312" w:eastAsia="仿宋_GB2312"/>
              </w:rPr>
              <w:t>对比第二章采购需求 第二、服务内容和标准（五）绿化养护服务内容及要求第3项满足采购需求得0.7分，优于采购需求加0.3分，此项满分1.0分，不满足或未响应不得分。 备注：每优于1项加0.3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第二、服务内容和标准（五）绿化养护服务内容及要求第4项</w:t>
            </w:r>
          </w:p>
        </w:tc>
        <w:tc>
          <w:tcPr>
            <w:tcW w:type="dxa" w:w="2492"/>
          </w:tcPr>
          <w:p>
            <w:pPr>
              <w:pStyle w:val="null3"/>
              <w:jc w:val="both"/>
            </w:pPr>
            <w:r>
              <w:rPr>
                <w:rFonts w:ascii="仿宋_GB2312" w:hAnsi="仿宋_GB2312" w:cs="仿宋_GB2312" w:eastAsia="仿宋_GB2312"/>
              </w:rPr>
              <w:t>对比第二章采购需求 第二、服务内容和标准（五）绿化养护服务内容及要求第4项满足采购需求得0.7分，优于采购需求加0.3分，此项满分1.0分，不满足或未响应不得分。 备注：每优于1项加0.3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第二、服务内容和标准（五）绿化养护服务内容及要求第5项</w:t>
            </w:r>
          </w:p>
        </w:tc>
        <w:tc>
          <w:tcPr>
            <w:tcW w:type="dxa" w:w="2492"/>
          </w:tcPr>
          <w:p>
            <w:pPr>
              <w:pStyle w:val="null3"/>
              <w:jc w:val="both"/>
            </w:pPr>
            <w:r>
              <w:rPr>
                <w:rFonts w:ascii="仿宋_GB2312" w:hAnsi="仿宋_GB2312" w:cs="仿宋_GB2312" w:eastAsia="仿宋_GB2312"/>
              </w:rPr>
              <w:t>对比第二章采购需求 第二、服务内容和标准（五）绿化养护服务内容及要求第5项满足采购需求得0.7分，优于采购需求加0.3分，此项满分1.0分，不满足或未响应不得分。 备注：每优于1项加0.3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第二、服务内容和标准（五）绿化养护服务内容及要求第6项</w:t>
            </w:r>
          </w:p>
        </w:tc>
        <w:tc>
          <w:tcPr>
            <w:tcW w:type="dxa" w:w="2492"/>
          </w:tcPr>
          <w:p>
            <w:pPr>
              <w:pStyle w:val="null3"/>
              <w:jc w:val="both"/>
            </w:pPr>
            <w:r>
              <w:rPr>
                <w:rFonts w:ascii="仿宋_GB2312" w:hAnsi="仿宋_GB2312" w:cs="仿宋_GB2312" w:eastAsia="仿宋_GB2312"/>
              </w:rPr>
              <w:t>对比第二章采购需求 第二、服务内容和标准（五）绿化养护服务内容及要求第6项满足采购需求得0.7分，优于采购需求加0.3分，此项满分1.0分，不满足或未响应不得分。 备注：每优于1项加0.3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第二、服务内容和标准（六）学生公寓管理服务内容及要求第1项</w:t>
            </w:r>
          </w:p>
        </w:tc>
        <w:tc>
          <w:tcPr>
            <w:tcW w:type="dxa" w:w="2492"/>
          </w:tcPr>
          <w:p>
            <w:pPr>
              <w:pStyle w:val="null3"/>
              <w:jc w:val="both"/>
            </w:pPr>
            <w:r>
              <w:rPr>
                <w:rFonts w:ascii="仿宋_GB2312" w:hAnsi="仿宋_GB2312" w:cs="仿宋_GB2312" w:eastAsia="仿宋_GB2312"/>
              </w:rPr>
              <w:t>对比第二章采购需求 第二、服务内容和标准（六）学生公寓管理服务内容及要求第1项满足采购需求得1.4分，优于采购需求加0.6分，此项满分2分，不满足或未响应不得分。 备注：每优于1项加0.6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第二、服务内容和标准（六）学生公寓管理服务内容及要求第2项</w:t>
            </w:r>
          </w:p>
        </w:tc>
        <w:tc>
          <w:tcPr>
            <w:tcW w:type="dxa" w:w="2492"/>
          </w:tcPr>
          <w:p>
            <w:pPr>
              <w:pStyle w:val="null3"/>
              <w:jc w:val="both"/>
            </w:pPr>
            <w:r>
              <w:rPr>
                <w:rFonts w:ascii="仿宋_GB2312" w:hAnsi="仿宋_GB2312" w:cs="仿宋_GB2312" w:eastAsia="仿宋_GB2312"/>
              </w:rPr>
              <w:t>对比第二章采购需求 第二、服务内容和标准（六）学生公寓管理服务内容及要求第2项满足采购需求得1.4分，优于采购需求加0.6分，此项满分2分，不满足或未响应不得分。 备注：每优于1项加0.6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第二、服务内容和标准（六）学生公寓管理服务内容及要求第3项</w:t>
            </w:r>
          </w:p>
        </w:tc>
        <w:tc>
          <w:tcPr>
            <w:tcW w:type="dxa" w:w="2492"/>
          </w:tcPr>
          <w:p>
            <w:pPr>
              <w:pStyle w:val="null3"/>
              <w:jc w:val="both"/>
            </w:pPr>
            <w:r>
              <w:rPr>
                <w:rFonts w:ascii="仿宋_GB2312" w:hAnsi="仿宋_GB2312" w:cs="仿宋_GB2312" w:eastAsia="仿宋_GB2312"/>
              </w:rPr>
              <w:t>对比第二章采购需求 第二、服务内容和标准（六）学生公寓管理服务内容及要求第3项满足采购需求得1.4分，优于采购需求加0.6分，此项满分2分，不满足或未响应不得分。 备注：每优于1项加0.6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第二、服务内容和标准（六）学生公寓管理服务内容及要求第4项</w:t>
            </w:r>
          </w:p>
        </w:tc>
        <w:tc>
          <w:tcPr>
            <w:tcW w:type="dxa" w:w="2492"/>
          </w:tcPr>
          <w:p>
            <w:pPr>
              <w:pStyle w:val="null3"/>
              <w:jc w:val="both"/>
            </w:pPr>
            <w:r>
              <w:rPr>
                <w:rFonts w:ascii="仿宋_GB2312" w:hAnsi="仿宋_GB2312" w:cs="仿宋_GB2312" w:eastAsia="仿宋_GB2312"/>
              </w:rPr>
              <w:t>对比第二章采购需求 第二、服务内容和标准（六）学生公寓管理服务内容及要求第4项满足采购需求得1.4分，优于采购需求加0.6分，此项满分2分，不满足或未响应不得分。 备注：每优于1项加0.6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第二、服务内容和标准（六）学生公寓管理服务内容及要求第5项</w:t>
            </w:r>
          </w:p>
        </w:tc>
        <w:tc>
          <w:tcPr>
            <w:tcW w:type="dxa" w:w="2492"/>
          </w:tcPr>
          <w:p>
            <w:pPr>
              <w:pStyle w:val="null3"/>
              <w:jc w:val="both"/>
            </w:pPr>
            <w:r>
              <w:rPr>
                <w:rFonts w:ascii="仿宋_GB2312" w:hAnsi="仿宋_GB2312" w:cs="仿宋_GB2312" w:eastAsia="仿宋_GB2312"/>
              </w:rPr>
              <w:t>对比第二章采购需求 第二、服务内容和标准（六）学生公寓管理服务内容及要求第5项满足采购需求得1.4分，优于采购需求加0.6分，此项满分2分，不满足或未响应不得分。 备注：每优于1项加0.6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第二、服务内容和标准（六）学生公寓管理服务内容及要求第6项</w:t>
            </w:r>
          </w:p>
        </w:tc>
        <w:tc>
          <w:tcPr>
            <w:tcW w:type="dxa" w:w="2492"/>
          </w:tcPr>
          <w:p>
            <w:pPr>
              <w:pStyle w:val="null3"/>
              <w:jc w:val="both"/>
            </w:pPr>
            <w:r>
              <w:rPr>
                <w:rFonts w:ascii="仿宋_GB2312" w:hAnsi="仿宋_GB2312" w:cs="仿宋_GB2312" w:eastAsia="仿宋_GB2312"/>
              </w:rPr>
              <w:t>对比第二章采购需求 第二、服务内容和标准（六）学生公寓管理服务内容及要求第6项满足采购需求得1.4分，优于采购需求加0.6分，此项满分2分，不满足或未响应不得分。 备注：每优于1项加0.6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第二、服务内容和标准（六）学生公寓管理服务内容及要求第7项</w:t>
            </w:r>
          </w:p>
        </w:tc>
        <w:tc>
          <w:tcPr>
            <w:tcW w:type="dxa" w:w="2492"/>
          </w:tcPr>
          <w:p>
            <w:pPr>
              <w:pStyle w:val="null3"/>
              <w:jc w:val="both"/>
            </w:pPr>
            <w:r>
              <w:rPr>
                <w:rFonts w:ascii="仿宋_GB2312" w:hAnsi="仿宋_GB2312" w:cs="仿宋_GB2312" w:eastAsia="仿宋_GB2312"/>
              </w:rPr>
              <w:t>对比第二章采购需求 第二、服务内容和标准（六）学生公寓管理服务内容及要求第7项满足采购需求得1.4分，优于采购需求加0.6分，此项满分2分，不满足或未响应不得分。 备注：每优于1项加0.6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第二、服务内容和标准（七）紧急突发事件应急处理预案第1项</w:t>
            </w:r>
          </w:p>
        </w:tc>
        <w:tc>
          <w:tcPr>
            <w:tcW w:type="dxa" w:w="2492"/>
          </w:tcPr>
          <w:p>
            <w:pPr>
              <w:pStyle w:val="null3"/>
              <w:jc w:val="both"/>
            </w:pPr>
            <w:r>
              <w:rPr>
                <w:rFonts w:ascii="仿宋_GB2312" w:hAnsi="仿宋_GB2312" w:cs="仿宋_GB2312" w:eastAsia="仿宋_GB2312"/>
              </w:rPr>
              <w:t>对比第二章采购需求 第二、服务内容和标准（七）紧急突发事件应急处理预案第1项，满足得1分，优于加0.5分，此项满分1.5分，不满足或未响应不得分。 备注：每优于1项加0.5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第二、服务内容和标准（七）紧急突发事件应急处理预案第2项</w:t>
            </w:r>
          </w:p>
        </w:tc>
        <w:tc>
          <w:tcPr>
            <w:tcW w:type="dxa" w:w="2492"/>
          </w:tcPr>
          <w:p>
            <w:pPr>
              <w:pStyle w:val="null3"/>
              <w:jc w:val="both"/>
            </w:pPr>
            <w:r>
              <w:rPr>
                <w:rFonts w:ascii="仿宋_GB2312" w:hAnsi="仿宋_GB2312" w:cs="仿宋_GB2312" w:eastAsia="仿宋_GB2312"/>
              </w:rPr>
              <w:t>对比第二章采购需求 第二、服务内容和标准（七）紧急突发事件应急处理预案第2项，满足得1分，优于加0.5分，此项满分1.5分，不满足或未响应不得分。 备注：每优于1项加0.5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第二、服务内容和标准（七）紧急突发事件应急处理预案第3项</w:t>
            </w:r>
          </w:p>
        </w:tc>
        <w:tc>
          <w:tcPr>
            <w:tcW w:type="dxa" w:w="2492"/>
          </w:tcPr>
          <w:p>
            <w:pPr>
              <w:pStyle w:val="null3"/>
              <w:jc w:val="both"/>
            </w:pPr>
            <w:r>
              <w:rPr>
                <w:rFonts w:ascii="仿宋_GB2312" w:hAnsi="仿宋_GB2312" w:cs="仿宋_GB2312" w:eastAsia="仿宋_GB2312"/>
              </w:rPr>
              <w:t>对比第二章采购需求 第二、服务内容和标准（七）紧急突发事件应急处理预案第3项，满足得1分，优于加0.5分，此项满分1.5分，不满足或未响应不得分。 备注：每优于1项加0.5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 xml:space="preserve"> 第二、服务内容和标准（七）紧急突发事件应急处理预案第4项</w:t>
            </w:r>
          </w:p>
        </w:tc>
        <w:tc>
          <w:tcPr>
            <w:tcW w:type="dxa" w:w="2492"/>
          </w:tcPr>
          <w:p>
            <w:pPr>
              <w:pStyle w:val="null3"/>
              <w:jc w:val="both"/>
            </w:pPr>
            <w:r>
              <w:rPr>
                <w:rFonts w:ascii="仿宋_GB2312" w:hAnsi="仿宋_GB2312" w:cs="仿宋_GB2312" w:eastAsia="仿宋_GB2312"/>
              </w:rPr>
              <w:t>对比第二章采购需求 第二、服务内容和标准（七）紧急突发事件应急处理预案第4项，满足得1分，优于加0.5分，此项满分1.5分，不满足或未响应不得分。 备注：每优于1项加0.5分是指每项条款及其所有分项条款（如有）方案均优于需求内容才可以加分，否则不加分。不满足或不响应是指：存在与采购需求内容不符，不适用项目的情形，内容缺少，套用其他项目方案，内容前后矛盾，涉及的规范及标准错误，不利于项目实施，不可能实现的情形等</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2022年1月起，投标人正在管理或曾经管理的类似项目业绩（服务内容包含秩序维护、环境卫生、学生公寓管理、绿化养护、水电维修中的至少3项），每提供一个同类项目业绩合同得3分，最高得9分，同一业主单位的项目不重复计分。 证明材料：提供清晰可见的同类项目业绩合同复印件，否则不予认可，不得分。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拟投入服务人员资质：1、管理处经理助理</w:t>
            </w:r>
          </w:p>
        </w:tc>
        <w:tc>
          <w:tcPr>
            <w:tcW w:type="dxa" w:w="2492"/>
          </w:tcPr>
          <w:p>
            <w:pPr>
              <w:pStyle w:val="null3"/>
              <w:jc w:val="both"/>
            </w:pPr>
            <w:r>
              <w:rPr>
                <w:rFonts w:ascii="仿宋_GB2312" w:hAnsi="仿宋_GB2312" w:cs="仿宋_GB2312" w:eastAsia="仿宋_GB2312"/>
              </w:rPr>
              <w:t>1、拟派往本项目的管理处经理助理具有大学本科及以上学历的,得3分,本项满分3分。 证明材料：提供合法有效的人员证书复印件加盖公章，不提供不得分。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拟投入服务人员资质：2、管理处事务助理</w:t>
            </w:r>
          </w:p>
        </w:tc>
        <w:tc>
          <w:tcPr>
            <w:tcW w:type="dxa" w:w="2492"/>
          </w:tcPr>
          <w:p>
            <w:pPr>
              <w:pStyle w:val="null3"/>
              <w:jc w:val="both"/>
            </w:pPr>
            <w:r>
              <w:rPr>
                <w:rFonts w:ascii="仿宋_GB2312" w:hAnsi="仿宋_GB2312" w:cs="仿宋_GB2312" w:eastAsia="仿宋_GB2312"/>
              </w:rPr>
              <w:t>2、拟派往本项目的管理处事务助理具有大专及以上学历的,得3分,本项满分3分。 证明材料：提供合法有效的人员证书复印件加盖公章，不提供不得分。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[HKGP]20250500008[GK]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海口市琼山中学高中部校园物业服务项目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海口市琼山中学高中部校园物业服务项目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详见附件：供应商应主动公示的材料</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