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台风“摩羯”灾后交通设施重建项目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[hncx]20250500002[GK]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海口市公安局交通警察支队</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河南诚信工程管理有限公司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海口市公安局交通警察支队</w:t>
      </w:r>
      <w:r>
        <w:rPr>
          <w:rFonts w:ascii="仿宋_GB2312" w:hAnsi="仿宋_GB2312" w:cs="仿宋_GB2312" w:eastAsia="仿宋_GB2312"/>
        </w:rPr>
        <w:t xml:space="preserve"> 委托， </w:t>
      </w:r>
      <w:r>
        <w:rPr>
          <w:rFonts w:ascii="仿宋_GB2312" w:hAnsi="仿宋_GB2312" w:cs="仿宋_GB2312" w:eastAsia="仿宋_GB2312"/>
        </w:rPr>
        <w:t>河南诚信工程管理有限公司</w:t>
      </w:r>
      <w:r>
        <w:rPr>
          <w:rFonts w:ascii="仿宋_GB2312" w:hAnsi="仿宋_GB2312" w:cs="仿宋_GB2312" w:eastAsia="仿宋_GB2312"/>
        </w:rPr>
        <w:t xml:space="preserve"> 对 </w:t>
      </w:r>
      <w:r>
        <w:rPr>
          <w:rFonts w:ascii="仿宋_GB2312" w:hAnsi="仿宋_GB2312" w:cs="仿宋_GB2312" w:eastAsia="仿宋_GB2312"/>
        </w:rPr>
        <w:t>台风“摩羯”灾后交通设施重建项目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[hncx]20250500002[GK]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台风“摩羯”灾后交通设施重建项目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4,400,000.00元</w:t>
      </w:r>
      <w:r>
        <w:rPr>
          <w:rFonts w:ascii="仿宋_GB2312" w:hAnsi="仿宋_GB2312" w:cs="仿宋_GB2312" w:eastAsia="仿宋_GB2312"/>
        </w:rPr>
        <w:t>肆佰肆拾万元整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合同签订生效之日起90天内交货且安装调试完毕并交付使用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 xml:space="preserve"> 1、本项目采购信息指定发布媒体为中国政府采购网（网址www.ccgp.gov.cn）、海南省政府采购网(https://ccgp?hainan.gov.cn/maincms-web/)。关于本项目采购文件的补遗、澄清及变更信息以上述网站公告为准，代理机构不再另行通知，采购文件与更正公告的内容相互矛盾时，以最后发出的更正公告内容为准； 2、响应供应商须在海南政府采购网(https://ccgp-hainan.gov.cn/maincms-web/)中的海南省政府采购智慧云平台进行注册并完善信息，然后下载参与投标项目电子招标文件（数据包）及其他文件；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本项目落实的政府采购政策：支持《政府采购促进中小企业发展暂行办法》、《关于调整优化节能产品、环境标志产品政府采购执行机制的通知》、《关于信息安全产品实施政府采购的通知》、《关于促进残疾人就业政府采购政策的通知》、《财政部司法部关于政府采购支持监狱企业发展有关问题的通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海口市公安局交通警察支队</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海南省海口市金龙路9号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贺警官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0898-66555608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河南诚信工程管理有限公司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郑州市金水区文化路9号10层1006号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0898-65323961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采购包1：4,400,000.00元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预算金额为计费基数，参考原国家计委颁发的《招标代理服务收费管理暂行办法》（计价格[2002]1980号）和国家发改委办公厅颁发的《国家发改委关于招标代理服务收费有关问题的通知》（发改办价格[2003]857号）的规定标准以8折收取本项目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16.1、委托代表人的代理权限：委托代表人只能代表委托人处置投标活动中的一般事务。提出质疑、投诉等特殊事项，必须经法定代表人特别授权。 16.2、本项目所属行业：根据《统计上大中小微型企业划分办法（2017）》，本项目所属行业为工业。 16.3、本项目支持节能产品、环境标志产品、促进中小企业发展支持监狱企业发展、促进残疾人就业等，支持《政府采购促进中小企业发展管理办法》、《财政部印发通知 进一步加大政府采购支持中小企业力度》《财政部发展改革委生态环境部 市场监管总局关于调整优化节能产品、环境标志产品政府采购执行机制的通知》、《关于信息安全产品实施政府采购的通知》、《关于促进残疾人就业政府采购政策的通知》、《财政部 司法部关于政府采购支持监狱企业发展有关问题的通知》、《关于政府采购支持绿色建材促进建筑品质提升试点工作的通知》、《财政部 国务院扶贫办关于运用政府采购政策支持脱贫攻坚的通知》、《海南省财政厅关于印发《海南省绿色产品政府采购实施意见（试行）》的通知》、《海南省财政厅 海南省工业和信息化厅关于落实超常规举措加大对中小企业政府采购支持的通知》等。 16.4、充分、公平竞争保障措施： 16.4.1、提供相同品牌产品处理： 16.4.1.1 采用最低评标价法的采购项目。 提供相牌产品的不同投标人参加同一合同项下投标的，以其中通过资格审查、符合性审查且报价最低的参加评标;报价相同的，由评员会采取随机抽取方式确定一个投标人获得中标人推荐资格他同品牌投标人不作为中标候选人。 16.4.1.2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16.5、其他要求： 16.5.1、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16.5.2、本项目中要求提供的有关证书、文件等证明材料均以复印件加盖公章为准，如涉及的证书、证件正在办理延期、换证、变更和年审等无法提供的，应提供相关部门办理事项的证明材料。 16.5.3、采购需求（参考配置及技术要求为定制产品除外） 本项目所有产品均不接受定制产品投标，否则将作为无效投标处理。 16.5.4、如投标人在非开标现场上传的电子标书的IP地址相同，则IP地址相同的投标按无效标处理。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联系电话：0898-65323961</w:t>
      </w:r>
    </w:p>
    <w:p>
      <w:pPr>
        <w:pStyle w:val="null3"/>
        <w:jc w:val="left"/>
      </w:pPr>
      <w:r>
        <w:rPr>
          <w:rFonts w:ascii="仿宋_GB2312" w:hAnsi="仿宋_GB2312" w:cs="仿宋_GB2312" w:eastAsia="仿宋_GB2312"/>
        </w:rPr>
        <w:t>地址：郑州市金水区文化路9号10层1006号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1、项目名称：</w:t>
      </w:r>
      <w:r>
        <w:rPr>
          <w:rFonts w:ascii="仿宋_GB2312" w:hAnsi="仿宋_GB2312" w:cs="仿宋_GB2312" w:eastAsia="仿宋_GB2312"/>
          <w:sz w:val="20"/>
        </w:rPr>
        <w:t>台风</w:t>
      </w:r>
      <w:r>
        <w:rPr>
          <w:rFonts w:ascii="仿宋_GB2312" w:hAnsi="仿宋_GB2312" w:cs="仿宋_GB2312" w:eastAsia="仿宋_GB2312"/>
          <w:sz w:val="20"/>
        </w:rPr>
        <w:t>“摩羯”灾后交通设施重建项目</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2、项目编号：</w:t>
      </w:r>
      <w:r>
        <w:rPr>
          <w:rFonts w:ascii="仿宋_GB2312" w:hAnsi="仿宋_GB2312" w:cs="仿宋_GB2312" w:eastAsia="仿宋_GB2312"/>
        </w:rPr>
        <w:t>[hncx]20250500002[GK]</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3、采购方式：公开招标；</w:t>
      </w:r>
    </w:p>
    <w:p>
      <w:pPr>
        <w:pStyle w:val="null3"/>
        <w:jc w:val="left"/>
      </w:pPr>
      <w:r>
        <w:rPr>
          <w:rFonts w:ascii="仿宋_GB2312" w:hAnsi="仿宋_GB2312" w:cs="仿宋_GB2312" w:eastAsia="仿宋_GB2312"/>
          <w:sz w:val="20"/>
        </w:rPr>
        <w:t>4、最高限价：</w:t>
      </w:r>
      <w:r>
        <w:rPr>
          <w:rFonts w:ascii="仿宋_GB2312" w:hAnsi="仿宋_GB2312" w:cs="仿宋_GB2312" w:eastAsia="仿宋_GB2312"/>
        </w:rPr>
        <w:t>4400000.00</w:t>
      </w:r>
      <w:r>
        <w:rPr>
          <w:rFonts w:ascii="仿宋_GB2312" w:hAnsi="仿宋_GB2312" w:cs="仿宋_GB2312" w:eastAsia="仿宋_GB2312"/>
          <w:sz w:val="20"/>
        </w:rPr>
        <w:t>元，投标报价超过最高限价视为无效报价</w:t>
      </w:r>
    </w:p>
    <w:p>
      <w:pPr>
        <w:pStyle w:val="null3"/>
        <w:jc w:val="left"/>
      </w:pPr>
      <w:r>
        <w:rPr>
          <w:rFonts w:ascii="仿宋_GB2312" w:hAnsi="仿宋_GB2312" w:cs="仿宋_GB2312" w:eastAsia="仿宋_GB2312"/>
          <w:sz w:val="20"/>
        </w:rPr>
        <w:t>5、合同履行期限（服务期）：</w:t>
      </w:r>
      <w:r>
        <w:rPr>
          <w:rFonts w:ascii="仿宋_GB2312" w:hAnsi="仿宋_GB2312" w:cs="仿宋_GB2312" w:eastAsia="仿宋_GB2312"/>
          <w:sz w:val="20"/>
        </w:rPr>
        <w:t>合同签订生效之日起</w:t>
      </w:r>
      <w:r>
        <w:rPr>
          <w:rFonts w:ascii="仿宋_GB2312" w:hAnsi="仿宋_GB2312" w:cs="仿宋_GB2312" w:eastAsia="仿宋_GB2312"/>
          <w:sz w:val="20"/>
        </w:rPr>
        <w:t>90天内交货且安装调试完毕并交付使用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6、交货地点：中标人应在规定时间内，按采购单位提供指定装配地址，将仪器设备配送至目的地完成装配调试并交付使用；</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、质量标准：符合国家、省级及行业合格标准。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4,400,000.00</w:t>
      </w:r>
    </w:p>
    <w:p>
      <w:pPr>
        <w:pStyle w:val="null3"/>
        <w:jc w:val="left"/>
      </w:pPr>
      <w:r>
        <w:rPr>
          <w:rFonts w:ascii="仿宋_GB2312" w:hAnsi="仿宋_GB2312" w:cs="仿宋_GB2312" w:eastAsia="仿宋_GB2312"/>
        </w:rPr>
        <w:t>采购包最高限价（元）: 4,400,000.00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A02061916-发光标志、铭牌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A02061916-发光标志、铭牌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标的名称：A02061916-发光标志、铭牌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9"/>
              <w:gridCol w:w="241"/>
              <w:gridCol w:w="2117"/>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2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一、项目概述</w:t>
                  </w:r>
                </w:p>
                <w:p>
                  <w:pPr>
                    <w:pStyle w:val="null3"/>
                    <w:ind w:firstLine="480"/>
                    <w:jc w:val="both"/>
                  </w:pPr>
                  <w:r>
                    <w:rPr>
                      <w:rFonts w:ascii="仿宋_GB2312" w:hAnsi="仿宋_GB2312" w:cs="仿宋_GB2312" w:eastAsia="仿宋_GB2312"/>
                      <w:sz w:val="24"/>
                    </w:rPr>
                    <w:t>2024年9月6日超强台风“摩羯”在海南省文昌市翁田镇沿海地区登陆，登陆时中心附近最大风力达到17级以上。台风横贯海口，给海口市造成严重灾害和重大损失，大量树木倒伏，各类交通设施均有不同程度的损坏。</w:t>
                  </w:r>
                </w:p>
                <w:p>
                  <w:pPr>
                    <w:pStyle w:val="null3"/>
                    <w:ind w:firstLine="480"/>
                    <w:jc w:val="both"/>
                  </w:pPr>
                  <w:r>
                    <w:rPr>
                      <w:rFonts w:ascii="仿宋_GB2312" w:hAnsi="仿宋_GB2312" w:cs="仿宋_GB2312" w:eastAsia="仿宋_GB2312"/>
                      <w:sz w:val="24"/>
                    </w:rPr>
                    <w:t>为保证海口市城市交通尽快恢复至台风前运行水平，确保道路交通参与者的安全，城市交通有序和畅通，</w:t>
                  </w:r>
                  <w:r>
                    <w:rPr>
                      <w:rFonts w:ascii="仿宋_GB2312" w:hAnsi="仿宋_GB2312" w:cs="仿宋_GB2312" w:eastAsia="仿宋_GB2312"/>
                      <w:sz w:val="24"/>
                    </w:rPr>
                    <w:t>经报市政府同意</w:t>
                  </w:r>
                  <w:r>
                    <w:rPr>
                      <w:rFonts w:ascii="仿宋_GB2312" w:hAnsi="仿宋_GB2312" w:cs="仿宋_GB2312" w:eastAsia="仿宋_GB2312"/>
                      <w:sz w:val="24"/>
                    </w:rPr>
                    <w:t>，对海口市在台风</w:t>
                  </w:r>
                  <w:r>
                    <w:rPr>
                      <w:rFonts w:ascii="仿宋_GB2312" w:hAnsi="仿宋_GB2312" w:cs="仿宋_GB2312" w:eastAsia="仿宋_GB2312"/>
                      <w:sz w:val="24"/>
                    </w:rPr>
                    <w:t>“摩羯”期间被破坏和受损的交通标志进行排查及恢复重建。</w:t>
                  </w:r>
                </w:p>
                <w:p>
                  <w:pPr>
                    <w:pStyle w:val="null3"/>
                    <w:ind w:firstLine="482"/>
                    <w:jc w:val="both"/>
                  </w:pPr>
                  <w:r>
                    <w:rPr>
                      <w:rFonts w:ascii="仿宋_GB2312" w:hAnsi="仿宋_GB2312" w:cs="仿宋_GB2312" w:eastAsia="仿宋_GB2312"/>
                      <w:sz w:val="24"/>
                      <w:b/>
                    </w:rPr>
                    <w:t>二、项目建设内容</w:t>
                  </w:r>
                </w:p>
                <w:p>
                  <w:pPr>
                    <w:pStyle w:val="null3"/>
                    <w:ind w:firstLine="480"/>
                    <w:jc w:val="both"/>
                  </w:pPr>
                  <w:r>
                    <w:rPr>
                      <w:rFonts w:ascii="仿宋_GB2312" w:hAnsi="仿宋_GB2312" w:cs="仿宋_GB2312" w:eastAsia="仿宋_GB2312"/>
                      <w:sz w:val="24"/>
                    </w:rPr>
                    <w:t>本项目主要建设内容</w:t>
                  </w:r>
                  <w:r>
                    <w:rPr>
                      <w:rFonts w:ascii="仿宋_GB2312" w:hAnsi="仿宋_GB2312" w:cs="仿宋_GB2312" w:eastAsia="仿宋_GB2312"/>
                      <w:sz w:val="24"/>
                    </w:rPr>
                    <w:t>：</w:t>
                  </w:r>
                  <w:r>
                    <w:rPr>
                      <w:rFonts w:ascii="仿宋_GB2312" w:hAnsi="仿宋_GB2312" w:cs="仿宋_GB2312" w:eastAsia="仿宋_GB2312"/>
                      <w:sz w:val="24"/>
                    </w:rPr>
                    <w:t>F型标志牌、小型标志牌中的警告标志牌（注意行人、交叉路口、线性诱导标）、禁令标志（减速让行、停车让行、禁止掉头、禁止停车、限制速度、禁止左转/右转/直行、禁止鸣喇叭、限制重量）、指示标志（向右/向左转弯、非机动车行驶、人行横道、允许掉头），以及停车限停牌、学校区域限制速度提示牌等。</w:t>
                  </w:r>
                </w:p>
                <w:p>
                  <w:pPr>
                    <w:pStyle w:val="null3"/>
                    <w:ind w:firstLine="482"/>
                    <w:jc w:val="both"/>
                  </w:pPr>
                  <w:r>
                    <w:rPr>
                      <w:rFonts w:ascii="仿宋_GB2312" w:hAnsi="仿宋_GB2312" w:cs="仿宋_GB2312" w:eastAsia="仿宋_GB2312"/>
                      <w:sz w:val="24"/>
                      <w:b/>
                    </w:rPr>
                    <w:t>三、项目工程量</w:t>
                  </w:r>
                </w:p>
                <w:tbl>
                  <w:tblPr>
                    <w:tblBorders>
                      <w:top w:val="none" w:color="000000" w:sz="4"/>
                      <w:left w:val="none" w:color="000000" w:sz="4"/>
                      <w:bottom w:val="none" w:color="000000" w:sz="4"/>
                      <w:right w:val="none" w:color="000000" w:sz="4"/>
                      <w:insideH w:val="none"/>
                      <w:insideV w:val="none"/>
                    </w:tblBorders>
                  </w:tblPr>
                  <w:tblGrid>
                    <w:gridCol w:w="909"/>
                    <w:gridCol w:w="392"/>
                    <w:gridCol w:w="332"/>
                    <w:gridCol w:w="266"/>
                  </w:tblGrid>
                  <w:tr>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杆件形式</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标志牌规格</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□1000*1200mm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□1000*1500mm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□1000*2000mm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□1000*2000mm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□1200*1800mm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□1200*3000mm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□2000*600mm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□2500mm*2000mm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两杆一牌，单面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□400*600mm*2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一杆两牌，双面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□4000*2500mm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□4000*2500mm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□4000*6000mm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□600*1200mm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□600*1200mm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□800*1000mm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□800*1000mm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□800*1200mm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□800*1200mm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□800*1300mm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□800*1500mm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□800*1500mm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□800*1500mm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□800*1500mm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□800*2000mm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□800*2000mm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□800*2000mm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□800*800mm+□1200*600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□800*800mm+□400*800mm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□800*800mm+□400*800mm+□1000*300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一杆三牌，单面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□800*800mm+□400*800mm+○800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一杆三牌，单面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两牌，双面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一杆两牌，双面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□800mm+□400*800mm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△700mm+△700mm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△900mm+□1000*1500mm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△900mm+△900mm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△900mm+△900mm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△900mm+▽900mm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△900mm+○800mm+□400*800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一杆三牌，单面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▽900mm+□800*800mm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▽900mm+△900mm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176</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一杆三牌，单面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○800mm+□400*800mm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○800mm+▽900mm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○800mm+○800mm+□1000*1500mm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一杆三牌，单面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○800mm+○800mm+□400*800mm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一杆三牌，单面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○800mm+○800mm+○800mm+□400*800mm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一杆四牌，单面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○800mm+八角形800mm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2*□400*600mm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一杆两牌，双面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2*□800*800mm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两牌，双面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2*□800*800mm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一杆两牌，双面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一杆两牌，双面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2×□400*600mm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一杆两牌，双面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一杆两牌，双面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八角形</w:t>
                        </w:r>
                        <w:r>
                          <w:rPr>
                            <w:rFonts w:ascii="仿宋_GB2312" w:hAnsi="仿宋_GB2312" w:cs="仿宋_GB2312" w:eastAsia="仿宋_GB2312"/>
                            <w:sz w:val="24"/>
                          </w:rPr>
                          <w:t>800mm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一杆一牌，单面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0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r>
                          <w:rPr>
                            <w:rFonts w:ascii="仿宋_GB2312" w:hAnsi="仿宋_GB2312" w:cs="仿宋_GB2312" w:eastAsia="仿宋_GB2312"/>
                            <w:sz w:val="24"/>
                          </w:rPr>
                          <w:t>/杆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1347</w:t>
                        </w:r>
                      </w:p>
                    </w:tc>
                  </w:tr>
                </w:tbl>
                <w:p>
                  <w:pPr>
                    <w:pStyle w:val="null3"/>
                    <w:ind w:firstLine="482"/>
                    <w:jc w:val="both"/>
                  </w:pPr>
                  <w:r>
                    <w:rPr>
                      <w:rFonts w:ascii="仿宋_GB2312" w:hAnsi="仿宋_GB2312" w:cs="仿宋_GB2312" w:eastAsia="仿宋_GB2312"/>
                      <w:sz w:val="24"/>
                      <w:b/>
                    </w:rPr>
                    <w:t>四、技术要求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1）一般规定</w:t>
                  </w:r>
                </w:p>
                <w:p>
                  <w:pPr>
                    <w:pStyle w:val="null3"/>
                    <w:ind w:firstLine="480"/>
                    <w:jc w:val="both"/>
                  </w:pPr>
                  <w:r>
                    <w:rPr>
                      <w:rFonts w:ascii="仿宋_GB2312" w:hAnsi="仿宋_GB2312" w:cs="仿宋_GB2312" w:eastAsia="仿宋_GB2312"/>
                      <w:sz w:val="24"/>
                    </w:rPr>
                    <w:t>1．交通标志的颜色、形状、字符、图形、尺寸、构造、材料、逆反射、发光和照明以及制作工艺等，应符合 GB5768-2022 相关条款的要求。</w:t>
                  </w:r>
                </w:p>
                <w:p>
                  <w:pPr>
                    <w:pStyle w:val="null3"/>
                    <w:ind w:firstLine="482"/>
                    <w:jc w:val="both"/>
                  </w:pPr>
                  <w:r>
                    <w:br/>
                  </w:r>
                  <w:r>
                    <w:rPr>
                      <w:rFonts w:ascii="仿宋_GB2312" w:hAnsi="仿宋_GB2312" w:cs="仿宋_GB2312" w:eastAsia="仿宋_GB2312"/>
                      <w:sz w:val="24"/>
                    </w:rPr>
                    <w:t>2.交通标志牌面颜色由底色、图形或字符色、边框色和衬边色组成，如图4.1。除特别规定的标志种类外，标志边框颜色应与标志的图形或字符颜色一致，标志衬边颜色应与标志底色一致，各类标志的边框和衬边颜色对照见表4.1。</w:t>
                  </w:r>
                </w:p>
                <w:p>
                  <w:pPr>
                    <w:pStyle w:val="null3"/>
                    <w:ind w:firstLine="480"/>
                    <w:jc w:val="both"/>
                  </w:pPr>
                  <w:r>
                    <w:rPr>
                      <w:rFonts w:ascii="仿宋_GB2312" w:hAnsi="仿宋_GB2312" w:cs="仿宋_GB2312" w:eastAsia="仿宋_GB2312"/>
                      <w:sz w:val="19"/>
                    </w:rPr>
                    <w:t xml:space="preserve">                  </w:t>
                  </w:r>
                  <w:r>
                    <w:drawing>
                      <wp:inline distT="0" distR="0" distB="0" distL="0">
                        <wp:extent cx="1207135" cy="35599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207135" cy="355991"/>
                                </a:xfrm>
                                <a:prstGeom prst="rect">
                                  <a:avLst/>
                                </a:prstGeom>
                              </pic:spPr>
                            </pic:pic>
                          </a:graphicData>
                        </a:graphic>
                      </wp:inline>
                    </w:drawing>
                  </w:r>
                </w:p>
                <w:p>
                  <w:pPr>
                    <w:pStyle w:val="null3"/>
                    <w:ind w:firstLine="480"/>
                    <w:jc w:val="center"/>
                  </w:pPr>
                  <w:r>
                    <w:rPr>
                      <w:rFonts w:ascii="仿宋_GB2312" w:hAnsi="仿宋_GB2312" w:cs="仿宋_GB2312" w:eastAsia="仿宋_GB2312"/>
                      <w:sz w:val="24"/>
                    </w:rPr>
                    <w:t>图</w:t>
                  </w:r>
                  <w:r>
                    <w:rPr>
                      <w:rFonts w:ascii="仿宋_GB2312" w:hAnsi="仿宋_GB2312" w:cs="仿宋_GB2312" w:eastAsia="仿宋_GB2312"/>
                      <w:sz w:val="24"/>
                    </w:rPr>
                    <w:t>4.1 标志牌面颜色的构成</w:t>
                  </w:r>
                </w:p>
                <w:p>
                  <w:pPr>
                    <w:pStyle w:val="null3"/>
                    <w:ind w:firstLine="482"/>
                    <w:jc w:val="both"/>
                  </w:pPr>
                  <w:r>
                    <w:drawing>
                      <wp:inline distT="0" distR="0" distB="0" distL="0">
                        <wp:extent cx="1207135" cy="39551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207135" cy="395519"/>
                                </a:xfrm>
                                <a:prstGeom prst="rect">
                                  <a:avLst/>
                                </a:prstGeom>
                              </pic:spPr>
                            </pic:pic>
                          </a:graphicData>
                        </a:graphic>
                      </wp:inline>
                    </w:drawing>
                  </w:r>
                </w:p>
                <w:p>
                  <w:pPr>
                    <w:pStyle w:val="null3"/>
                    <w:ind w:firstLine="482"/>
                    <w:jc w:val="both"/>
                  </w:pPr>
                  <w:r>
                    <w:rPr>
                      <w:rFonts w:ascii="仿宋_GB2312" w:hAnsi="仿宋_GB2312" w:cs="仿宋_GB2312" w:eastAsia="仿宋_GB2312"/>
                      <w:sz w:val="19"/>
                    </w:rPr>
                    <w:t xml:space="preserve"> </w:t>
                  </w:r>
                </w:p>
                <w:p>
                  <w:pPr>
                    <w:pStyle w:val="null3"/>
                    <w:ind w:firstLine="480"/>
                    <w:jc w:val="center"/>
                  </w:pPr>
                  <w:r>
                    <w:rPr>
                      <w:rFonts w:ascii="仿宋_GB2312" w:hAnsi="仿宋_GB2312" w:cs="仿宋_GB2312" w:eastAsia="仿宋_GB2312"/>
                      <w:sz w:val="24"/>
                    </w:rPr>
                    <w:t>表</w:t>
                  </w:r>
                  <w:r>
                    <w:rPr>
                      <w:rFonts w:ascii="仿宋_GB2312" w:hAnsi="仿宋_GB2312" w:cs="仿宋_GB2312" w:eastAsia="仿宋_GB2312"/>
                      <w:sz w:val="24"/>
                    </w:rPr>
                    <w:t>4.1 各类标志边框和衬边颜色对照</w:t>
                  </w:r>
                </w:p>
                <w:p>
                  <w:pPr>
                    <w:pStyle w:val="null3"/>
                    <w:ind w:firstLine="480"/>
                    <w:jc w:val="both"/>
                  </w:pPr>
                  <w:r>
                    <w:rPr>
                      <w:rFonts w:ascii="仿宋_GB2312" w:hAnsi="仿宋_GB2312" w:cs="仿宋_GB2312" w:eastAsia="仿宋_GB2312"/>
                      <w:sz w:val="24"/>
                    </w:rPr>
                    <w:t>3．交通标志一般由标志底板、标志面反光材料、支撑件、基础和紧固件等组成，光线不足影响行车安全可采用照明设备或主动发光标志。同一条道路交通标志的外形和结构应统一、美观，各组成部件应牢固、耐用，紧固件应尽可能通用。</w:t>
                  </w:r>
                </w:p>
                <w:p>
                  <w:pPr>
                    <w:pStyle w:val="null3"/>
                    <w:ind w:firstLine="480"/>
                    <w:jc w:val="both"/>
                  </w:pPr>
                  <w:r>
                    <w:rPr>
                      <w:rFonts w:ascii="仿宋_GB2312" w:hAnsi="仿宋_GB2312" w:cs="仿宋_GB2312" w:eastAsia="仿宋_GB2312"/>
                      <w:sz w:val="24"/>
                    </w:rPr>
                    <w:t>4．道路交通标志应与信号灯、隔离设施、交通信息设施等其他交通管理设施统筹考虑，所表达的内容不允许相互矛盾、不应产生歧义。</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2）标志牌设置原则</w:t>
                  </w:r>
                </w:p>
                <w:p>
                  <w:pPr>
                    <w:pStyle w:val="null3"/>
                    <w:ind w:firstLine="480"/>
                    <w:jc w:val="both"/>
                  </w:pPr>
                  <w:r>
                    <w:rPr>
                      <w:rFonts w:ascii="仿宋_GB2312" w:hAnsi="仿宋_GB2312" w:cs="仿宋_GB2312" w:eastAsia="仿宋_GB2312"/>
                      <w:sz w:val="24"/>
                    </w:rPr>
                    <w:t>1． 交通标志应结合道路线形、交通状况、沿线设施等情况设置。通过交通标志提供正确及时的信息和引导，使道路使用者顺利快捷地抵达目的地，确保交通畅通和行车安全。</w:t>
                  </w:r>
                </w:p>
                <w:p>
                  <w:pPr>
                    <w:pStyle w:val="null3"/>
                    <w:ind w:firstLine="480"/>
                    <w:jc w:val="both"/>
                  </w:pPr>
                  <w:r>
                    <w:rPr>
                      <w:rFonts w:ascii="仿宋_GB2312" w:hAnsi="仿宋_GB2312" w:cs="仿宋_GB2312" w:eastAsia="仿宋_GB2312"/>
                      <w:sz w:val="24"/>
                    </w:rPr>
                    <w:t>2． 交通标志的设置应体现道路网络的特点，以不熟悉路网体系的使用者为设计对象，以道路交通管理的相关法律、法规、规章和交通组织方案为依据，并充分考虑道路设施、交通状况、交通环境及气候、沿线设施等情况来设置不同种类的标志，为道路使用者提供明确的通行指示。</w:t>
                  </w:r>
                </w:p>
                <w:p>
                  <w:pPr>
                    <w:pStyle w:val="null3"/>
                    <w:ind w:firstLine="480"/>
                    <w:jc w:val="both"/>
                  </w:pPr>
                  <w:r>
                    <w:rPr>
                      <w:rFonts w:ascii="仿宋_GB2312" w:hAnsi="仿宋_GB2312" w:cs="仿宋_GB2312" w:eastAsia="仿宋_GB2312"/>
                      <w:sz w:val="24"/>
                    </w:rPr>
                    <w:t>3． 交通标志的设置应进行总体布局，做到信息准确、严谨，防止出现信息不足或过载的现象，对于重要的信息应连续、重复显示。</w:t>
                  </w:r>
                </w:p>
                <w:p>
                  <w:pPr>
                    <w:pStyle w:val="null3"/>
                    <w:ind w:firstLine="480"/>
                    <w:jc w:val="both"/>
                  </w:pPr>
                  <w:r>
                    <w:rPr>
                      <w:rFonts w:ascii="仿宋_GB2312" w:hAnsi="仿宋_GB2312" w:cs="仿宋_GB2312" w:eastAsia="仿宋_GB2312"/>
                      <w:sz w:val="24"/>
                    </w:rPr>
                    <w:t>4． 交通标志的设置应充分考虑道路使用者的行动特性， 应考虑适当的前置距离， 满足在动态条件下发现、识别、判读标志的需要。</w:t>
                  </w:r>
                </w:p>
                <w:p>
                  <w:pPr>
                    <w:pStyle w:val="null3"/>
                    <w:ind w:firstLine="480"/>
                    <w:jc w:val="both"/>
                  </w:pPr>
                  <w:r>
                    <w:rPr>
                      <w:rFonts w:ascii="仿宋_GB2312" w:hAnsi="仿宋_GB2312" w:cs="仿宋_GB2312" w:eastAsia="仿宋_GB2312"/>
                      <w:sz w:val="24"/>
                    </w:rPr>
                    <w:t>5． 交通标志的设置应合理并相互协调，应根据道路线形、路面宽度、设置位置等选取不同的支撑形式，同一道路同类标志的支撑形式宜保持一致。</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3）标志牌设置位置</w:t>
                  </w:r>
                </w:p>
                <w:p>
                  <w:pPr>
                    <w:pStyle w:val="null3"/>
                    <w:ind w:firstLine="480"/>
                    <w:jc w:val="both"/>
                  </w:pPr>
                  <w:r>
                    <w:rPr>
                      <w:rFonts w:ascii="仿宋_GB2312" w:hAnsi="仿宋_GB2312" w:cs="仿宋_GB2312" w:eastAsia="仿宋_GB2312"/>
                      <w:sz w:val="24"/>
                    </w:rPr>
                    <w:t>1． 交通标志应设在车辆、行人行进方向易于发现和识认的地方，一般情况下应设置在道路行进方向右侧的路肩或人行道上和车行道上方；特殊情况下，也可设置在左侧的中央分隔带、车道隔离设施的一端或交叉口内的交通岛上，禁止在路面上某一空白区域设置标志。</w:t>
                  </w:r>
                </w:p>
                <w:p>
                  <w:pPr>
                    <w:pStyle w:val="null3"/>
                    <w:ind w:firstLine="480"/>
                    <w:jc w:val="both"/>
                  </w:pPr>
                  <w:r>
                    <w:rPr>
                      <w:rFonts w:ascii="仿宋_GB2312" w:hAnsi="仿宋_GB2312" w:cs="仿宋_GB2312" w:eastAsia="仿宋_GB2312"/>
                      <w:sz w:val="24"/>
                    </w:rPr>
                    <w:t>2． 一般情况下路侧式标志牌的设置遵循右置原则，即设置于标志所管辖道路的右侧，若道路较宽，视线条件较差等情况下，可在道路两侧同时设置相同内容的标志。</w:t>
                  </w:r>
                </w:p>
                <w:p>
                  <w:pPr>
                    <w:pStyle w:val="null3"/>
                    <w:ind w:firstLine="480"/>
                    <w:jc w:val="both"/>
                  </w:pPr>
                  <w:r>
                    <w:rPr>
                      <w:rFonts w:ascii="仿宋_GB2312" w:hAnsi="仿宋_GB2312" w:cs="仿宋_GB2312" w:eastAsia="仿宋_GB2312"/>
                      <w:sz w:val="24"/>
                    </w:rPr>
                    <w:t>3． 标志牌需要在左侧设置时，可在标志版面增加指向箭头图案，以明确表达交通信息。</w:t>
                  </w:r>
                </w:p>
                <w:p>
                  <w:pPr>
                    <w:pStyle w:val="null3"/>
                    <w:ind w:firstLine="480"/>
                    <w:jc w:val="both"/>
                  </w:pPr>
                  <w:r>
                    <w:rPr>
                      <w:rFonts w:ascii="仿宋_GB2312" w:hAnsi="仿宋_GB2312" w:cs="仿宋_GB2312" w:eastAsia="仿宋_GB2312"/>
                      <w:sz w:val="24"/>
                    </w:rPr>
                    <w:t>4． 在设置于路肩的情况下，路侧安装的柱式标志不得侵入道路建筑限界以内，在有突起路缘或路沟槽的地方，标志板外缘距离路边缘不应小于0.25m。</w:t>
                  </w:r>
                </w:p>
                <w:p>
                  <w:pPr>
                    <w:pStyle w:val="null3"/>
                    <w:ind w:firstLine="480"/>
                    <w:jc w:val="both"/>
                  </w:pPr>
                  <w:r>
                    <w:rPr>
                      <w:rFonts w:ascii="仿宋_GB2312" w:hAnsi="仿宋_GB2312" w:cs="仿宋_GB2312" w:eastAsia="仿宋_GB2312"/>
                      <w:sz w:val="24"/>
                      <w:shd w:fill="D9D9D9" w:val="clear"/>
                    </w:rPr>
                    <w:t>4.2  禁令标志</w:t>
                  </w:r>
                </w:p>
                <w:p>
                  <w:pPr>
                    <w:pStyle w:val="null3"/>
                    <w:ind w:firstLine="480"/>
                    <w:jc w:val="both"/>
                  </w:pPr>
                  <w:r>
                    <w:rPr>
                      <w:rFonts w:ascii="仿宋_GB2312" w:hAnsi="仿宋_GB2312" w:cs="仿宋_GB2312" w:eastAsia="仿宋_GB2312"/>
                      <w:sz w:val="24"/>
                    </w:rPr>
                    <w:t>禁令标志颜色处解除禁止超车和解除限制速度为白底、黑圈、黑图案外，其余均为白底、红圈、红杠、黑图案；形状为等边圆形或顶角朝下的等边三角形；禁止驶入标志、禁止通行标志等红白两色组成的标志采用全部反光，其他禁令标志采用白底、红圈、红杠反光，黑图案不反光。</w:t>
                  </w:r>
                </w:p>
                <w:p>
                  <w:pPr>
                    <w:pStyle w:val="null3"/>
                    <w:ind w:firstLine="480"/>
                    <w:jc w:val="both"/>
                  </w:pPr>
                  <w:r>
                    <w:drawing>
                      <wp:inline distT="0" distR="0" distB="0" distL="0">
                        <wp:extent cx="1207135" cy="325852"/>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1207135" cy="325852"/>
                                </a:xfrm>
                                <a:prstGeom prst="rect">
                                  <a:avLst/>
                                </a:prstGeom>
                              </pic:spPr>
                            </pic:pic>
                          </a:graphicData>
                        </a:graphic>
                      </wp:inline>
                    </w:drawing>
                  </w:r>
                </w:p>
                <w:p>
                  <w:pPr>
                    <w:pStyle w:val="null3"/>
                    <w:jc w:val="both"/>
                  </w:pPr>
                  <w:r>
                    <w:rPr>
                      <w:rFonts w:ascii="仿宋_GB2312" w:hAnsi="仿宋_GB2312" w:cs="仿宋_GB2312" w:eastAsia="仿宋_GB2312"/>
                      <w:sz w:val="24"/>
                    </w:rPr>
                    <w:t>图</w:t>
                  </w:r>
                  <w:r>
                    <w:rPr>
                      <w:rFonts w:ascii="仿宋_GB2312" w:hAnsi="仿宋_GB2312" w:cs="仿宋_GB2312" w:eastAsia="仿宋_GB2312"/>
                      <w:sz w:val="24"/>
                    </w:rPr>
                    <w:t>1  禁令标志尺寸代号</w:t>
                  </w:r>
                </w:p>
                <w:tbl>
                  <w:tblPr>
                    <w:tblInd w:type="dxa" w:w="135"/>
                    <w:tblBorders>
                      <w:top w:val="none" w:color="000000" w:sz="4"/>
                      <w:left w:val="none" w:color="000000" w:sz="4"/>
                      <w:bottom w:val="none" w:color="000000" w:sz="4"/>
                      <w:right w:val="none" w:color="000000" w:sz="4"/>
                      <w:insideH w:val="none"/>
                      <w:insideV w:val="none"/>
                    </w:tblBorders>
                  </w:tblPr>
                  <w:tblGrid>
                    <w:gridCol w:w="264"/>
                    <w:gridCol w:w="176"/>
                    <w:gridCol w:w="176"/>
                    <w:gridCol w:w="176"/>
                    <w:gridCol w:w="176"/>
                    <w:gridCol w:w="176"/>
                    <w:gridCol w:w="176"/>
                    <w:gridCol w:w="176"/>
                    <w:gridCol w:w="206"/>
                    <w:gridCol w:w="183"/>
                  </w:tblGrid>
                  <w:tr>
                    <w:tc>
                      <w:tcPr>
                        <w:tcW w:type="dxa" w:w="264"/>
                        <w:vMerge w:val="restart"/>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设计速度（</w:t>
                        </w:r>
                        <w:r>
                          <w:rPr>
                            <w:rFonts w:ascii="仿宋_GB2312" w:hAnsi="仿宋_GB2312" w:cs="仿宋_GB2312" w:eastAsia="仿宋_GB2312"/>
                            <w:sz w:val="24"/>
                          </w:rPr>
                          <w:t>km/h）</w:t>
                        </w:r>
                      </w:p>
                    </w:tc>
                    <w:tc>
                      <w:tcPr>
                        <w:tcW w:type="dxa" w:w="704"/>
                        <w:gridSpan w:val="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圆形标志</w:t>
                        </w:r>
                      </w:p>
                    </w:tc>
                    <w:tc>
                      <w:tcPr>
                        <w:tcW w:type="dxa" w:w="528"/>
                        <w:gridSpan w:val="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三角形标志</w:t>
                        </w:r>
                      </w:p>
                    </w:tc>
                    <w:tc>
                      <w:tcPr>
                        <w:tcW w:type="dxa" w:w="389"/>
                        <w:gridSpan w:val="2"/>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八角形标志</w:t>
                        </w:r>
                      </w:p>
                    </w:tc>
                  </w:tr>
                  <w:tr>
                    <w:tc>
                      <w:tcPr>
                        <w:tcW w:type="dxa" w:w="264"/>
                        <w:vMerge/>
                        <w:tcBorders>
                          <w:top w:val="single" w:color="000000" w:sz="4"/>
                          <w:left w:val="single" w:color="000000" w:sz="4"/>
                          <w:bottom w:val="single" w:color="000000" w:sz="4"/>
                          <w:right w:val="single" w:color="000000" w:sz="4"/>
                        </w:tcBorders>
                      </w:tcP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标志外径</w:t>
                        </w:r>
                        <w:r>
                          <w:rPr>
                            <w:rFonts w:ascii="仿宋_GB2312" w:hAnsi="仿宋_GB2312" w:cs="仿宋_GB2312" w:eastAsia="仿宋_GB2312"/>
                            <w:sz w:val="24"/>
                          </w:rPr>
                          <w:t>D</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cm)</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红边宽度</w:t>
                        </w:r>
                        <w:r>
                          <w:rPr>
                            <w:rFonts w:ascii="仿宋_GB2312" w:hAnsi="仿宋_GB2312" w:cs="仿宋_GB2312" w:eastAsia="仿宋_GB2312"/>
                            <w:sz w:val="24"/>
                          </w:rPr>
                          <w:t>a</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cm)</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红杠宽度</w:t>
                        </w:r>
                        <w:r>
                          <w:rPr>
                            <w:rFonts w:ascii="仿宋_GB2312" w:hAnsi="仿宋_GB2312" w:cs="仿宋_GB2312" w:eastAsia="仿宋_GB2312"/>
                            <w:sz w:val="24"/>
                          </w:rPr>
                          <w:t>b</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cm)</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衬边宽度</w:t>
                        </w:r>
                        <w:r>
                          <w:rPr>
                            <w:rFonts w:ascii="仿宋_GB2312" w:hAnsi="仿宋_GB2312" w:cs="仿宋_GB2312" w:eastAsia="仿宋_GB2312"/>
                            <w:sz w:val="24"/>
                          </w:rPr>
                          <w:t>c</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cm)</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三角形边长</w:t>
                        </w:r>
                        <w:r>
                          <w:rPr>
                            <w:rFonts w:ascii="仿宋_GB2312" w:hAnsi="仿宋_GB2312" w:cs="仿宋_GB2312" w:eastAsia="仿宋_GB2312"/>
                            <w:sz w:val="24"/>
                          </w:rPr>
                          <w:t>a</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cm)</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红边宽度</w:t>
                        </w:r>
                        <w:r>
                          <w:rPr>
                            <w:rFonts w:ascii="仿宋_GB2312" w:hAnsi="仿宋_GB2312" w:cs="仿宋_GB2312" w:eastAsia="仿宋_GB2312"/>
                            <w:sz w:val="24"/>
                          </w:rPr>
                          <w:t>b</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cm)</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衬边宽度</w:t>
                        </w:r>
                        <w:r>
                          <w:rPr>
                            <w:rFonts w:ascii="仿宋_GB2312" w:hAnsi="仿宋_GB2312" w:cs="仿宋_GB2312" w:eastAsia="仿宋_GB2312"/>
                            <w:sz w:val="24"/>
                          </w:rPr>
                          <w:t>c</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cm)</w:t>
                        </w:r>
                      </w:p>
                    </w:tc>
                    <w:tc>
                      <w:tcPr>
                        <w:tcW w:type="dxa" w:w="20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标志外径</w:t>
                        </w:r>
                        <w:r>
                          <w:rPr>
                            <w:rFonts w:ascii="仿宋_GB2312" w:hAnsi="仿宋_GB2312" w:cs="仿宋_GB2312" w:eastAsia="仿宋_GB2312"/>
                            <w:sz w:val="24"/>
                          </w:rPr>
                          <w:t>D</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cm)</w:t>
                        </w:r>
                      </w:p>
                    </w:tc>
                    <w:tc>
                      <w:tcPr>
                        <w:tcW w:type="dxa" w:w="18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白边宽度</w:t>
                        </w:r>
                        <w:r>
                          <w:rPr>
                            <w:rFonts w:ascii="仿宋_GB2312" w:hAnsi="仿宋_GB2312" w:cs="仿宋_GB2312" w:eastAsia="仿宋_GB2312"/>
                            <w:sz w:val="24"/>
                          </w:rPr>
                          <w:t>b</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cm)</w:t>
                        </w:r>
                      </w:p>
                    </w:tc>
                  </w:tr>
                  <w:tr>
                    <w:tc>
                      <w:tcPr>
                        <w:tcW w:type="dxa" w:w="26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&lt;40</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60</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6</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4.5</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0.4</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70</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7</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0.4</w:t>
                        </w:r>
                      </w:p>
                    </w:tc>
                    <w:tc>
                      <w:tcPr>
                        <w:tcW w:type="dxa" w:w="20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60</w:t>
                        </w:r>
                      </w:p>
                    </w:tc>
                    <w:tc>
                      <w:tcPr>
                        <w:tcW w:type="dxa" w:w="18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w:t>
                        </w:r>
                      </w:p>
                    </w:tc>
                  </w:tr>
                  <w:tr>
                    <w:tc>
                      <w:tcPr>
                        <w:tcW w:type="dxa" w:w="26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40~70</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80</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6</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0.6</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90</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9</w:t>
                        </w:r>
                      </w:p>
                    </w:tc>
                    <w:tc>
                      <w:tcPr>
                        <w:tcW w:type="dxa" w:w="1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0.6</w:t>
                        </w:r>
                      </w:p>
                    </w:tc>
                    <w:tc>
                      <w:tcPr>
                        <w:tcW w:type="dxa" w:w="20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80</w:t>
                        </w:r>
                      </w:p>
                    </w:tc>
                    <w:tc>
                      <w:tcPr>
                        <w:tcW w:type="dxa" w:w="18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3</w:t>
                        </w:r>
                      </w:p>
                    </w:tc>
                  </w:tr>
                </w:tbl>
                <w:p>
                  <w:pPr>
                    <w:pStyle w:val="null3"/>
                    <w:ind w:firstLine="480"/>
                    <w:jc w:val="center"/>
                  </w:pPr>
                  <w:r>
                    <w:rPr>
                      <w:rFonts w:ascii="仿宋_GB2312" w:hAnsi="仿宋_GB2312" w:cs="仿宋_GB2312" w:eastAsia="仿宋_GB2312"/>
                      <w:sz w:val="24"/>
                    </w:rPr>
                    <w:t>表</w:t>
                  </w:r>
                  <w:r>
                    <w:rPr>
                      <w:rFonts w:ascii="仿宋_GB2312" w:hAnsi="仿宋_GB2312" w:cs="仿宋_GB2312" w:eastAsia="仿宋_GB2312"/>
                      <w:sz w:val="24"/>
                    </w:rPr>
                    <w:t>2  禁令标志尺寸与设计速度关系表</w:t>
                  </w:r>
                </w:p>
                <w:p>
                  <w:pPr>
                    <w:pStyle w:val="null3"/>
                    <w:ind w:firstLine="480"/>
                    <w:jc w:val="both"/>
                  </w:pPr>
                  <w:r>
                    <w:rPr>
                      <w:rFonts w:ascii="仿宋_GB2312" w:hAnsi="仿宋_GB2312" w:cs="仿宋_GB2312" w:eastAsia="仿宋_GB2312"/>
                      <w:sz w:val="24"/>
                    </w:rPr>
                    <w:t>4.3  指示标志</w:t>
                  </w:r>
                </w:p>
                <w:p>
                  <w:pPr>
                    <w:pStyle w:val="null3"/>
                    <w:ind w:firstLine="480"/>
                    <w:jc w:val="both"/>
                  </w:pPr>
                  <w:r>
                    <w:rPr>
                      <w:rFonts w:ascii="仿宋_GB2312" w:hAnsi="仿宋_GB2312" w:cs="仿宋_GB2312" w:eastAsia="仿宋_GB2312"/>
                      <w:sz w:val="24"/>
                    </w:rPr>
                    <w:t>指示标志颜色为蓝底、白图案外；形状为等边圆形或长方形、正方形；采用全部反光（比较复杂的标志图案反光、蓝底不反光）。反光膜采用微凌镜型</w:t>
                  </w:r>
                  <w:r>
                    <w:rPr>
                      <w:rFonts w:ascii="仿宋_GB2312" w:hAnsi="仿宋_GB2312" w:cs="仿宋_GB2312" w:eastAsia="仿宋_GB2312"/>
                      <w:sz w:val="24"/>
                    </w:rPr>
                    <w:t>V类反光膜。</w:t>
                  </w:r>
                </w:p>
                <w:p>
                  <w:pPr>
                    <w:pStyle w:val="null3"/>
                    <w:ind w:firstLine="480"/>
                    <w:jc w:val="both"/>
                  </w:pPr>
                  <w:r>
                    <w:drawing>
                      <wp:inline distT="0" distR="0" distB="0" distL="0">
                        <wp:extent cx="1207135" cy="313137"/>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8"/>
                                <a:stretch>
                                  <a:fillRect/>
                                </a:stretch>
                              </pic:blipFill>
                              <pic:spPr>
                                <a:xfrm>
                                  <a:off x="0" y="0"/>
                                  <a:ext cx="1207135" cy="313137"/>
                                </a:xfrm>
                                <a:prstGeom prst="rect">
                                  <a:avLst/>
                                </a:prstGeom>
                              </pic:spPr>
                            </pic:pic>
                          </a:graphicData>
                        </a:graphic>
                      </wp:inline>
                    </w:drawing>
                  </w:r>
                </w:p>
                <w:p>
                  <w:pPr>
                    <w:pStyle w:val="null3"/>
                    <w:ind w:firstLine="480"/>
                    <w:jc w:val="both"/>
                  </w:pPr>
                  <w:r>
                    <w:rPr>
                      <w:rFonts w:ascii="仿宋_GB2312" w:hAnsi="仿宋_GB2312" w:cs="仿宋_GB2312" w:eastAsia="仿宋_GB2312"/>
                      <w:sz w:val="24"/>
                    </w:rPr>
                    <w:t>图</w:t>
                  </w:r>
                  <w:r>
                    <w:rPr>
                      <w:rFonts w:ascii="仿宋_GB2312" w:hAnsi="仿宋_GB2312" w:cs="仿宋_GB2312" w:eastAsia="仿宋_GB2312"/>
                      <w:sz w:val="24"/>
                    </w:rPr>
                    <w:t>2  指示标志尺寸代号</w:t>
                  </w:r>
                </w:p>
                <w:tbl>
                  <w:tblPr>
                    <w:tblBorders>
                      <w:top w:val="none" w:color="000000" w:sz="4"/>
                      <w:left w:val="none" w:color="000000" w:sz="4"/>
                      <w:bottom w:val="none" w:color="000000" w:sz="4"/>
                      <w:right w:val="none" w:color="000000" w:sz="4"/>
                      <w:insideH w:val="none"/>
                      <w:insideV w:val="none"/>
                    </w:tblBorders>
                  </w:tblPr>
                  <w:tblGrid>
                    <w:gridCol w:w="284"/>
                    <w:gridCol w:w="304"/>
                    <w:gridCol w:w="256"/>
                    <w:gridCol w:w="260"/>
                    <w:gridCol w:w="260"/>
                    <w:gridCol w:w="260"/>
                    <w:gridCol w:w="260"/>
                  </w:tblGrid>
                  <w:tr>
                    <w:tc>
                      <w:tcPr>
                        <w:tcW w:type="dxa" w:w="284"/>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设计速度</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km/h）</w:t>
                        </w:r>
                      </w:p>
                    </w:tc>
                    <w:tc>
                      <w:tcPr>
                        <w:tcW w:type="dxa" w:w="30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圆形（直径）</w:t>
                        </w:r>
                        <w:r>
                          <w:rPr>
                            <w:rFonts w:ascii="仿宋_GB2312" w:hAnsi="仿宋_GB2312" w:cs="仿宋_GB2312" w:eastAsia="仿宋_GB2312"/>
                            <w:sz w:val="24"/>
                          </w:rPr>
                          <w:t>D（cm)</w:t>
                        </w:r>
                      </w:p>
                    </w:tc>
                    <w:tc>
                      <w:tcPr>
                        <w:tcW w:type="dxa" w:w="256"/>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正方形（边长）</w:t>
                        </w:r>
                        <w:r>
                          <w:rPr>
                            <w:rFonts w:ascii="仿宋_GB2312" w:hAnsi="仿宋_GB2312" w:cs="仿宋_GB2312" w:eastAsia="仿宋_GB2312"/>
                            <w:sz w:val="24"/>
                          </w:rPr>
                          <w:t>A（cm)</w:t>
                        </w:r>
                      </w:p>
                    </w:tc>
                    <w:tc>
                      <w:tcPr>
                        <w:tcW w:type="dxa" w:w="26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长方形（边长）</w:t>
                        </w:r>
                        <w:r>
                          <w:rPr>
                            <w:rFonts w:ascii="仿宋_GB2312" w:hAnsi="仿宋_GB2312" w:cs="仿宋_GB2312" w:eastAsia="仿宋_GB2312"/>
                            <w:sz w:val="24"/>
                          </w:rPr>
                          <w:t>A×B</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cm)</w:t>
                        </w:r>
                      </w:p>
                    </w:tc>
                    <w:tc>
                      <w:tcPr>
                        <w:tcW w:type="dxa" w:w="26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单行线标志（长方形）</w:t>
                        </w:r>
                        <w:r>
                          <w:rPr>
                            <w:rFonts w:ascii="仿宋_GB2312" w:hAnsi="仿宋_GB2312" w:cs="仿宋_GB2312" w:eastAsia="仿宋_GB2312"/>
                            <w:sz w:val="24"/>
                          </w:rPr>
                          <w:t>A×B</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cm)</w:t>
                        </w:r>
                      </w:p>
                    </w:tc>
                    <w:tc>
                      <w:tcPr>
                        <w:tcW w:type="dxa" w:w="26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会车先行标志（正方形）</w:t>
                        </w:r>
                        <w:r>
                          <w:rPr>
                            <w:rFonts w:ascii="仿宋_GB2312" w:hAnsi="仿宋_GB2312" w:cs="仿宋_GB2312" w:eastAsia="仿宋_GB2312"/>
                            <w:sz w:val="24"/>
                          </w:rPr>
                          <w:t>A</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cm)</w:t>
                        </w:r>
                      </w:p>
                    </w:tc>
                    <w:tc>
                      <w:tcPr>
                        <w:tcW w:type="dxa" w:w="260"/>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衬边宽度</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cm)</w:t>
                        </w:r>
                      </w:p>
                    </w:tc>
                  </w:tr>
                  <w:tr>
                    <w:tc>
                      <w:tcPr>
                        <w:tcW w:type="dxa" w:w="28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&lt;40</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60×30</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26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0.4</w:t>
                        </w:r>
                      </w:p>
                    </w:tc>
                  </w:tr>
                  <w:tr>
                    <w:tc>
                      <w:tcPr>
                        <w:tcW w:type="dxa" w:w="284"/>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40~70</w:t>
                        </w:r>
                      </w:p>
                    </w:tc>
                    <w:tc>
                      <w:tcPr>
                        <w:tcW w:type="dxa" w:w="30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25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26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140×100</w:t>
                        </w:r>
                      </w:p>
                    </w:tc>
                    <w:tc>
                      <w:tcPr>
                        <w:tcW w:type="dxa" w:w="26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80×40</w:t>
                        </w:r>
                      </w:p>
                    </w:tc>
                    <w:tc>
                      <w:tcPr>
                        <w:tcW w:type="dxa" w:w="26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260"/>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0.6</w:t>
                        </w:r>
                      </w:p>
                    </w:tc>
                  </w:tr>
                </w:tbl>
                <w:p>
                  <w:pPr>
                    <w:pStyle w:val="null3"/>
                    <w:ind w:firstLine="480"/>
                    <w:jc w:val="center"/>
                  </w:pPr>
                  <w:r>
                    <w:rPr>
                      <w:rFonts w:ascii="仿宋_GB2312" w:hAnsi="仿宋_GB2312" w:cs="仿宋_GB2312" w:eastAsia="仿宋_GB2312"/>
                      <w:sz w:val="24"/>
                    </w:rPr>
                    <w:t>表</w:t>
                  </w:r>
                  <w:r>
                    <w:rPr>
                      <w:rFonts w:ascii="仿宋_GB2312" w:hAnsi="仿宋_GB2312" w:cs="仿宋_GB2312" w:eastAsia="仿宋_GB2312"/>
                      <w:sz w:val="24"/>
                    </w:rPr>
                    <w:t>3  指示标志尺寸与设计速度关系表</w:t>
                  </w:r>
                </w:p>
                <w:p>
                  <w:pPr>
                    <w:pStyle w:val="null3"/>
                    <w:ind w:firstLine="480"/>
                    <w:jc w:val="both"/>
                  </w:pPr>
                  <w:r>
                    <w:rPr>
                      <w:rFonts w:ascii="仿宋_GB2312" w:hAnsi="仿宋_GB2312" w:cs="仿宋_GB2312" w:eastAsia="仿宋_GB2312"/>
                      <w:sz w:val="24"/>
                    </w:rPr>
                    <w:t>4.4  指路标志</w:t>
                  </w:r>
                </w:p>
                <w:p>
                  <w:pPr>
                    <w:pStyle w:val="null3"/>
                    <w:ind w:firstLine="480"/>
                    <w:jc w:val="both"/>
                  </w:pPr>
                  <w:r>
                    <w:rPr>
                      <w:rFonts w:ascii="仿宋_GB2312" w:hAnsi="仿宋_GB2312" w:cs="仿宋_GB2312" w:eastAsia="仿宋_GB2312"/>
                      <w:sz w:val="24"/>
                    </w:rPr>
                    <w:t>指路标志的颜色为蓝底、白图案；形状为长方形。主要标志尺寸采用</w:t>
                  </w:r>
                  <w:r>
                    <w:rPr>
                      <w:rFonts w:ascii="仿宋_GB2312" w:hAnsi="仿宋_GB2312" w:cs="仿宋_GB2312" w:eastAsia="仿宋_GB2312"/>
                      <w:sz w:val="24"/>
                    </w:rPr>
                    <w:t>4.0m×2.5m，标志板衬底、文字及图案采用反采用微凌镜型V类反光膜，具体尺寸下阶段根据版面内容确定。</w:t>
                  </w:r>
                </w:p>
                <w:p>
                  <w:pPr>
                    <w:pStyle w:val="null3"/>
                    <w:ind w:firstLine="480"/>
                    <w:jc w:val="both"/>
                  </w:pPr>
                  <w:r>
                    <w:rPr>
                      <w:rFonts w:ascii="仿宋_GB2312" w:hAnsi="仿宋_GB2312" w:cs="仿宋_GB2312" w:eastAsia="仿宋_GB2312"/>
                      <w:sz w:val="24"/>
                    </w:rPr>
                    <w:t>4.5  相关规定</w:t>
                  </w:r>
                </w:p>
                <w:p>
                  <w:pPr>
                    <w:pStyle w:val="null3"/>
                    <w:ind w:firstLine="480"/>
                    <w:jc w:val="both"/>
                  </w:pPr>
                  <w:r>
                    <w:rPr>
                      <w:rFonts w:ascii="仿宋_GB2312" w:hAnsi="仿宋_GB2312" w:cs="仿宋_GB2312" w:eastAsia="仿宋_GB2312"/>
                      <w:sz w:val="24"/>
                    </w:rPr>
                    <w:t>1）标志版面</w:t>
                  </w:r>
                </w:p>
                <w:p>
                  <w:pPr>
                    <w:pStyle w:val="null3"/>
                    <w:ind w:firstLine="480"/>
                    <w:jc w:val="both"/>
                  </w:pPr>
                  <w:r>
                    <w:rPr>
                      <w:rFonts w:ascii="仿宋_GB2312" w:hAnsi="仿宋_GB2312" w:cs="仿宋_GB2312" w:eastAsia="仿宋_GB2312"/>
                      <w:sz w:val="24"/>
                    </w:rPr>
                    <w:t>标志版面采用硬铝合金板。板面积与板厚要求详见下表。</w:t>
                  </w:r>
                </w:p>
                <w:tbl>
                  <w:tblPr>
                    <w:tblInd w:type="dxa" w:w="135"/>
                    <w:tblBorders>
                      <w:top w:val="none" w:color="000000" w:sz="4"/>
                      <w:left w:val="none" w:color="000000" w:sz="4"/>
                      <w:bottom w:val="none" w:color="000000" w:sz="4"/>
                      <w:right w:val="none" w:color="000000" w:sz="4"/>
                      <w:insideH w:val="none"/>
                      <w:insideV w:val="none"/>
                    </w:tblBorders>
                  </w:tblPr>
                  <w:tblGrid>
                    <w:gridCol w:w="457"/>
                    <w:gridCol w:w="478"/>
                    <w:gridCol w:w="478"/>
                    <w:gridCol w:w="478"/>
                  </w:tblGrid>
                  <w:tr>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板面积</w:t>
                        </w:r>
                        <w:r>
                          <w:rPr>
                            <w:rFonts w:ascii="仿宋_GB2312" w:hAnsi="仿宋_GB2312" w:cs="仿宋_GB2312" w:eastAsia="仿宋_GB2312"/>
                            <w:sz w:val="24"/>
                          </w:rPr>
                          <w:t>(m2）</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w:t>
                        </w:r>
                      </w:p>
                    </w:tc>
                  </w:tr>
                  <w:tr>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板厚</w:t>
                        </w:r>
                        <w:r>
                          <w:rPr>
                            <w:rFonts w:ascii="仿宋_GB2312" w:hAnsi="仿宋_GB2312" w:cs="仿宋_GB2312" w:eastAsia="仿宋_GB2312"/>
                            <w:sz w:val="24"/>
                          </w:rPr>
                          <w:t>(mm）</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bl>
                <w:p>
                  <w:pPr>
                    <w:pStyle w:val="null3"/>
                    <w:ind w:firstLine="480"/>
                    <w:jc w:val="both"/>
                  </w:pPr>
                  <w:r>
                    <w:rPr>
                      <w:rFonts w:ascii="仿宋_GB2312" w:hAnsi="仿宋_GB2312" w:cs="仿宋_GB2312" w:eastAsia="仿宋_GB2312"/>
                      <w:sz w:val="24"/>
                    </w:rPr>
                    <w:t>表</w:t>
                  </w:r>
                  <w:r>
                    <w:rPr>
                      <w:rFonts w:ascii="仿宋_GB2312" w:hAnsi="仿宋_GB2312" w:cs="仿宋_GB2312" w:eastAsia="仿宋_GB2312"/>
                      <w:sz w:val="24"/>
                    </w:rPr>
                    <w:t>4  板面积与板厚关系</w:t>
                  </w:r>
                </w:p>
                <w:p>
                  <w:pPr>
                    <w:pStyle w:val="null3"/>
                    <w:ind w:firstLine="480"/>
                    <w:jc w:val="both"/>
                  </w:pPr>
                  <w:r>
                    <w:rPr>
                      <w:rFonts w:ascii="仿宋_GB2312" w:hAnsi="仿宋_GB2312" w:cs="仿宋_GB2312" w:eastAsia="仿宋_GB2312"/>
                      <w:sz w:val="24"/>
                    </w:rPr>
                    <w:t>2）标志板安装角</w:t>
                  </w:r>
                </w:p>
                <w:p>
                  <w:pPr>
                    <w:pStyle w:val="null3"/>
                    <w:ind w:firstLine="480"/>
                    <w:jc w:val="both"/>
                  </w:pPr>
                  <w:r>
                    <w:rPr>
                      <w:rFonts w:ascii="仿宋_GB2312" w:hAnsi="仿宋_GB2312" w:cs="仿宋_GB2312" w:eastAsia="仿宋_GB2312"/>
                      <w:sz w:val="24"/>
                    </w:rPr>
                    <w:t>标志板的安装角度，是指标志备板与道路中心线的夹角，当标准设在曲线路段时，标志板应与曲线半径的方向一致，与曲线的切线方向垂直。</w:t>
                  </w:r>
                </w:p>
                <w:p>
                  <w:pPr>
                    <w:pStyle w:val="null3"/>
                    <w:ind w:firstLine="480"/>
                    <w:jc w:val="both"/>
                  </w:pPr>
                  <w:r>
                    <w:rPr>
                      <w:rFonts w:ascii="仿宋_GB2312" w:hAnsi="仿宋_GB2312" w:cs="仿宋_GB2312" w:eastAsia="仿宋_GB2312"/>
                      <w:sz w:val="24"/>
                    </w:rPr>
                    <w:t>路侧式标志，指路标志和警告标志安装角为直角或近似直角（</w:t>
                  </w:r>
                  <w:r>
                    <w:rPr>
                      <w:rFonts w:ascii="仿宋_GB2312" w:hAnsi="仿宋_GB2312" w:cs="仿宋_GB2312" w:eastAsia="仿宋_GB2312"/>
                      <w:sz w:val="24"/>
                    </w:rPr>
                    <w:t>80°~90°），指示标志和禁令标志安装角为直角或锐角（45°~90°）；其他位置的标志安装角一般为直角。</w:t>
                  </w:r>
                </w:p>
                <w:p>
                  <w:pPr>
                    <w:pStyle w:val="null3"/>
                    <w:ind w:firstLine="480"/>
                    <w:jc w:val="both"/>
                  </w:pPr>
                  <w:r>
                    <w:rPr>
                      <w:rFonts w:ascii="仿宋_GB2312" w:hAnsi="仿宋_GB2312" w:cs="仿宋_GB2312" w:eastAsia="仿宋_GB2312"/>
                      <w:sz w:val="24"/>
                    </w:rPr>
                    <w:t>3）标志安装</w:t>
                  </w:r>
                </w:p>
                <w:p>
                  <w:pPr>
                    <w:pStyle w:val="null3"/>
                    <w:ind w:firstLine="480"/>
                    <w:jc w:val="both"/>
                  </w:pPr>
                  <w:r>
                    <w:rPr>
                      <w:rFonts w:ascii="仿宋_GB2312" w:hAnsi="仿宋_GB2312" w:cs="仿宋_GB2312" w:eastAsia="仿宋_GB2312"/>
                      <w:sz w:val="24"/>
                    </w:rPr>
                    <w:t>标志所使用的材料、规格均应满足设计和有关标准、规定的要求。标志基础应按设计图规定的尺寸于指定地点进行开挖；基底在浇注混凝土钱要求进行修整、压实；然后立模板、敷设钢筋，浇注混凝土（小型基础、孔壁稳定，可以不立模施工）；地脚螺栓和底法兰盘位置、标高正确，保持水平；立柱必须待混凝土养护至少</w:t>
                  </w:r>
                  <w:r>
                    <w:rPr>
                      <w:rFonts w:ascii="仿宋_GB2312" w:hAnsi="仿宋_GB2312" w:cs="仿宋_GB2312" w:eastAsia="仿宋_GB2312"/>
                      <w:sz w:val="24"/>
                    </w:rPr>
                    <w:t>7天以后才可以安装；板面安装必须稳固、安全。</w:t>
                  </w:r>
                </w:p>
                <w:p>
                  <w:pPr>
                    <w:pStyle w:val="null3"/>
                    <w:ind w:firstLine="480"/>
                    <w:jc w:val="both"/>
                  </w:pPr>
                  <w:r>
                    <w:rPr>
                      <w:rFonts w:ascii="仿宋_GB2312" w:hAnsi="仿宋_GB2312" w:cs="仿宋_GB2312" w:eastAsia="仿宋_GB2312"/>
                      <w:sz w:val="24"/>
                    </w:rPr>
                    <w:t>4）设计字体</w:t>
                  </w:r>
                </w:p>
                <w:p>
                  <w:pPr>
                    <w:pStyle w:val="null3"/>
                    <w:ind w:firstLine="480"/>
                    <w:jc w:val="both"/>
                  </w:pPr>
                  <w:r>
                    <w:rPr>
                      <w:rFonts w:ascii="仿宋_GB2312" w:hAnsi="仿宋_GB2312" w:cs="仿宋_GB2312" w:eastAsia="仿宋_GB2312"/>
                      <w:sz w:val="24"/>
                    </w:rPr>
                    <w:t>汉字要求采用等粗字体，路线上标志汉字采用中英文对照时，汉字应置于英文之上，其它详见下表。</w:t>
                  </w:r>
                </w:p>
                <w:p>
                  <w:pPr>
                    <w:pStyle w:val="null3"/>
                    <w:ind w:firstLine="422"/>
                    <w:jc w:val="center"/>
                  </w:pPr>
                  <w:r>
                    <w:rPr>
                      <w:rFonts w:ascii="仿宋_GB2312" w:hAnsi="仿宋_GB2312" w:cs="仿宋_GB2312" w:eastAsia="仿宋_GB2312"/>
                      <w:sz w:val="24"/>
                      <w:b/>
                    </w:rPr>
                    <w:t>表</w:t>
                  </w:r>
                  <w:r>
                    <w:rPr>
                      <w:rFonts w:ascii="仿宋_GB2312" w:hAnsi="仿宋_GB2312" w:cs="仿宋_GB2312" w:eastAsia="仿宋_GB2312"/>
                      <w:sz w:val="24"/>
                      <w:b/>
                    </w:rPr>
                    <w:t>5  汉字高度与设计速度的关系</w:t>
                  </w:r>
                </w:p>
                <w:tbl>
                  <w:tblPr>
                    <w:tblBorders>
                      <w:top w:val="none" w:color="000000" w:sz="4"/>
                      <w:left w:val="none" w:color="000000" w:sz="4"/>
                      <w:bottom w:val="none" w:color="000000" w:sz="4"/>
                      <w:right w:val="none" w:color="000000" w:sz="4"/>
                      <w:insideH w:val="none"/>
                      <w:insideV w:val="none"/>
                    </w:tblBorders>
                  </w:tblPr>
                  <w:tblGrid>
                    <w:gridCol w:w="1011"/>
                    <w:gridCol w:w="884"/>
                  </w:tblGrid>
                  <w:tr>
                    <w:tc>
                      <w:tcPr>
                        <w:tcW w:type="dxa" w:w="10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40~70</w:t>
                        </w:r>
                      </w:p>
                    </w:tc>
                    <w:tc>
                      <w:tcPr>
                        <w:tcW w:type="dxa" w:w="8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40</w:t>
                        </w:r>
                      </w:p>
                    </w:tc>
                  </w:tr>
                  <w:tr>
                    <w:tc>
                      <w:tcPr>
                        <w:tcW w:type="dxa" w:w="10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40~50</w:t>
                        </w:r>
                      </w:p>
                    </w:tc>
                    <w:tc>
                      <w:tcPr>
                        <w:tcW w:type="dxa" w:w="8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25~30</w:t>
                        </w:r>
                      </w:p>
                    </w:tc>
                  </w:tr>
                </w:tbl>
                <w:p>
                  <w:pPr>
                    <w:pStyle w:val="null3"/>
                    <w:ind w:firstLine="422"/>
                    <w:jc w:val="center"/>
                  </w:pPr>
                  <w:r>
                    <w:rPr>
                      <w:rFonts w:ascii="仿宋_GB2312" w:hAnsi="仿宋_GB2312" w:cs="仿宋_GB2312" w:eastAsia="仿宋_GB2312"/>
                      <w:sz w:val="24"/>
                      <w:b/>
                    </w:rPr>
                    <w:t>表</w:t>
                  </w:r>
                  <w:r>
                    <w:rPr>
                      <w:rFonts w:ascii="仿宋_GB2312" w:hAnsi="仿宋_GB2312" w:cs="仿宋_GB2312" w:eastAsia="仿宋_GB2312"/>
                      <w:sz w:val="24"/>
                      <w:b/>
                    </w:rPr>
                    <w:t>6  其它文字与汉字高度的关系</w:t>
                  </w:r>
                </w:p>
                <w:tbl>
                  <w:tblPr>
                    <w:tblBorders>
                      <w:top w:val="none" w:color="000000" w:sz="4"/>
                      <w:left w:val="none" w:color="000000" w:sz="4"/>
                      <w:bottom w:val="none" w:color="000000" w:sz="4"/>
                      <w:right w:val="none" w:color="000000" w:sz="4"/>
                      <w:insideH w:val="none"/>
                      <w:insideV w:val="none"/>
                    </w:tblBorders>
                  </w:tblPr>
                  <w:tblGrid>
                    <w:gridCol w:w="659"/>
                    <w:gridCol w:w="659"/>
                    <w:gridCol w:w="575"/>
                  </w:tblGrid>
                  <w:tr>
                    <w:tc>
                      <w:tcPr>
                        <w:tcW w:type="dxa" w:w="1318"/>
                        <w:gridSpan w:val="2"/>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其它文字</w:t>
                        </w:r>
                      </w:p>
                    </w:tc>
                    <w:tc>
                      <w:tcPr>
                        <w:tcW w:type="dxa" w:w="575"/>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与汉字高（</w:t>
                        </w:r>
                        <w:r>
                          <w:rPr>
                            <w:rFonts w:ascii="仿宋_GB2312" w:hAnsi="仿宋_GB2312" w:cs="仿宋_GB2312" w:eastAsia="仿宋_GB2312"/>
                            <w:sz w:val="24"/>
                          </w:rPr>
                          <w:t>h）的关系</w:t>
                        </w:r>
                      </w:p>
                    </w:tc>
                  </w:tr>
                  <w:tr>
                    <w:tc>
                      <w:tcPr>
                        <w:tcW w:type="dxa" w:w="659"/>
                        <w:vMerge w:val="restart"/>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拼音、英文和拉丁字</w:t>
                        </w:r>
                      </w:p>
                    </w:tc>
                    <w:tc>
                      <w:tcPr>
                        <w:tcW w:type="dxa" w:w="659"/>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大写</w:t>
                        </w:r>
                      </w:p>
                    </w:tc>
                    <w:tc>
                      <w:tcPr>
                        <w:tcW w:type="dxa" w:w="575"/>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1/2h</w:t>
                        </w:r>
                      </w:p>
                    </w:tc>
                  </w:tr>
                  <w:tr>
                    <w:tc>
                      <w:tcPr>
                        <w:tcW w:type="dxa" w:w="659"/>
                        <w:vMerge/>
                        <w:tcBorders>
                          <w:top w:val="single" w:color="000000" w:sz="4"/>
                          <w:left w:val="single" w:color="000000" w:sz="4"/>
                          <w:bottom w:val="single" w:color="000000" w:sz="4"/>
                          <w:right w:val="single" w:color="000000" w:sz="4"/>
                        </w:tcBorders>
                      </w:tcPr>
                      <w:p/>
                    </w:tc>
                    <w:tc>
                      <w:tcPr>
                        <w:tcW w:type="dxa" w:w="659"/>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小写</w:t>
                        </w:r>
                      </w:p>
                    </w:tc>
                    <w:tc>
                      <w:tcPr>
                        <w:tcW w:type="dxa" w:w="575"/>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1/3h</w:t>
                        </w:r>
                      </w:p>
                    </w:tc>
                  </w:tr>
                  <w:tr>
                    <w:tc>
                      <w:tcPr>
                        <w:tcW w:type="dxa" w:w="659"/>
                        <w:vMerge w:val="restart"/>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阿拉伯数字</w:t>
                        </w:r>
                      </w:p>
                    </w:tc>
                    <w:tc>
                      <w:tcPr>
                        <w:tcW w:type="dxa" w:w="659"/>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字高</w:t>
                        </w:r>
                      </w:p>
                    </w:tc>
                    <w:tc>
                      <w:tcPr>
                        <w:tcW w:type="dxa" w:w="575"/>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h</w:t>
                        </w:r>
                      </w:p>
                    </w:tc>
                  </w:tr>
                  <w:tr>
                    <w:tc>
                      <w:tcPr>
                        <w:tcW w:type="dxa" w:w="659"/>
                        <w:vMerge/>
                        <w:tcBorders>
                          <w:top w:val="single" w:color="000000" w:sz="4"/>
                          <w:left w:val="single" w:color="000000" w:sz="4"/>
                          <w:bottom w:val="single" w:color="000000" w:sz="4"/>
                          <w:right w:val="single" w:color="000000" w:sz="4"/>
                        </w:tcBorders>
                      </w:tcPr>
                      <w:p/>
                    </w:tc>
                    <w:tc>
                      <w:tcPr>
                        <w:tcW w:type="dxa" w:w="659"/>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字宽</w:t>
                        </w:r>
                      </w:p>
                    </w:tc>
                    <w:tc>
                      <w:tcPr>
                        <w:tcW w:type="dxa" w:w="575"/>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0.6h</w:t>
                        </w:r>
                      </w:p>
                    </w:tc>
                  </w:tr>
                  <w:tr>
                    <w:tc>
                      <w:tcPr>
                        <w:tcW w:type="dxa" w:w="659"/>
                        <w:vMerge/>
                        <w:tcBorders>
                          <w:top w:val="single" w:color="000000" w:sz="4"/>
                          <w:left w:val="single" w:color="000000" w:sz="4"/>
                          <w:bottom w:val="single" w:color="000000" w:sz="4"/>
                          <w:right w:val="single" w:color="000000" w:sz="4"/>
                        </w:tcBorders>
                      </w:tcPr>
                      <w:p/>
                    </w:tc>
                    <w:tc>
                      <w:tcPr>
                        <w:tcW w:type="dxa" w:w="659"/>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笔画粗</w:t>
                        </w:r>
                      </w:p>
                    </w:tc>
                    <w:tc>
                      <w:tcPr>
                        <w:tcW w:type="dxa" w:w="575"/>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1/6h</w:t>
                        </w:r>
                      </w:p>
                    </w:tc>
                  </w:tr>
                  <w:tr>
                    <w:tc>
                      <w:tcPr>
                        <w:tcW w:type="dxa" w:w="659"/>
                        <w:vMerge w:val="restart"/>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公里符号高</w:t>
                        </w:r>
                      </w:p>
                    </w:tc>
                    <w:tc>
                      <w:tcPr>
                        <w:tcW w:type="dxa" w:w="659"/>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k</w:t>
                        </w:r>
                      </w:p>
                    </w:tc>
                    <w:tc>
                      <w:tcPr>
                        <w:tcW w:type="dxa" w:w="575"/>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1/2h</w:t>
                        </w:r>
                      </w:p>
                    </w:tc>
                  </w:tr>
                  <w:tr>
                    <w:tc>
                      <w:tcPr>
                        <w:tcW w:type="dxa" w:w="659"/>
                        <w:vMerge/>
                        <w:tcBorders>
                          <w:top w:val="single" w:color="000000" w:sz="4"/>
                          <w:left w:val="single" w:color="000000" w:sz="4"/>
                          <w:bottom w:val="single" w:color="000000" w:sz="4"/>
                          <w:right w:val="single" w:color="000000" w:sz="4"/>
                        </w:tcBorders>
                      </w:tcPr>
                      <w:p/>
                    </w:tc>
                    <w:tc>
                      <w:tcPr>
                        <w:tcW w:type="dxa" w:w="659"/>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575"/>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1/3h</w:t>
                        </w:r>
                      </w:p>
                    </w:tc>
                  </w:tr>
                </w:tbl>
                <w:p>
                  <w:pPr>
                    <w:pStyle w:val="null3"/>
                    <w:ind w:firstLine="422"/>
                    <w:jc w:val="center"/>
                  </w:pPr>
                  <w:r>
                    <w:rPr>
                      <w:rFonts w:ascii="仿宋_GB2312" w:hAnsi="仿宋_GB2312" w:cs="仿宋_GB2312" w:eastAsia="仿宋_GB2312"/>
                      <w:sz w:val="24"/>
                      <w:b/>
                    </w:rPr>
                    <w:t>表</w:t>
                  </w:r>
                  <w:r>
                    <w:rPr>
                      <w:rFonts w:ascii="仿宋_GB2312" w:hAnsi="仿宋_GB2312" w:cs="仿宋_GB2312" w:eastAsia="仿宋_GB2312"/>
                      <w:sz w:val="24"/>
                      <w:b/>
                    </w:rPr>
                    <w:t>7  文字设置间隔、行距</w:t>
                  </w:r>
                </w:p>
                <w:tbl>
                  <w:tblPr>
                    <w:tblBorders>
                      <w:top w:val="none" w:color="000000" w:sz="4"/>
                      <w:left w:val="none" w:color="000000" w:sz="4"/>
                      <w:bottom w:val="none" w:color="000000" w:sz="4"/>
                      <w:right w:val="none" w:color="000000" w:sz="4"/>
                      <w:insideH w:val="none"/>
                      <w:insideV w:val="none"/>
                    </w:tblBorders>
                  </w:tblPr>
                  <w:tblGrid>
                    <w:gridCol w:w="661"/>
                    <w:gridCol w:w="657"/>
                    <w:gridCol w:w="577"/>
                  </w:tblGrid>
                  <w:tr>
                    <w:tc>
                      <w:tcPr>
                        <w:tcW w:type="dxa" w:w="661"/>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57"/>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文字设置</w:t>
                        </w:r>
                      </w:p>
                    </w:tc>
                    <w:tc>
                      <w:tcPr>
                        <w:tcW w:type="dxa" w:w="577"/>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与汉字高（</w:t>
                        </w:r>
                        <w:r>
                          <w:rPr>
                            <w:rFonts w:ascii="仿宋_GB2312" w:hAnsi="仿宋_GB2312" w:cs="仿宋_GB2312" w:eastAsia="仿宋_GB2312"/>
                            <w:sz w:val="24"/>
                          </w:rPr>
                          <w:t>h）的关系</w:t>
                        </w:r>
                      </w:p>
                    </w:tc>
                  </w:tr>
                  <w:tr>
                    <w:tc>
                      <w:tcPr>
                        <w:tcW w:type="dxa" w:w="661"/>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7"/>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字间距</w:t>
                        </w:r>
                      </w:p>
                    </w:tc>
                    <w:tc>
                      <w:tcPr>
                        <w:tcW w:type="dxa" w:w="577"/>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1/10h以上</w:t>
                        </w:r>
                      </w:p>
                    </w:tc>
                  </w:tr>
                  <w:tr>
                    <w:tc>
                      <w:tcPr>
                        <w:tcW w:type="dxa" w:w="661"/>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57"/>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笔画粗</w:t>
                        </w:r>
                      </w:p>
                    </w:tc>
                    <w:tc>
                      <w:tcPr>
                        <w:tcW w:type="dxa" w:w="577"/>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1/10h</w:t>
                        </w:r>
                      </w:p>
                    </w:tc>
                  </w:tr>
                  <w:tr>
                    <w:tc>
                      <w:tcPr>
                        <w:tcW w:type="dxa" w:w="661"/>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57"/>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字行距</w:t>
                        </w:r>
                      </w:p>
                    </w:tc>
                    <w:tc>
                      <w:tcPr>
                        <w:tcW w:type="dxa" w:w="577"/>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1/3h</w:t>
                        </w:r>
                      </w:p>
                    </w:tc>
                  </w:tr>
                  <w:tr>
                    <w:tc>
                      <w:tcPr>
                        <w:tcW w:type="dxa" w:w="661"/>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57"/>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距标志边缘最小距离</w:t>
                        </w:r>
                      </w:p>
                    </w:tc>
                    <w:tc>
                      <w:tcPr>
                        <w:tcW w:type="dxa" w:w="577"/>
                        <w:tcBorders>
                          <w:top w:val="single" w:color="000000" w:sz="4"/>
                          <w:left w:val="single" w:color="000000" w:sz="4"/>
                          <w:bottom w:val="single" w:color="000000" w:sz="4"/>
                          <w:right w:val="single" w:color="000000" w:sz="4"/>
                        </w:tcBorders>
                        <w:tcMar>
                          <w:top w:type="dxa" w:w="30"/>
                          <w:left w:type="dxa" w:w="105"/>
                          <w:bottom w:type="dxa" w:w="0"/>
                          <w:right w:type="dxa" w:w="105"/>
                        </w:tcMar>
                        <w:vAlign w:val="top"/>
                      </w:tcPr>
                      <w:p>
                        <w:pPr>
                          <w:pStyle w:val="null3"/>
                          <w:jc w:val="center"/>
                        </w:pPr>
                        <w:r>
                          <w:rPr>
                            <w:rFonts w:ascii="仿宋_GB2312" w:hAnsi="仿宋_GB2312" w:cs="仿宋_GB2312" w:eastAsia="仿宋_GB2312"/>
                            <w:sz w:val="24"/>
                          </w:rPr>
                          <w:t>2/5h</w:t>
                        </w:r>
                      </w:p>
                    </w:tc>
                  </w:tr>
                </w:tbl>
                <w:p>
                  <w:pPr>
                    <w:pStyle w:val="null3"/>
                    <w:ind w:firstLine="480"/>
                    <w:jc w:val="both"/>
                  </w:pPr>
                  <w:r>
                    <w:rPr>
                      <w:rFonts w:ascii="仿宋_GB2312" w:hAnsi="仿宋_GB2312" w:cs="仿宋_GB2312" w:eastAsia="仿宋_GB2312"/>
                      <w:sz w:val="24"/>
                    </w:rPr>
                    <w:t>4.6  道路标志材料要求</w:t>
                  </w:r>
                </w:p>
                <w:p>
                  <w:pPr>
                    <w:pStyle w:val="null3"/>
                    <w:ind w:firstLine="480"/>
                    <w:jc w:val="both"/>
                  </w:pPr>
                  <w:r>
                    <w:rPr>
                      <w:rFonts w:ascii="仿宋_GB2312" w:hAnsi="仿宋_GB2312" w:cs="仿宋_GB2312" w:eastAsia="仿宋_GB2312"/>
                      <w:sz w:val="24"/>
                    </w:rPr>
                    <w:t>交通标志尺寸规格按《城市道路交通标志和标线》</w:t>
                  </w:r>
                  <w:r>
                    <w:rPr>
                      <w:rFonts w:ascii="仿宋_GB2312" w:hAnsi="仿宋_GB2312" w:cs="仿宋_GB2312" w:eastAsia="仿宋_GB2312"/>
                      <w:sz w:val="24"/>
                    </w:rPr>
                    <w:t>GB5768.2-2009执行，制作时应严格按规范制作，指路标志尺寸偏差为其外形尺寸的±0.5%，其它标志外形尺寸偏差为±5mm。</w:t>
                  </w:r>
                </w:p>
                <w:p>
                  <w:pPr>
                    <w:pStyle w:val="null3"/>
                    <w:ind w:firstLine="480"/>
                    <w:jc w:val="both"/>
                  </w:pPr>
                  <w:r>
                    <w:rPr>
                      <w:rFonts w:ascii="仿宋_GB2312" w:hAnsi="仿宋_GB2312" w:cs="仿宋_GB2312" w:eastAsia="仿宋_GB2312"/>
                      <w:sz w:val="24"/>
                    </w:rPr>
                    <w:t>标志板应平整，表面无明显皱纹、凹痕或变形，底板每平方米范围内的平整度公差不应大于</w:t>
                  </w:r>
                  <w:r>
                    <w:rPr>
                      <w:rFonts w:ascii="仿宋_GB2312" w:hAnsi="仿宋_GB2312" w:cs="仿宋_GB2312" w:eastAsia="仿宋_GB2312"/>
                      <w:sz w:val="24"/>
                    </w:rPr>
                    <w:t>1.0mm。厂商生产的交通标志需经持有CMA标志的国家计量单位检测。标志版面须进行卷边或角铝加固,边缘和尖角须按照设计文件要求进行倒棱处理。</w:t>
                  </w:r>
                </w:p>
                <w:p>
                  <w:pPr>
                    <w:pStyle w:val="null3"/>
                    <w:ind w:firstLine="480"/>
                    <w:jc w:val="both"/>
                  </w:pPr>
                  <w:r>
                    <w:rPr>
                      <w:rFonts w:ascii="仿宋_GB2312" w:hAnsi="仿宋_GB2312" w:cs="仿宋_GB2312" w:eastAsia="仿宋_GB2312"/>
                      <w:sz w:val="24"/>
                    </w:rPr>
                    <w:t>标志面中所有反光材料应达</w:t>
                  </w:r>
                  <w:r>
                    <w:rPr>
                      <w:rFonts w:ascii="仿宋_GB2312" w:hAnsi="仿宋_GB2312" w:cs="仿宋_GB2312" w:eastAsia="仿宋_GB2312"/>
                      <w:sz w:val="24"/>
                    </w:rPr>
                    <w:t>V类，标志面上文字采用中英文对照，地名用汉语拼音，专用名词用英文，其它图案、符号均应符合《道路交通标志和标线》（GB5768-2009）》的规定。</w:t>
                  </w:r>
                </w:p>
                <w:p>
                  <w:pPr>
                    <w:pStyle w:val="null3"/>
                    <w:ind w:firstLine="480"/>
                    <w:jc w:val="both"/>
                  </w:pPr>
                  <w:r>
                    <w:rPr>
                      <w:rFonts w:ascii="仿宋_GB2312" w:hAnsi="仿宋_GB2312" w:cs="仿宋_GB2312" w:eastAsia="仿宋_GB2312"/>
                      <w:sz w:val="24"/>
                    </w:rPr>
                    <w:t>V类反光膜的逆反射系数保留值不得低于初始值的80%。</w:t>
                  </w:r>
                </w:p>
                <w:p>
                  <w:pPr>
                    <w:pStyle w:val="null3"/>
                    <w:ind w:firstLine="480"/>
                    <w:jc w:val="both"/>
                  </w:pPr>
                  <w:r>
                    <w:rPr>
                      <w:rFonts w:ascii="仿宋_GB2312" w:hAnsi="仿宋_GB2312" w:cs="仿宋_GB2312" w:eastAsia="仿宋_GB2312"/>
                      <w:sz w:val="24"/>
                    </w:rPr>
                    <w:t>禁令、警告、指示标志、指路标志底板采用铝合金材料；标志板与支架或立柱应能固定连成一体；标志板应具有抗变形强度（标志板受到任意方向的</w:t>
                  </w:r>
                  <w:r>
                    <w:rPr>
                      <w:rFonts w:ascii="仿宋_GB2312" w:hAnsi="仿宋_GB2312" w:cs="仿宋_GB2312" w:eastAsia="仿宋_GB2312"/>
                      <w:sz w:val="24"/>
                    </w:rPr>
                    <w:t>500N的力的作用时，标志板的残余变形不应大于100mm/m²；铝合金板的化学成分，冷轧板材牌号、规格、力学性能、尺寸应符合GB3190、GB3880、GB3194的规定。</w:t>
                  </w:r>
                </w:p>
                <w:p>
                  <w:pPr>
                    <w:pStyle w:val="null3"/>
                    <w:ind w:firstLine="480"/>
                    <w:jc w:val="both"/>
                  </w:pPr>
                  <w:r>
                    <w:rPr>
                      <w:rFonts w:ascii="仿宋_GB2312" w:hAnsi="仿宋_GB2312" w:cs="仿宋_GB2312" w:eastAsia="仿宋_GB2312"/>
                      <w:sz w:val="24"/>
                    </w:rPr>
                    <w:t>交通标志立柱采用钢管材料，钢柱及螺丝、螺帽等衔接件应进行热镀锌处理；标志牌基础土基需夯实，禁令、警告、指示标志基础土基压实度</w:t>
                  </w:r>
                  <w:r>
                    <w:rPr>
                      <w:rFonts w:ascii="仿宋_GB2312" w:hAnsi="仿宋_GB2312" w:cs="仿宋_GB2312" w:eastAsia="仿宋_GB2312"/>
                      <w:sz w:val="24"/>
                    </w:rPr>
                    <w:t>≥85％；指路标志基础土基压实度≥90％；基础开挖时，若遇不良土基，请与设计院联系现场协商处理方法。</w:t>
                  </w:r>
                </w:p>
                <w:p>
                  <w:pPr>
                    <w:pStyle w:val="null3"/>
                    <w:ind w:firstLine="480"/>
                    <w:jc w:val="both"/>
                  </w:pPr>
                  <w:r>
                    <w:rPr>
                      <w:rFonts w:ascii="仿宋_GB2312" w:hAnsi="仿宋_GB2312" w:cs="仿宋_GB2312" w:eastAsia="仿宋_GB2312"/>
                      <w:sz w:val="24"/>
                    </w:rPr>
                    <w:t>部分小型标志可根据要求悬挂于其他市政设施上。具体标志牌布置以海口市公安局交警支队意见为主。</w:t>
                  </w:r>
                </w:p>
                <w:p>
                  <w:pPr>
                    <w:pStyle w:val="null3"/>
                    <w:ind w:firstLine="480"/>
                    <w:jc w:val="both"/>
                  </w:pPr>
                  <w:r>
                    <w:rPr>
                      <w:rFonts w:ascii="仿宋_GB2312" w:hAnsi="仿宋_GB2312" w:cs="仿宋_GB2312" w:eastAsia="仿宋_GB2312"/>
                      <w:sz w:val="24"/>
                    </w:rPr>
                    <w:t>4.7  反光膜的质量保证要求</w:t>
                  </w:r>
                </w:p>
                <w:p>
                  <w:pPr>
                    <w:pStyle w:val="null3"/>
                    <w:ind w:firstLine="480"/>
                    <w:jc w:val="both"/>
                  </w:pPr>
                  <w:r>
                    <w:rPr>
                      <w:rFonts w:ascii="仿宋_GB2312" w:hAnsi="仿宋_GB2312" w:cs="仿宋_GB2312" w:eastAsia="仿宋_GB2312"/>
                      <w:sz w:val="24"/>
                    </w:rPr>
                    <w:t>1）反光膜应有平滑，光洁的外表面。</w:t>
                  </w:r>
                </w:p>
                <w:p>
                  <w:pPr>
                    <w:pStyle w:val="null3"/>
                    <w:ind w:firstLine="480"/>
                    <w:jc w:val="both"/>
                  </w:pPr>
                  <w:r>
                    <w:rPr>
                      <w:rFonts w:ascii="仿宋_GB2312" w:hAnsi="仿宋_GB2312" w:cs="仿宋_GB2312" w:eastAsia="仿宋_GB2312"/>
                      <w:sz w:val="24"/>
                    </w:rPr>
                    <w:t>2）反光膜的色度性能，反光性能，抗冲击性能，耐盐雾腐蚀性能，耐溶剂性能，耐高低温性能，耐弯曲性能，收缩性能，附着性能都必须达到GB/T18833-2012中的测试要求。</w:t>
                  </w:r>
                </w:p>
                <w:p>
                  <w:pPr>
                    <w:pStyle w:val="null3"/>
                    <w:ind w:firstLine="480"/>
                    <w:jc w:val="both"/>
                  </w:pPr>
                  <w:r>
                    <w:rPr>
                      <w:rFonts w:ascii="仿宋_GB2312" w:hAnsi="仿宋_GB2312" w:cs="仿宋_GB2312" w:eastAsia="仿宋_GB2312"/>
                      <w:sz w:val="24"/>
                    </w:rPr>
                    <w:t>3）在符合国标GB/T18833-2012与</w:t>
                  </w:r>
                  <w:r>
                    <w:rPr>
                      <w:rFonts w:ascii="仿宋_GB2312" w:hAnsi="仿宋_GB2312" w:cs="仿宋_GB2312" w:eastAsia="仿宋_GB2312"/>
                      <w:sz w:val="24"/>
                    </w:rPr>
                    <w:t>GB5768-</w:t>
                  </w:r>
                  <w:r>
                    <w:rPr>
                      <w:rFonts w:ascii="仿宋_GB2312" w:hAnsi="仿宋_GB2312" w:cs="仿宋_GB2312" w:eastAsia="仿宋_GB2312"/>
                      <w:sz w:val="24"/>
                    </w:rPr>
                    <w:t>2022</w:t>
                  </w:r>
                  <w:r>
                    <w:rPr>
                      <w:rFonts w:ascii="仿宋_GB2312" w:hAnsi="仿宋_GB2312" w:cs="仿宋_GB2312" w:eastAsia="仿宋_GB2312"/>
                      <w:sz w:val="24"/>
                    </w:rPr>
                    <w:t>的前提下，强调耐候性。反光膜厂家应能提供书面担保，</w:t>
                  </w:r>
                  <w:r>
                    <w:rPr>
                      <w:rFonts w:ascii="仿宋_GB2312" w:hAnsi="仿宋_GB2312" w:cs="仿宋_GB2312" w:eastAsia="仿宋_GB2312"/>
                      <w:sz w:val="24"/>
                    </w:rPr>
                    <w:t>V类提供不低于十年的质量担保，反光膜的质量担保能在厂家的官方网站上进行登记、查询和确认。具体担保内容如下：</w:t>
                  </w:r>
                </w:p>
                <w:p>
                  <w:pPr>
                    <w:pStyle w:val="null3"/>
                    <w:ind w:firstLine="480"/>
                    <w:jc w:val="both"/>
                  </w:pPr>
                  <w:r>
                    <w:rPr>
                      <w:rFonts w:ascii="仿宋_GB2312" w:hAnsi="仿宋_GB2312" w:cs="仿宋_GB2312" w:eastAsia="仿宋_GB2312"/>
                      <w:sz w:val="24"/>
                    </w:rPr>
                    <w:t>在担保期内，标志牌不出现以下不良情况：</w:t>
                  </w:r>
                </w:p>
                <w:p>
                  <w:pPr>
                    <w:pStyle w:val="null3"/>
                    <w:ind w:firstLine="480"/>
                    <w:jc w:val="both"/>
                  </w:pPr>
                  <w:r>
                    <w:rPr>
                      <w:rFonts w:ascii="仿宋_GB2312" w:hAnsi="仿宋_GB2312" w:cs="仿宋_GB2312" w:eastAsia="仿宋_GB2312"/>
                      <w:sz w:val="24"/>
                    </w:rPr>
                    <w:t>气泡，褶皱、褪色、粉化等。</w:t>
                  </w:r>
                </w:p>
                <w:p>
                  <w:pPr>
                    <w:pStyle w:val="null3"/>
                    <w:ind w:firstLine="480"/>
                    <w:jc w:val="both"/>
                  </w:pPr>
                  <w:r>
                    <w:rPr>
                      <w:rFonts w:ascii="仿宋_GB2312" w:hAnsi="仿宋_GB2312" w:cs="仿宋_GB2312" w:eastAsia="仿宋_GB2312"/>
                      <w:sz w:val="24"/>
                    </w:rPr>
                    <w:t>合同期内</w:t>
                  </w:r>
                  <w:r>
                    <w:rPr>
                      <w:rFonts w:ascii="仿宋_GB2312" w:hAnsi="仿宋_GB2312" w:cs="仿宋_GB2312" w:eastAsia="仿宋_GB2312"/>
                      <w:sz w:val="24"/>
                    </w:rPr>
                    <w:t>V类反光膜的逆反射系数保留值不得低于初始值的80%。</w:t>
                  </w:r>
                </w:p>
                <w:p>
                  <w:pPr>
                    <w:pStyle w:val="null3"/>
                    <w:ind w:firstLine="480"/>
                    <w:jc w:val="both"/>
                  </w:pPr>
                  <w:r>
                    <w:rPr>
                      <w:rFonts w:ascii="仿宋_GB2312" w:hAnsi="仿宋_GB2312" w:cs="仿宋_GB2312" w:eastAsia="仿宋_GB2312"/>
                      <w:sz w:val="24"/>
                    </w:rPr>
                    <w:t>4）在施工完成后，反光膜厂家能提供检测设备和委派技术人员，协助业主进行反光性能的检测和质量验收。</w:t>
                  </w:r>
                </w:p>
                <w:p>
                  <w:pPr>
                    <w:pStyle w:val="null3"/>
                    <w:ind w:firstLine="480"/>
                    <w:jc w:val="both"/>
                  </w:pPr>
                  <w:r>
                    <w:rPr>
                      <w:rFonts w:ascii="仿宋_GB2312" w:hAnsi="仿宋_GB2312" w:cs="仿宋_GB2312" w:eastAsia="仿宋_GB2312"/>
                      <w:sz w:val="24"/>
                    </w:rPr>
                    <w:t>4.8  交通标志的制作工艺要求</w:t>
                  </w:r>
                </w:p>
                <w:p>
                  <w:pPr>
                    <w:pStyle w:val="null3"/>
                    <w:ind w:firstLine="480"/>
                    <w:jc w:val="both"/>
                  </w:pPr>
                  <w:r>
                    <w:rPr>
                      <w:rFonts w:ascii="仿宋_GB2312" w:hAnsi="仿宋_GB2312" w:cs="仿宋_GB2312" w:eastAsia="仿宋_GB2312"/>
                      <w:sz w:val="24"/>
                    </w:rPr>
                    <w:t>1）反光膜应尽可能减少拼接。当标志板的长度或直径小于反光膜产品最大宽度时，不应有拼接缝。</w:t>
                  </w:r>
                </w:p>
                <w:p>
                  <w:pPr>
                    <w:pStyle w:val="null3"/>
                    <w:ind w:firstLine="480"/>
                    <w:jc w:val="both"/>
                  </w:pPr>
                  <w:r>
                    <w:rPr>
                      <w:rFonts w:ascii="仿宋_GB2312" w:hAnsi="仿宋_GB2312" w:cs="仿宋_GB2312" w:eastAsia="仿宋_GB2312"/>
                      <w:sz w:val="24"/>
                    </w:rPr>
                    <w:t>2）当粘贴反光膜不可避免的出现接缝时，应使用反光膜产品的最大宽度进行拼接。拼接以搭接为主，重叠部分不应小于5mm，当需要丝网印刷时，可以平接，其间隙不应超过1mm，距标志边缘5cm内不得有拼接。</w:t>
                  </w:r>
                </w:p>
                <w:p>
                  <w:pPr>
                    <w:pStyle w:val="null3"/>
                    <w:ind w:firstLine="480"/>
                    <w:jc w:val="both"/>
                  </w:pPr>
                  <w:r>
                    <w:rPr>
                      <w:rFonts w:ascii="仿宋_GB2312" w:hAnsi="仿宋_GB2312" w:cs="仿宋_GB2312" w:eastAsia="仿宋_GB2312"/>
                      <w:sz w:val="24"/>
                    </w:rPr>
                    <w:t>3）在白天环境下，标志牌面不应存在以下缺陷</w:t>
                  </w:r>
                </w:p>
                <w:p>
                  <w:pPr>
                    <w:pStyle w:val="null3"/>
                    <w:ind w:firstLine="480"/>
                    <w:jc w:val="both"/>
                  </w:pPr>
                  <w:r>
                    <w:rPr>
                      <w:rFonts w:ascii="仿宋_GB2312" w:hAnsi="仿宋_GB2312" w:cs="仿宋_GB2312" w:eastAsia="仿宋_GB2312"/>
                      <w:sz w:val="24"/>
                    </w:rPr>
                    <w:t>裂缝、起皱，边缘剥离；明显的划痕，起皱，损伤和颜色不均匀；在任何一处面积为</w:t>
                  </w:r>
                  <w:r>
                    <w:rPr>
                      <w:rFonts w:ascii="仿宋_GB2312" w:hAnsi="仿宋_GB2312" w:cs="仿宋_GB2312" w:eastAsia="仿宋_GB2312"/>
                      <w:sz w:val="24"/>
                    </w:rPr>
                    <w:t>50cm×50cm的表面上，存在总面积大于10mm2的气泡；逆反射性能不均匀。</w:t>
                  </w:r>
                </w:p>
                <w:p>
                  <w:pPr>
                    <w:pStyle w:val="null3"/>
                    <w:ind w:firstLine="480"/>
                    <w:jc w:val="both"/>
                  </w:pPr>
                  <w:r>
                    <w:rPr>
                      <w:rFonts w:ascii="仿宋_GB2312" w:hAnsi="仿宋_GB2312" w:cs="仿宋_GB2312" w:eastAsia="仿宋_GB2312"/>
                      <w:sz w:val="24"/>
                    </w:rPr>
                    <w:t>4）同一标志牌版面必须采用同一级别的反光膜。</w:t>
                  </w:r>
                </w:p>
                <w:p>
                  <w:pPr>
                    <w:pStyle w:val="null3"/>
                    <w:ind w:firstLine="480"/>
                    <w:jc w:val="both"/>
                  </w:pPr>
                  <w:r>
                    <w:rPr>
                      <w:rFonts w:ascii="仿宋_GB2312" w:hAnsi="仿宋_GB2312" w:cs="仿宋_GB2312" w:eastAsia="仿宋_GB2312"/>
                      <w:sz w:val="24"/>
                    </w:rPr>
                    <w:t>5）相同底色标志套用时，应使用边框；不同底色标志套用时，套用的禁令标志一般不使用衬边，套用的指路标志一般不使用边框，道路编号标志套用于指路标志上，也可使用边框。</w:t>
                  </w:r>
                </w:p>
                <w:p>
                  <w:pPr>
                    <w:pStyle w:val="null3"/>
                    <w:ind w:firstLine="480"/>
                    <w:jc w:val="both"/>
                  </w:pPr>
                  <w:r>
                    <w:rPr>
                      <w:rFonts w:ascii="仿宋_GB2312" w:hAnsi="仿宋_GB2312" w:cs="仿宋_GB2312" w:eastAsia="仿宋_GB2312"/>
                      <w:sz w:val="24"/>
                    </w:rPr>
                    <w:t>4.9  其他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1）施工队在施工前，应组织施工人员对设计文件、图纸、资料认真进行熟悉，有不清楚地方，及时与业主和设计单位沟通。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2）施工队伍在研究设计图纸和资料过程中，需与现场实际情况核对，并于必要时进行补充调查，以便提前做好施工准备工作。如发现与设计不符的情况，及时与业主和设计单位沟通。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3）所有交通工程设施应由交警部门核实后购买及安装；交通工程现场施工应有交警部门指导施工，可以交警部门现场指导意见为准。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4）所有设备应选用国家现行的技术先进的产品，不得采用淘汰的产品。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项目沿线交叉路口的大型指路标志牌、大型分车道标志牌版面大样图在制作和安装前报我支队设施大队审核通过后方可安装，确保与我市现有标志牌版面统一，同时F型标志牌的背面应粘贴施工单位的基本信息铭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6）交通类杆件的螺丝、螺帽等衔接件应采用热镀锌处理，避免影响后期的使用和管养工作。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7）其他未尽事宜按国家相关行业技术标准和规范要求进行，以交警部门现场指导意见为准。</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标志牌大样图</w:t>
                  </w:r>
                </w:p>
                <w:p>
                  <w:pPr>
                    <w:pStyle w:val="null3"/>
                    <w:ind w:firstLine="482"/>
                    <w:jc w:val="both"/>
                  </w:pPr>
                  <w:r>
                    <w:drawing>
                      <wp:inline distT="0" distR="0" distB="0" distL="0">
                        <wp:extent cx="1207135" cy="208637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9"/>
                                <a:stretch>
                                  <a:fillRect/>
                                </a:stretch>
                              </pic:blipFill>
                              <pic:spPr>
                                <a:xfrm>
                                  <a:off x="0" y="0"/>
                                  <a:ext cx="1207135" cy="2086370"/>
                                </a:xfrm>
                                <a:prstGeom prst="rect">
                                  <a:avLst/>
                                </a:prstGeom>
                              </pic:spPr>
                            </pic:pic>
                          </a:graphicData>
                        </a:graphic>
                      </wp:inline>
                    </w:drawing>
                  </w:r>
                </w:p>
                <w:p>
                  <w:pPr>
                    <w:pStyle w:val="null3"/>
                    <w:ind w:firstLine="482"/>
                    <w:jc w:val="both"/>
                  </w:pPr>
                  <w:r>
                    <w:drawing>
                      <wp:inline distT="0" distR="0" distB="0" distL="0">
                        <wp:extent cx="1207135" cy="1844643"/>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0"/>
                                <a:stretch>
                                  <a:fillRect/>
                                </a:stretch>
                              </pic:blipFill>
                              <pic:spPr>
                                <a:xfrm>
                                  <a:off x="0" y="0"/>
                                  <a:ext cx="1207135" cy="1844643"/>
                                </a:xfrm>
                                <a:prstGeom prst="rect">
                                  <a:avLst/>
                                </a:prstGeom>
                              </pic:spPr>
                            </pic:pic>
                          </a:graphicData>
                        </a:graphic>
                      </wp:inline>
                    </w:drawing>
                  </w:r>
                </w:p>
                <w:p>
                  <w:pPr>
                    <w:pStyle w:val="null3"/>
                    <w:ind w:firstLine="482"/>
                    <w:jc w:val="both"/>
                  </w:pPr>
                  <w:r>
                    <w:drawing>
                      <wp:inline distT="0" distR="0" distB="0" distL="0">
                        <wp:extent cx="1207135" cy="1822090"/>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1"/>
                                <a:stretch>
                                  <a:fillRect/>
                                </a:stretch>
                              </pic:blipFill>
                              <pic:spPr>
                                <a:xfrm>
                                  <a:off x="0" y="0"/>
                                  <a:ext cx="1207135" cy="1822090"/>
                                </a:xfrm>
                                <a:prstGeom prst="rect">
                                  <a:avLst/>
                                </a:prstGeom>
                              </pic:spPr>
                            </pic:pic>
                          </a:graphicData>
                        </a:graphic>
                      </wp:inline>
                    </w:drawing>
                  </w:r>
                </w:p>
                <w:p>
                  <w:pPr>
                    <w:pStyle w:val="null3"/>
                    <w:ind w:firstLine="482"/>
                    <w:jc w:val="both"/>
                  </w:pPr>
                  <w:r>
                    <w:drawing>
                      <wp:inline distT="0" distR="0" distB="0" distL="0">
                        <wp:extent cx="1207135" cy="1663036"/>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2"/>
                                <a:stretch>
                                  <a:fillRect/>
                                </a:stretch>
                              </pic:blipFill>
                              <pic:spPr>
                                <a:xfrm>
                                  <a:off x="0" y="0"/>
                                  <a:ext cx="1207135" cy="1663036"/>
                                </a:xfrm>
                                <a:prstGeom prst="rect">
                                  <a:avLst/>
                                </a:prstGeom>
                              </pic:spPr>
                            </pic:pic>
                          </a:graphicData>
                        </a:graphic>
                      </wp:inline>
                    </w:drawing>
                  </w:r>
                </w:p>
                <w:p>
                  <w:pPr>
                    <w:pStyle w:val="null3"/>
                    <w:ind w:firstLine="480"/>
                    <w:jc w:val="both"/>
                  </w:pPr>
                  <w:r>
                    <w:rPr>
                      <w:rFonts w:ascii="仿宋_GB2312" w:hAnsi="仿宋_GB2312" w:cs="仿宋_GB2312" w:eastAsia="仿宋_GB2312"/>
                      <w:sz w:val="24"/>
                    </w:rPr>
                    <w:t>六、</w:t>
                  </w:r>
                  <w:r>
                    <w:rPr>
                      <w:rFonts w:ascii="仿宋_GB2312" w:hAnsi="仿宋_GB2312" w:cs="仿宋_GB2312" w:eastAsia="仿宋_GB2312"/>
                      <w:sz w:val="24"/>
                    </w:rPr>
                    <w:t>施工注意事项</w:t>
                  </w:r>
                </w:p>
                <w:p>
                  <w:pPr>
                    <w:pStyle w:val="null3"/>
                    <w:ind w:firstLine="480"/>
                    <w:jc w:val="both"/>
                  </w:pPr>
                  <w:r>
                    <w:rPr>
                      <w:rFonts w:ascii="仿宋_GB2312" w:hAnsi="仿宋_GB2312" w:cs="仿宋_GB2312" w:eastAsia="仿宋_GB2312"/>
                      <w:sz w:val="24"/>
                    </w:rPr>
                    <w:t>1、所有</w:t>
                  </w:r>
                  <w:r>
                    <w:rPr>
                      <w:rFonts w:ascii="仿宋_GB2312" w:hAnsi="仿宋_GB2312" w:cs="仿宋_GB2312" w:eastAsia="仿宋_GB2312"/>
                      <w:sz w:val="24"/>
                    </w:rPr>
                    <w:t>建设</w:t>
                  </w:r>
                  <w:r>
                    <w:rPr>
                      <w:rFonts w:ascii="仿宋_GB2312" w:hAnsi="仿宋_GB2312" w:cs="仿宋_GB2312" w:eastAsia="仿宋_GB2312"/>
                      <w:sz w:val="24"/>
                    </w:rPr>
                    <w:t>内容，需要</w:t>
                  </w:r>
                  <w:r>
                    <w:rPr>
                      <w:rFonts w:ascii="仿宋_GB2312" w:hAnsi="仿宋_GB2312" w:cs="仿宋_GB2312" w:eastAsia="仿宋_GB2312"/>
                      <w:sz w:val="24"/>
                    </w:rPr>
                    <w:t>业主单位确认后</w:t>
                  </w:r>
                  <w:r>
                    <w:rPr>
                      <w:rFonts w:ascii="仿宋_GB2312" w:hAnsi="仿宋_GB2312" w:cs="仿宋_GB2312" w:eastAsia="仿宋_GB2312"/>
                      <w:sz w:val="24"/>
                    </w:rPr>
                    <w:t>再实施基础</w:t>
                  </w:r>
                  <w:r>
                    <w:rPr>
                      <w:rFonts w:ascii="仿宋_GB2312" w:hAnsi="仿宋_GB2312" w:cs="仿宋_GB2312" w:eastAsia="仿宋_GB2312"/>
                      <w:sz w:val="24"/>
                    </w:rPr>
                    <w:t>浇筑</w:t>
                  </w:r>
                  <w:r>
                    <w:rPr>
                      <w:rFonts w:ascii="仿宋_GB2312" w:hAnsi="仿宋_GB2312" w:cs="仿宋_GB2312" w:eastAsia="仿宋_GB2312"/>
                      <w:sz w:val="24"/>
                    </w:rPr>
                    <w:t>、安装均应按图施工，如遇有特殊情况需变动时应与设计单位和</w:t>
                  </w:r>
                  <w:r>
                    <w:rPr>
                      <w:rFonts w:ascii="仿宋_GB2312" w:hAnsi="仿宋_GB2312" w:cs="仿宋_GB2312" w:eastAsia="仿宋_GB2312"/>
                      <w:sz w:val="24"/>
                    </w:rPr>
                    <w:t>业主单位</w:t>
                  </w:r>
                  <w:r>
                    <w:rPr>
                      <w:rFonts w:ascii="仿宋_GB2312" w:hAnsi="仿宋_GB2312" w:cs="仿宋_GB2312" w:eastAsia="仿宋_GB2312"/>
                      <w:sz w:val="24"/>
                    </w:rPr>
                    <w:t>协商解决。</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、所有标志位置按照设计实施，但施工后不得互相遮挡，若出现遮挡，应现场调整标志位置。</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、版面尺寸按不同版面内容确定，尽量达到统一，版面中汉字间距、笔划粗度、最小行距、边距等均以国标为依据，采用中英文对照方式。</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、标志基础施工时，必须结合实际情况，并注意避开各种地下管线及上空电线，以免发生事故。</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、基础混凝土达到设计强度的</w:t>
                  </w:r>
                  <w:r>
                    <w:rPr>
                      <w:rFonts w:ascii="仿宋_GB2312" w:hAnsi="仿宋_GB2312" w:cs="仿宋_GB2312" w:eastAsia="仿宋_GB2312"/>
                      <w:sz w:val="24"/>
                    </w:rPr>
                    <w:t>70%以后，才能安装标志立柱及标志板等支撑结构。</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、所有标志均不得侵入道路净空及建筑限界。</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、在运输及吊装标志板过程中，应避免对标志板及反光膜造成损伤。</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、所有指路标志牌均应在与业主单位、建设单位沟通后再行实施。</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、所有设备应选用国家现行的技术先进的产品，不得采用淘汰的产品。</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、其它未尽事宜按现行相关技术规范要求进行。</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施工单位施工前应组织勘察现场，测量并确定工程量、编制施工方案，实际施工工程量不得多于招标工程量，如招标工程量因现场情况发生改变，比实际工程量多，同样以实际施工工程量为准，施工单位不得以已定货或已制作等为理由，将多出部分计入实际工程量。</w:t>
                  </w:r>
                </w:p>
                <w:p>
                  <w:pPr>
                    <w:pStyle w:val="null3"/>
                    <w:ind w:right="210" w:firstLine="480"/>
                    <w:jc w:val="left"/>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rPr>
              <w:t>2.规格尺寸、重量类参数允许不超过±5%的偏差（上述技术参数已有要求的除外）</w:t>
            </w:r>
          </w:p>
          <w:p>
            <w:pPr>
              <w:pStyle w:val="null3"/>
              <w:jc w:val="both"/>
            </w:pPr>
            <w:r>
              <w:rPr>
                <w:rFonts w:ascii="仿宋_GB2312" w:hAnsi="仿宋_GB2312" w:cs="仿宋_GB2312" w:eastAsia="仿宋_GB2312"/>
                <w:sz w:val="24"/>
              </w:rPr>
              <w:t>3.招标文件中所有的技术参数及其性能（配置）仅起参考作用，目的是为了满足采购人工作的基本要求，投标产品满足（实质相当于）或优于招标文件的采购需求均可。</w:t>
            </w:r>
          </w:p>
          <w:p>
            <w:pPr>
              <w:pStyle w:val="null3"/>
              <w:jc w:val="both"/>
            </w:pPr>
            <w:r>
              <w:rPr>
                <w:rFonts w:ascii="仿宋_GB2312" w:hAnsi="仿宋_GB2312" w:cs="仿宋_GB2312" w:eastAsia="仿宋_GB2312"/>
                <w:sz w:val="24"/>
              </w:rPr>
              <w:t>4.供应商需对响应的“技术参数、规格、功能及其他要求”内容真实性负责，如虚假响应谋取成交资格，经核实发现，取消成交资格。</w:t>
            </w:r>
          </w:p>
          <w:p>
            <w:pPr>
              <w:pStyle w:val="null3"/>
              <w:jc w:val="both"/>
            </w:pPr>
            <w:r>
              <w:rPr>
                <w:rFonts w:ascii="仿宋_GB2312" w:hAnsi="仿宋_GB2312" w:cs="仿宋_GB2312" w:eastAsia="仿宋_GB2312"/>
                <w:sz w:val="24"/>
              </w:rPr>
              <w:t>5. 所有产品均为标准化设备，不接受定制产品（除特殊需求外）。</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质量保质期</w:t>
            </w:r>
          </w:p>
          <w:p>
            <w:pPr>
              <w:pStyle w:val="null3"/>
              <w:jc w:val="both"/>
            </w:pPr>
            <w:r>
              <w:rPr>
                <w:rFonts w:ascii="仿宋_GB2312" w:hAnsi="仿宋_GB2312" w:cs="仿宋_GB2312" w:eastAsia="仿宋_GB2312"/>
                <w:sz w:val="24"/>
              </w:rPr>
              <w:t>本项目的质保期</w:t>
            </w:r>
            <w:r>
              <w:rPr>
                <w:rFonts w:ascii="仿宋_GB2312" w:hAnsi="仿宋_GB2312" w:cs="仿宋_GB2312" w:eastAsia="仿宋_GB2312"/>
                <w:sz w:val="24"/>
              </w:rPr>
              <w:t>更换设备</w:t>
            </w:r>
            <w:r>
              <w:rPr>
                <w:rFonts w:ascii="仿宋_GB2312" w:hAnsi="仿宋_GB2312" w:cs="仿宋_GB2312" w:eastAsia="仿宋_GB2312"/>
                <w:sz w:val="24"/>
              </w:rPr>
              <w:t>为</w:t>
            </w:r>
            <w:r>
              <w:rPr>
                <w:rFonts w:ascii="仿宋_GB2312" w:hAnsi="仿宋_GB2312" w:cs="仿宋_GB2312" w:eastAsia="仿宋_GB2312"/>
                <w:sz w:val="24"/>
              </w:rPr>
              <w:t>1</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质保期从整体验收合格之日起计算，免费上门服务。（采购清单中免费保修期有特殊要求的按照采购清单中的为准）。若厂家有超过期限免费保修期的按厂家方案执行。）</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售后服务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1.供货方中标后需在项目所在地具有相应的技术支持及售后服务网点，确保设备使用的用户能够得到及时优质的售后服务。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在保质期以内，投标人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3.在保质期满后，投标人应保证以合理的价格提供备件和保养服务，当发生故障时，投标人应按保质期内同样的要求进行维修处理，供应商仍应负责对货物提供终生维修服务或对服务提供咨询服务，只收取配件成本或服务成本。</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除招标文件明确外，未经业主同意，中标供应商不得以任何方式转包或分包本项目。</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签订合同：中标供应商在收到《中标通知书》</w:t>
            </w:r>
            <w:r>
              <w:rPr>
                <w:rFonts w:ascii="仿宋_GB2312" w:hAnsi="仿宋_GB2312" w:cs="仿宋_GB2312" w:eastAsia="仿宋_GB2312"/>
                <w:sz w:val="24"/>
              </w:rPr>
              <w:t>5个工作日与业主签订合同。</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其它注意事项</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1.提供正常系统维护。</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2.中标方负责</w:t>
            </w:r>
            <w:r>
              <w:rPr>
                <w:rFonts w:ascii="仿宋_GB2312" w:hAnsi="仿宋_GB2312" w:cs="仿宋_GB2312" w:eastAsia="仿宋_GB2312"/>
                <w:sz w:val="24"/>
              </w:rPr>
              <w:t>所有更换或维修的设备，均包含拆除、安装与调试等工作。</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3.未尽事宜由双方商议解决。</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4.本项目最高限价金额为</w:t>
            </w:r>
            <w:r>
              <w:rPr>
                <w:rFonts w:ascii="仿宋_GB2312" w:hAnsi="仿宋_GB2312" w:cs="仿宋_GB2312" w:eastAsia="仿宋_GB2312"/>
                <w:sz w:val="24"/>
              </w:rPr>
              <w:t>4400000.00</w:t>
            </w:r>
            <w:r>
              <w:rPr>
                <w:rFonts w:ascii="仿宋_GB2312" w:hAnsi="仿宋_GB2312" w:cs="仿宋_GB2312" w:eastAsia="仿宋_GB2312"/>
                <w:sz w:val="24"/>
              </w:rPr>
              <w:t>元，供应商的报价不得超过此最高限价，否则按无效投标处理。</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5.安全标准：符合国家、地方和行业的相关政策、法规。</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6.项目的实质性要求：按招标文件要求实施。</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7.合同的实质性条款：采购人与成交供应商的名称和住所、标的、数量、质量、价款或者报酬、履行期限及地点和方式、验收要求、违约责任、解决争议的方法等内容。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8.法律法规规定的强制性标准：无</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w:t>
            </w:r>
            <w:r>
              <w:rPr>
                <w:rFonts w:ascii="仿宋_GB2312" w:hAnsi="仿宋_GB2312" w:cs="仿宋_GB2312" w:eastAsia="仿宋_GB2312"/>
                <w:sz w:val="24"/>
              </w:rPr>
              <w:t>本项目所有需求均</w:t>
            </w:r>
            <w:r>
              <w:rPr>
                <w:rFonts w:ascii="仿宋_GB2312" w:hAnsi="仿宋_GB2312" w:cs="仿宋_GB2312" w:eastAsia="仿宋_GB2312"/>
                <w:sz w:val="24"/>
              </w:rPr>
              <w:t>为实质性条款，必须完全响应，不允许负偏离，否则作无效响应处理。</w:t>
            </w:r>
          </w:p>
          <w:p>
            <w:pPr>
              <w:pStyle w:val="null3"/>
              <w:jc w:val="both"/>
            </w:pPr>
            <w:r>
              <w:rPr>
                <w:rFonts w:ascii="仿宋_GB2312" w:hAnsi="仿宋_GB2312" w:cs="仿宋_GB2312" w:eastAsia="仿宋_GB2312"/>
                <w:sz w:val="24"/>
              </w:rPr>
              <w:t>10.9.付款方式：</w:t>
            </w:r>
            <w:r>
              <w:br/>
            </w:r>
            <w:r>
              <w:rPr>
                <w:rFonts w:ascii="仿宋_GB2312" w:hAnsi="仿宋_GB2312" w:cs="仿宋_GB2312" w:eastAsia="仿宋_GB2312"/>
                <w:sz w:val="24"/>
              </w:rPr>
              <w:t xml:space="preserve"> </w:t>
            </w:r>
            <w:r>
              <w:rPr>
                <w:rFonts w:ascii="仿宋_GB2312" w:hAnsi="仿宋_GB2312" w:cs="仿宋_GB2312" w:eastAsia="仿宋_GB2312"/>
                <w:sz w:val="24"/>
              </w:rPr>
              <w:t>10.9.1.项目预付款为：30%；</w:t>
            </w:r>
            <w:r>
              <w:br/>
            </w:r>
            <w:r>
              <w:rPr>
                <w:rFonts w:ascii="仿宋_GB2312" w:hAnsi="仿宋_GB2312" w:cs="仿宋_GB2312" w:eastAsia="仿宋_GB2312"/>
                <w:sz w:val="24"/>
              </w:rPr>
              <w:t xml:space="preserve"> </w:t>
            </w:r>
            <w:r>
              <w:rPr>
                <w:rFonts w:ascii="仿宋_GB2312" w:hAnsi="仿宋_GB2312" w:cs="仿宋_GB2312" w:eastAsia="仿宋_GB2312"/>
                <w:sz w:val="24"/>
              </w:rPr>
              <w:t>10.9.2.货物投放完成后支付至80%；</w:t>
            </w:r>
            <w:r>
              <w:br/>
            </w:r>
            <w:r>
              <w:rPr>
                <w:rFonts w:ascii="仿宋_GB2312" w:hAnsi="仿宋_GB2312" w:cs="仿宋_GB2312" w:eastAsia="仿宋_GB2312"/>
                <w:sz w:val="24"/>
              </w:rPr>
              <w:t xml:space="preserve"> </w:t>
            </w:r>
            <w:r>
              <w:rPr>
                <w:rFonts w:ascii="仿宋_GB2312" w:hAnsi="仿宋_GB2312" w:cs="仿宋_GB2312" w:eastAsia="仿宋_GB2312"/>
                <w:sz w:val="24"/>
              </w:rPr>
              <w:t>10.9.3.项目验收通过后，支付至95%，剩余5%待质保期到期后支付</w:t>
            </w:r>
            <w:r>
              <w:br/>
            </w:r>
            <w:r>
              <w:rPr>
                <w:rFonts w:ascii="仿宋_GB2312" w:hAnsi="仿宋_GB2312" w:cs="仿宋_GB2312" w:eastAsia="仿宋_GB2312"/>
                <w:sz w:val="24"/>
              </w:rPr>
              <w:t xml:space="preserve"> </w:t>
            </w:r>
            <w:r>
              <w:rPr>
                <w:rFonts w:ascii="仿宋_GB2312" w:hAnsi="仿宋_GB2312" w:cs="仿宋_GB2312" w:eastAsia="仿宋_GB2312"/>
                <w:sz w:val="24"/>
              </w:rPr>
              <w:t>10.9.4.如项目招标完成，遇到要年度封户影响，须等年初解封方可支付。</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其他材料 供应商应提交的相关证明材料 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其他材料 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其他材料 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 无重大违法记录声明函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其他材料 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其他材料 供应商应提交的相关证明材料 封面 法定代表人资格证明书或法定代表人授权委托书 投标保证金缴纳证明材料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其他材料 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投标（响应）报价明细表 开标（报价）一览表 其他材料 供应商应提交的相关证明材料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供应商应提交的相关证明材料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投标（响应）报价明细表 开标（报价）一览表 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技术部分22.00分</w:t>
            </w:r>
          </w:p>
          <w:p>
            <w:pPr>
              <w:pStyle w:val="null3"/>
              <w:jc w:val="both"/>
            </w:pPr>
            <w:r>
              <w:rPr>
                <w:rFonts w:ascii="仿宋_GB2312" w:hAnsi="仿宋_GB2312" w:cs="仿宋_GB2312" w:eastAsia="仿宋_GB2312"/>
              </w:rPr>
              <w:t>商务部分48.00分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供应商根据本项目采购需求，编制实施方案应包含：（1）项目管理方案；（2）施工方案与技术措施；（3）安全管理体系与措施。评委对其进行综合评议，满分6分，每有一项缺项的扣2分，每有一项方案内容存在一处缺陷或不完整的扣 0.5分，扣完为止。(内容缺陷或不完整指不满足本项目采购需求，存在不适用本项目实际情况的情形(与项目实际不匹配、不符合项目特点)、逻辑漏洞、内容前后矛盾、科学原理错误及不可实现的夸大情形等)。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进度安排及质量保证措施</w:t>
            </w:r>
          </w:p>
        </w:tc>
        <w:tc>
          <w:tcPr>
            <w:tcW w:type="dxa" w:w="2492"/>
          </w:tcPr>
          <w:p>
            <w:pPr>
              <w:pStyle w:val="null3"/>
              <w:jc w:val="both"/>
            </w:pPr>
            <w:r>
              <w:rPr>
                <w:rFonts w:ascii="仿宋_GB2312" w:hAnsi="仿宋_GB2312" w:cs="仿宋_GB2312" w:eastAsia="仿宋_GB2312"/>
              </w:rPr>
              <w:t>供应商根据本项目采购需求，编制进度安排及质量保证措施应包含：（1）进度计划安排；（2）进度保障措施；（3）供货保证及安装调试措施；（4）验收措施;（5）质量保证措施。评委对其进行综合评议，满分10分，每有一项缺项的扣2分，每有一项方案内容存在一处缺陷或不完整的扣 1分，扣完为止。(内容缺陷或不完整指不满足本项目采购需求，存在不适用本项目实际情况的情形(与项目实际不匹配、不符合项目特点)、逻辑漏洞、内容前后矛盾、科学原理错误及不可实现的夸大情形等)。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根据本项目采购需求，编制售后服务方案应包含：（1）服务体系；（2）售后服务方案；（3）备品备件供应方案。评委对其进行综合评议，满分6分，每有一项缺项的扣2分，每有一项方案内容存在一处缺陷或不完整的扣 0.5分，扣完为止。(内容缺陷或不完整指不满足本项目采购需求，存在不适用本项目实际情况的情形(与项目实际不匹配、不符合项目特点)、逻辑漏洞、内容前后矛盾、科学原理错误及不可实现的夸大情形等)。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标志牌反光膜材质质量</w:t>
            </w:r>
          </w:p>
        </w:tc>
        <w:tc>
          <w:tcPr>
            <w:tcW w:type="dxa" w:w="2492"/>
          </w:tcPr>
          <w:p>
            <w:pPr>
              <w:pStyle w:val="null3"/>
              <w:jc w:val="both"/>
            </w:pPr>
            <w:r>
              <w:rPr>
                <w:rFonts w:ascii="仿宋_GB2312" w:hAnsi="仿宋_GB2312" w:cs="仿宋_GB2312" w:eastAsia="仿宋_GB2312"/>
              </w:rPr>
              <w:t>提供生产厂商有效期内反光膜的逆反射系数10年内保留值不得低于初始值80%的保证书，该项2分，不提供不得分。 提供生产厂商有效期内反光膜加工授权证书，该项2分，不提供不得分。 提供生产厂商有效期内反光膜检测报告，且检测合格的，该项2分，不提供或检测不合格的不得分。 证明材料：提供保相关证明材料并加盖公章，不提供不得分。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基本要求：需提供一年免费维护和24小时维护响应在满足基本要求的基础上，承诺增加6个月的，得1分，承诺增加12个月的，得3分，本项满分3分。不足6个月不计分。 证明材料：提供承诺函，格式自拟，不提供不得分。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项目经理证书</w:t>
            </w:r>
          </w:p>
        </w:tc>
        <w:tc>
          <w:tcPr>
            <w:tcW w:type="dxa" w:w="2492"/>
          </w:tcPr>
          <w:p>
            <w:pPr>
              <w:pStyle w:val="null3"/>
              <w:jc w:val="both"/>
            </w:pPr>
            <w:r>
              <w:rPr>
                <w:rFonts w:ascii="仿宋_GB2312" w:hAnsi="仿宋_GB2312" w:cs="仿宋_GB2312" w:eastAsia="仿宋_GB2312"/>
              </w:rPr>
              <w:t>项目经理具备市政工程专业注册一级建造师及以上资质证书，且未担任其他在建工程项目的项目经理（提供承诺函），得5分。 证明材料：提供注册证、身份证、在本单位2024年10月至今任意连续3个月社保缴纳证明材料、承诺函，提供上述材料复印件加盖公章。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项目经理业绩</w:t>
            </w:r>
          </w:p>
        </w:tc>
        <w:tc>
          <w:tcPr>
            <w:tcW w:type="dxa" w:w="2492"/>
          </w:tcPr>
          <w:p>
            <w:pPr>
              <w:pStyle w:val="null3"/>
              <w:jc w:val="both"/>
            </w:pPr>
            <w:r>
              <w:rPr>
                <w:rFonts w:ascii="仿宋_GB2312" w:hAnsi="仿宋_GB2312" w:cs="仿宋_GB2312" w:eastAsia="仿宋_GB2312"/>
              </w:rPr>
              <w:t>项目经理自2022年4月1日以来担任过类似项目的项目负责人，每个得1.5分，最多得3分。 注：本项目类似项目包含交通设施工程项目。如中标（成交）通知书或合同不能体现项目负责人信息，投标人应附其他证明材料。 证明材料：提供中标（成交）通知书或合同复印件，时间以签订合同时间为准。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项目技术负责人具备市政工程专业高级职称，且未担任其他在施建设工程项目的项目技术负责人或项目经理（提供承诺函），得4分。 证明材料：提供职称证、身份证、在本单位2024年10月至今任意连续3个月社保缴纳证明材料、承诺函，提供上述材料复印件加盖公章。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纳税信用评价证书</w:t>
            </w:r>
          </w:p>
        </w:tc>
        <w:tc>
          <w:tcPr>
            <w:tcW w:type="dxa" w:w="2492"/>
          </w:tcPr>
          <w:p>
            <w:pPr>
              <w:pStyle w:val="null3"/>
              <w:jc w:val="both"/>
            </w:pPr>
            <w:r>
              <w:rPr>
                <w:rFonts w:ascii="仿宋_GB2312" w:hAnsi="仿宋_GB2312" w:cs="仿宋_GB2312" w:eastAsia="仿宋_GB2312"/>
              </w:rPr>
              <w:t>投标人2023年度获得企业纳税信用评价证书达到 B级及以上级的得5分，企业纳税信用评价证书达到M级的得3分，纳税信用等级达到C级的得1分，其他不得分。 证明材料：提供相关证明（如查询截图及查询网址）材料并加盖公章。 网上公示查询可登录各省市的电子税务局官网（如海南省电子税务局官网等）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具有有效的质量管理体系认证得1分； 具有有效的环境管理体系认证得1分； 具有有效的职业健康安全管理体系认证，得1分。 证明材料：提供相关证书复印件加盖单位公章。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2022年以来具有交通设施工程项目单个合同金额在50（含）-200万元的业绩的，每提供一个业绩得1分；在200（含）-400万元的业绩的，每提供一个业绩得2分；400万元（含）以上的业绩的.每提供一个业绩得3分，该项最高的得分11分。 （提供合同复印件，原件备查，分包或转包合同不算，否则得0分 ） 证明材料：提供中标（成交）通知书或合同复印件，时间以签订合同时间为准。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车辆配备</w:t>
            </w:r>
          </w:p>
        </w:tc>
        <w:tc>
          <w:tcPr>
            <w:tcW w:type="dxa" w:w="2492"/>
          </w:tcPr>
          <w:p>
            <w:pPr>
              <w:pStyle w:val="null3"/>
              <w:jc w:val="both"/>
            </w:pPr>
            <w:r>
              <w:rPr>
                <w:rFonts w:ascii="仿宋_GB2312" w:hAnsi="仿宋_GB2312" w:cs="仿宋_GB2312" w:eastAsia="仿宋_GB2312"/>
              </w:rPr>
              <w:t>提供施工特种车(高空作业曲臂车或高空平台升降车)、12吨以上吊车（含随车吊）的车辆行驶证复印件或发票证明材料，并加盖单位公章。投标单位自有（以行驶证或发票为准）的每项得2分，租赁（需提供租赁合同复印件）的每项的1分。该项最高的得分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机械设备配备</w:t>
            </w:r>
          </w:p>
        </w:tc>
        <w:tc>
          <w:tcPr>
            <w:tcW w:type="dxa" w:w="2492"/>
          </w:tcPr>
          <w:p>
            <w:pPr>
              <w:pStyle w:val="null3"/>
              <w:jc w:val="both"/>
            </w:pPr>
            <w:r>
              <w:rPr>
                <w:rFonts w:ascii="仿宋_GB2312" w:hAnsi="仿宋_GB2312" w:cs="仿宋_GB2312" w:eastAsia="仿宋_GB2312"/>
              </w:rPr>
              <w:t>提供反光膜数码打印机（或压膜机、刻磨机）、冲床 、剪板机、折板机的实景照片和采购发票，并加盖单位公章。投标单位自有（以发票为准）的每项得2分，租赁（需提供租赁合同复印件）的每项的1分。该项最高的得分4分。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其他材料 残疾人福利性单位声明函 中小企业声明函 供应商应提交的相关证明材料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[hncx]20250500002[GK]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台风“摩羯”灾后交通设施重建项目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台风“摩羯”灾后交通设施重建项目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A02061916-发光标志、铭牌</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6.png" Type="http://schemas.openxmlformats.org/officeDocument/2006/relationships/image"/><Relationship Id="rId11" Target="media/image7.png" Type="http://schemas.openxmlformats.org/officeDocument/2006/relationships/image"/><Relationship Id="rId12" Target="media/image8.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 Id="rId8" Target="media/image4.png" Type="http://schemas.openxmlformats.org/officeDocument/2006/relationships/image"/><Relationship Id="rId9" Target="media/image5.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