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AAD91">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bookmarkStart w:id="0" w:name="_GoBack"/>
      <w:bookmarkEnd w:id="0"/>
      <w:r>
        <w:rPr>
          <w:rFonts w:hint="eastAsia" w:ascii="宋体" w:hAnsi="宋体" w:cs="宋体"/>
          <w:b/>
          <w:bCs/>
          <w:color w:val="000000" w:themeColor="text1"/>
          <w:szCs w:val="21"/>
          <w14:textFill>
            <w14:solidFill>
              <w14:schemeClr w14:val="tx1"/>
            </w14:solidFill>
          </w14:textFill>
        </w:rPr>
        <w:t>根据国家、省级、市级优化营商环境的相关政策，增加政府采购信息透明度。因此，投标人在此格式文件应当附上以下材料（涉及投标人商业机密除外）：</w:t>
      </w:r>
    </w:p>
    <w:p w14:paraId="5228E629">
      <w:pPr>
        <w:pStyle w:val="3"/>
        <w:rPr>
          <w:rFonts w:hint="eastAsia" w:ascii="宋体" w:hAnsi="宋体" w:cs="宋体"/>
        </w:rPr>
      </w:pPr>
    </w:p>
    <w:p w14:paraId="0813F4BD">
      <w:pPr>
        <w:numPr>
          <w:ilvl w:val="0"/>
          <w:numId w:val="1"/>
        </w:numPr>
        <w:adjustRightInd w:val="0"/>
        <w:snapToGrid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营业执照；</w:t>
      </w:r>
    </w:p>
    <w:p w14:paraId="67E876D9">
      <w:pPr>
        <w:numPr>
          <w:ilvl w:val="0"/>
          <w:numId w:val="1"/>
        </w:numPr>
        <w:adjustRightInd w:val="0"/>
        <w:snapToGrid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资质；</w:t>
      </w:r>
    </w:p>
    <w:p w14:paraId="6AD1CE54">
      <w:pPr>
        <w:numPr>
          <w:ilvl w:val="0"/>
          <w:numId w:val="1"/>
        </w:numPr>
        <w:adjustRightInd w:val="0"/>
        <w:snapToGrid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获奖；</w:t>
      </w:r>
    </w:p>
    <w:p w14:paraId="28A7E129">
      <w:pPr>
        <w:numPr>
          <w:ilvl w:val="0"/>
          <w:numId w:val="1"/>
        </w:numPr>
        <w:adjustRightInd w:val="0"/>
        <w:snapToGrid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各类证书；</w:t>
      </w:r>
    </w:p>
    <w:p w14:paraId="044050E2">
      <w:pPr>
        <w:pStyle w:val="3"/>
        <w:rPr>
          <w:rFonts w:hint="eastAsia" w:ascii="宋体" w:hAnsi="宋体" w:cs="宋体"/>
        </w:rPr>
      </w:pPr>
    </w:p>
    <w:p w14:paraId="7141E228">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14:paraId="6C2CAD53">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14:paraId="69AB85D3">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14:paraId="47E96F9F">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14:paraId="465EE442">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14:paraId="694EFA9D">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备注：</w:t>
      </w:r>
    </w:p>
    <w:p w14:paraId="6B8F2244">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1、以上材料是投标人经评审后确定为中标人或第一中标候选人时，在政府采购法定网站对外公示的材料；</w:t>
      </w:r>
    </w:p>
    <w:p w14:paraId="71DB15AC">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2、以上材料是采购人或代理机构在发布中标公告或候选人公示时，根据优化营商环境相关政策将中标人或第一中标候选人投标文件中投标响应材料公示，强化社会监督。</w:t>
      </w:r>
    </w:p>
    <w:p w14:paraId="502BE831">
      <w:pPr>
        <w:pStyle w:val="3"/>
        <w:rPr>
          <w:rFonts w:hint="eastAsia" w:ascii="宋体" w:hAnsi="宋体" w:cs="宋体"/>
        </w:rPr>
      </w:pPr>
      <w:r>
        <w:rPr>
          <w:rFonts w:hint="eastAsia" w:ascii="宋体" w:hAnsi="宋体" w:cs="宋体"/>
          <w:b/>
          <w:bCs/>
          <w:color w:val="000000" w:themeColor="text1"/>
          <w:sz w:val="21"/>
          <w:szCs w:val="21"/>
          <w14:textFill>
            <w14:solidFill>
              <w14:schemeClr w14:val="tx1"/>
            </w14:solidFill>
          </w14:textFill>
        </w:rPr>
        <w:t>3、涉及商业秘密的资料或信息投标人自行屏蔽涉密处理，未做屏蔽处理视为可允许公开资料或信息。</w:t>
      </w:r>
    </w:p>
    <w:p w14:paraId="20239A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A0EC7"/>
    <w:multiLevelType w:val="singleLevel"/>
    <w:tmpl w:val="86EA0EC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427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3">
    <w:name w:val="footnote text"/>
    <w:basedOn w:val="1"/>
    <w:unhideWhenUsed/>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2025-03-17T02:36:12Z</dcterms:created>
  <dc:creator>Lenovo</dc:creator>
  <cp:lastModifiedBy>Lenovo</cp:lastModifiedBy>
  <dcterms:modified xsi:type="dcterms:W3CDTF">2025-03-17T02:36:20Z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C4485F0DCD8144FEA3C1BA0127B12462_12</vt:lpwstr>
  </property>
</Properties>
</file>