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2025“海口杯”端午国际龙舟邀请赛</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HNXZ-2025-006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海口市旅游和文化广电体育局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海南信正招标代理有限公司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海口市旅游和文化广电体育局</w:t>
      </w:r>
      <w:r>
        <w:rPr>
          <w:rFonts w:ascii="仿宋_GB2312" w:hAnsi="仿宋_GB2312" w:cs="仿宋_GB2312" w:eastAsia="仿宋_GB2312"/>
        </w:rPr>
        <w:t xml:space="preserve"> 委托， </w:t>
      </w:r>
      <w:r>
        <w:rPr>
          <w:rFonts w:ascii="仿宋_GB2312" w:hAnsi="仿宋_GB2312" w:cs="仿宋_GB2312" w:eastAsia="仿宋_GB2312"/>
        </w:rPr>
        <w:t>海南信正招标代理有限公司</w:t>
      </w:r>
      <w:r>
        <w:rPr>
          <w:rFonts w:ascii="仿宋_GB2312" w:hAnsi="仿宋_GB2312" w:cs="仿宋_GB2312" w:eastAsia="仿宋_GB2312"/>
        </w:rPr>
        <w:t xml:space="preserve"> 对 </w:t>
      </w:r>
      <w:r>
        <w:rPr>
          <w:rFonts w:ascii="仿宋_GB2312" w:hAnsi="仿宋_GB2312" w:cs="仿宋_GB2312" w:eastAsia="仿宋_GB2312"/>
        </w:rPr>
        <w:t>2025“海口杯”端午国际龙舟邀请赛</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HNXZ-2025-006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2025“海口杯”端午国际龙舟邀请赛</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2025年5月20日至6月20日（具体事项及时间以签订合同为准）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pPr>
      <w:r>
        <w:rPr>
          <w:rFonts w:ascii="仿宋_GB2312" w:hAnsi="仿宋_GB2312" w:cs="仿宋_GB2312" w:eastAsia="仿宋_GB2312"/>
        </w:rPr>
        <w:t>2、信用承诺：未被列入“信用中国”网站（www.creditchina.gov.cn）的“重大税收违法失信主体”、“政府采购严重违法失信行为记录名单”和中国政府采购网 (www.ccgp.gov.cn) 的“政府采购严重违法失信行为记录名单”以及中国执行信息公开网（http://zxgk.court.gov.cn/shixin/）“失信被执行人”（提供承诺函，加盖单位公章）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https://ccgphainan.gov.cn/maincms-web/)中的海南省政府采购智慧云平台进行注册并完善信息，然后下载参与投标项目电子招标文件（数据包）及其他文件。4、注意事项：电子标采用全程电子化操作，供应商应详细阅读海南政府采购网的通知《海南省财政厅关于进一步推进政府采购全流程电子化的通知》，供应商使用交易系统遇到问题可致电技术支持：0591-38352553。</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海口市旅游和文化广电体育局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海南省海口市秀英区长滨路市政府办公区18号南三楼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0898-68725375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海南信正招标代理有限公司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海南省海口市琼山区国兴街道办国兴大道22号富力首府南区盈泰财富广场3805室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18289578886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从开标截止之日起60天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代理服务费收费标准：参照《国家发展改革委关于进一步放开建设项目专业服务价格 的通知》发改价格(2015)299 号的规定收费标准，由成交供应商支付。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1.在投标有效期内，经核实，若投标人所提供的相关证明材料有虚假材料，采购人将 并保留提请行政主管部门将其列入不良企业名单的权利，若给采购人造成损失的，应 给予赔偿，若其为中标单位，将取消其中标资格。 2.投标人自行踏勘，凡参加投标的 投标人都将视其为对现场情况已充分了解。 3.本项目依据《关于在相关自由贸易试验 区和自由贸易港开展推动解决政府采购异常低价问题试点工作的通知（财办库〔202 4〕265 号）》的要求强化政府采购异常低价审查。符合该文要求的异常低价将启动 异常低价投标（响应）审查程序。 评审委员会评审中出现下列情形之一的，应当启动 异常低价投标（响应）审查程序：（一）投标（响应）报价低于全部通过符合性审查 供应商投标（响应）报价平均值 50%的，即投标（响应）报价&lt;全部通过符合性审查 供应商投标（响应）报价平均值×50%；（二）投标（响应）报价低于通过符合性审 查且报价次低供应商投标（响应）报价 50%的，即投标（响应）报价&lt;通过符合性审 查且报价次低供应商投标（响应）报价×50%；（三）投标（响应）报价低于采购项目最高限价 45%的，即投标（响应）报价&lt;采购项目最高限价×45%；（四）其他评 审委员会认为供应商报价过低，有可能影响产品质量或者不能诚信履约的情形。启动 异常低价投标（响应）审查后，评审委员会将要求相关供应商在评审现场合理的时间 内提供书面说明及必要的证明材料，对投标（响应）价格作出解释。书面说明、证明 材料主要是项目具体成本测算等与报价合理性相关的说明、材料。评审委员会将会结 合同类产品在主要电商平台的价格、该行业当地薪资水平等情况，依据专业经验对报 价合理性进行判断。如果投标（响应）供应商不提供书面说明、证明材料，或者提供 的书面说明、证明材料不能证明其报价合理性的，应当将其作为无效投标（响应）处 理。审查相关情况将会在评审报告中记录。 4.本项目所属行业：其他未列明行业。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联系电话：0898-65363682</w:t>
      </w:r>
    </w:p>
    <w:p>
      <w:pPr>
        <w:pStyle w:val="null3"/>
        <w:jc w:val="left"/>
      </w:pPr>
      <w:r>
        <w:rPr>
          <w:rFonts w:ascii="仿宋_GB2312" w:hAnsi="仿宋_GB2312" w:cs="仿宋_GB2312" w:eastAsia="仿宋_GB2312"/>
        </w:rPr>
        <w:t>地址：海南省海口市琼山区国兴街道办国兴大道22号富力首府南区盈泰财富广场3805室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为深入贯彻落实市委市政府的工作要求，激发端午假日经济增长，促进体育旅游发展，特策划举办2025“海口杯”端午国际龙舟邀请赛，并加强创新和突破，丰富市民游客假日体育旅游活动产品供给，打造本土特色爆款体育赛事品牌，为市民游客和体育爱好者带来更精彩纷呈的体育赛事和旅游体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2025“海口杯”端午国际龙舟邀请赛</w:t>
            </w:r>
          </w:p>
        </w:tc>
        <w:tc>
          <w:tcPr>
            <w:tcW w:type="dxa" w:w="554"/>
          </w:tcPr>
          <w:p>
            <w:pPr>
              <w:pStyle w:val="null3"/>
              <w:jc w:val="left"/>
            </w:pPr>
            <w:r>
              <w:rPr>
                <w:rFonts w:ascii="仿宋_GB2312" w:hAnsi="仿宋_GB2312" w:cs="仿宋_GB2312" w:eastAsia="仿宋_GB2312"/>
              </w:rPr>
              <w:t>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项目内容及要求</w:t>
            </w:r>
            <w:r>
              <w:br/>
            </w:r>
            <w:r>
              <w:rPr>
                <w:rFonts w:ascii="仿宋_GB2312" w:hAnsi="仿宋_GB2312" w:cs="仿宋_GB2312" w:eastAsia="仿宋_GB2312"/>
              </w:rPr>
              <w:t xml:space="preserve"> 活动名称：2025“海口杯”端午国际龙舟邀请赛</w:t>
            </w:r>
            <w:r>
              <w:br/>
            </w:r>
            <w:r>
              <w:rPr>
                <w:rFonts w:ascii="仿宋_GB2312" w:hAnsi="仿宋_GB2312" w:cs="仿宋_GB2312" w:eastAsia="仿宋_GB2312"/>
              </w:rPr>
              <w:t xml:space="preserve"> ★活动时间：2025年5月24日至6月1日，共计9天（5月31日为端午节）</w:t>
            </w:r>
            <w:r>
              <w:br/>
            </w:r>
            <w:r>
              <w:rPr>
                <w:rFonts w:ascii="仿宋_GB2312" w:hAnsi="仿宋_GB2312" w:cs="仿宋_GB2312" w:eastAsia="仿宋_GB2312"/>
              </w:rPr>
              <w:t xml:space="preserve"> 龙舟文化体验周：2025年5月24日-30日</w:t>
            </w:r>
            <w:r>
              <w:br/>
            </w:r>
            <w:r>
              <w:rPr>
                <w:rFonts w:ascii="仿宋_GB2312" w:hAnsi="仿宋_GB2312" w:cs="仿宋_GB2312" w:eastAsia="仿宋_GB2312"/>
              </w:rPr>
              <w:t xml:space="preserve"> 龙舟竞赛日：2025年5月31日-6月1日</w:t>
            </w:r>
            <w:r>
              <w:br/>
            </w:r>
            <w:r>
              <w:rPr>
                <w:rFonts w:ascii="仿宋_GB2312" w:hAnsi="仿宋_GB2312" w:cs="仿宋_GB2312" w:eastAsia="仿宋_GB2312"/>
              </w:rPr>
              <w:t xml:space="preserve"> ★活动地点：海甸溪（世纪大桥-人民桥河段）</w:t>
            </w:r>
            <w:r>
              <w:br/>
            </w:r>
            <w:r>
              <w:rPr>
                <w:rFonts w:ascii="仿宋_GB2312" w:hAnsi="仿宋_GB2312" w:cs="仿宋_GB2312" w:eastAsia="仿宋_GB2312"/>
              </w:rPr>
              <w:t xml:space="preserve"> 活动内容及要求：</w:t>
            </w:r>
            <w:r>
              <w:br/>
            </w:r>
            <w:r>
              <w:rPr>
                <w:rFonts w:ascii="仿宋_GB2312" w:hAnsi="仿宋_GB2312" w:cs="仿宋_GB2312" w:eastAsia="仿宋_GB2312"/>
              </w:rPr>
              <w:t xml:space="preserve"> （一）赛事要求 </w:t>
            </w:r>
            <w:r>
              <w:br/>
            </w:r>
            <w:r>
              <w:rPr>
                <w:rFonts w:ascii="仿宋_GB2312" w:hAnsi="仿宋_GB2312" w:cs="仿宋_GB2312" w:eastAsia="仿宋_GB2312"/>
              </w:rPr>
              <w:t xml:space="preserve"> ★（1）设置直道赛1000米（公开组）、500米（本地组）、200米（民间组）三个项目，搭建4赛道。</w:t>
            </w:r>
            <w:r>
              <w:br/>
            </w:r>
            <w:r>
              <w:rPr>
                <w:rFonts w:ascii="仿宋_GB2312" w:hAnsi="仿宋_GB2312" w:cs="仿宋_GB2312" w:eastAsia="仿宋_GB2312"/>
              </w:rPr>
              <w:t xml:space="preserve"> ★（2）赛事组别设置：</w:t>
            </w:r>
            <w:r>
              <w:br/>
            </w:r>
            <w:r>
              <w:rPr>
                <w:rFonts w:ascii="仿宋_GB2312" w:hAnsi="仿宋_GB2312" w:cs="仿宋_GB2312" w:eastAsia="仿宋_GB2312"/>
              </w:rPr>
              <w:t xml:space="preserve"> 公开组：总队伍不少于8支，其中国外（包括但不限于东南亚地区）队伍不少于3支。</w:t>
            </w:r>
            <w:r>
              <w:br/>
            </w:r>
            <w:r>
              <w:rPr>
                <w:rFonts w:ascii="仿宋_GB2312" w:hAnsi="仿宋_GB2312" w:cs="仿宋_GB2312" w:eastAsia="仿宋_GB2312"/>
              </w:rPr>
              <w:t xml:space="preserve"> 本地组：海口市、三亚市、文昌市、琼海市、儋州市、万宁市、定安县、陵水县、澄迈县、昌江县、临高县等市县以及海口市秀英区、龙华区、琼山区、美兰区、江东新区共16支队伍（具体以实际为准，不少于12支队伍）；</w:t>
            </w:r>
            <w:r>
              <w:br/>
            </w:r>
            <w:r>
              <w:rPr>
                <w:rFonts w:ascii="仿宋_GB2312" w:hAnsi="仿宋_GB2312" w:cs="仿宋_GB2312" w:eastAsia="仿宋_GB2312"/>
              </w:rPr>
              <w:t xml:space="preserve"> 民间组：全省内公开报名招募，全省民间龙舟队、企业队伍均可报名，不少于16支队伍参赛。</w:t>
            </w:r>
            <w:r>
              <w:br/>
            </w:r>
            <w:r>
              <w:rPr>
                <w:rFonts w:ascii="仿宋_GB2312" w:hAnsi="仿宋_GB2312" w:cs="仿宋_GB2312" w:eastAsia="仿宋_GB2312"/>
              </w:rPr>
              <w:t xml:space="preserve"> （3）赛事规程采用国际龙舟竞赛规则执行。</w:t>
            </w:r>
            <w:r>
              <w:br/>
            </w:r>
            <w:r>
              <w:rPr>
                <w:rFonts w:ascii="仿宋_GB2312" w:hAnsi="仿宋_GB2312" w:cs="仿宋_GB2312" w:eastAsia="仿宋_GB2312"/>
              </w:rPr>
              <w:t xml:space="preserve"> （4）组织参赛队伍参加场地适应集训。</w:t>
            </w:r>
            <w:r>
              <w:br/>
            </w:r>
            <w:r>
              <w:rPr>
                <w:rFonts w:ascii="仿宋_GB2312" w:hAnsi="仿宋_GB2312" w:cs="仿宋_GB2312" w:eastAsia="仿宋_GB2312"/>
              </w:rPr>
              <w:t xml:space="preserve"> ★（二）相关配套活动内容：</w:t>
            </w:r>
            <w:r>
              <w:br/>
            </w:r>
            <w:r>
              <w:rPr>
                <w:rFonts w:ascii="仿宋_GB2312" w:hAnsi="仿宋_GB2312" w:cs="仿宋_GB2312" w:eastAsia="仿宋_GB2312"/>
              </w:rPr>
              <w:t xml:space="preserve"> （1）龙舟文化体验周：2025年5月24日-30日</w:t>
            </w:r>
            <w:r>
              <w:br/>
            </w:r>
            <w:r>
              <w:rPr>
                <w:rFonts w:ascii="仿宋_GB2312" w:hAnsi="仿宋_GB2312" w:cs="仿宋_GB2312" w:eastAsia="仿宋_GB2312"/>
              </w:rPr>
              <w:t xml:space="preserve"> 配套活动：活动现场设置策划2个市集区域，不少于15个展位。（包括但不仅限于功能饮料、特色产品、龙舟文化展示内容、全民健身运动项目展示等）；设置旱地龙舟体验区，供市民游客现场体验龙舟文化和民俗文化。</w:t>
            </w:r>
            <w:r>
              <w:br/>
            </w:r>
            <w:r>
              <w:rPr>
                <w:rFonts w:ascii="仿宋_GB2312" w:hAnsi="仿宋_GB2312" w:cs="仿宋_GB2312" w:eastAsia="仿宋_GB2312"/>
              </w:rPr>
              <w:t xml:space="preserve"> 活动现场需要配套设置不少于二项水上运动项目体验，包括但不限于划龙舟、皮划艇等；规划设置Cosplay传统文化体验专区，市民游客穿着汉服等传统文化内容在现场专区打卡并在小红书、抖音等平台发布，即可获得一次水上运动项目体验机会。</w:t>
            </w:r>
            <w:r>
              <w:br/>
            </w:r>
            <w:r>
              <w:rPr>
                <w:rFonts w:ascii="仿宋_GB2312" w:hAnsi="仿宋_GB2312" w:cs="仿宋_GB2312" w:eastAsia="仿宋_GB2312"/>
              </w:rPr>
              <w:t xml:space="preserve"> （2）龙舟竞赛日：2025年5月31日-6月1日</w:t>
            </w:r>
            <w:r>
              <w:br/>
            </w:r>
            <w:r>
              <w:rPr>
                <w:rFonts w:ascii="仿宋_GB2312" w:hAnsi="仿宋_GB2312" w:cs="仿宋_GB2312" w:eastAsia="仿宋_GB2312"/>
              </w:rPr>
              <w:t xml:space="preserve"> 组织2025“海口杯”端午国际龙舟邀请赛开幕式，现场设置背景板、主席台、观赛区、帐篷、舞台灯光音响等设备。根据《体育赛事活动管理办法》（国家体育总局令31号)及《体育行业安全生产重大事故隐患判定标准（2023版）》规章制度制定赛事活动方案、应急预案、安保方案、医疗方案。</w:t>
            </w:r>
            <w:r>
              <w:br/>
            </w:r>
            <w:r>
              <w:rPr>
                <w:rFonts w:ascii="仿宋_GB2312" w:hAnsi="仿宋_GB2312" w:cs="仿宋_GB2312" w:eastAsia="仿宋_GB2312"/>
              </w:rPr>
              <w:t xml:space="preserve"> （三）赛事宣传推广</w:t>
            </w:r>
            <w:r>
              <w:br/>
            </w:r>
            <w:r>
              <w:rPr>
                <w:rFonts w:ascii="仿宋_GB2312" w:hAnsi="仿宋_GB2312" w:cs="仿宋_GB2312" w:eastAsia="仿宋_GB2312"/>
              </w:rPr>
              <w:t xml:space="preserve"> ★（1）新闻发布会</w:t>
            </w:r>
            <w:r>
              <w:br/>
            </w:r>
            <w:r>
              <w:rPr>
                <w:rFonts w:ascii="仿宋_GB2312" w:hAnsi="仿宋_GB2312" w:cs="仿宋_GB2312" w:eastAsia="仿宋_GB2312"/>
              </w:rPr>
              <w:t xml:space="preserve"> 召开新闻发布会，公开发布赛事相关讯息，向市民群众介绍赛事的筹备情况、参赛情况、比赛规则和现场娱乐等内容。</w:t>
            </w:r>
            <w:r>
              <w:br/>
            </w:r>
            <w:r>
              <w:rPr>
                <w:rFonts w:ascii="仿宋_GB2312" w:hAnsi="仿宋_GB2312" w:cs="仿宋_GB2312" w:eastAsia="仿宋_GB2312"/>
              </w:rPr>
              <w:t xml:space="preserve"> ★（2）活动直播</w:t>
            </w:r>
            <w:r>
              <w:br/>
            </w:r>
            <w:r>
              <w:rPr>
                <w:rFonts w:ascii="仿宋_GB2312" w:hAnsi="仿宋_GB2312" w:cs="仿宋_GB2312" w:eastAsia="仿宋_GB2312"/>
              </w:rPr>
              <w:t xml:space="preserve"> 采用国内或省内主流电视平台全程开展视频直播及图文直播，图片库不少于500张高清图片。配备高清转播车、现场导播台，即时传播活动精彩瞬间。</w:t>
            </w:r>
            <w:r>
              <w:br/>
            </w:r>
            <w:r>
              <w:rPr>
                <w:rFonts w:ascii="仿宋_GB2312" w:hAnsi="仿宋_GB2312" w:cs="仿宋_GB2312" w:eastAsia="仿宋_GB2312"/>
              </w:rPr>
              <w:t xml:space="preserve"> ★（3）媒体报道</w:t>
            </w:r>
            <w:r>
              <w:br/>
            </w:r>
            <w:r>
              <w:rPr>
                <w:rFonts w:ascii="仿宋_GB2312" w:hAnsi="仿宋_GB2312" w:cs="仿宋_GB2312" w:eastAsia="仿宋_GB2312"/>
              </w:rPr>
              <w:t xml:space="preserve"> 赛事周期宣传规划要求涵盖央视媒体、省外媒体、省内媒体、海外媒体等。</w:t>
            </w:r>
            <w:r>
              <w:br/>
            </w:r>
            <w:r>
              <w:rPr>
                <w:rFonts w:ascii="仿宋_GB2312" w:hAnsi="仿宋_GB2312" w:cs="仿宋_GB2312" w:eastAsia="仿宋_GB2312"/>
              </w:rPr>
              <w:t xml:space="preserve"> 央视媒体：包括但不限于央视体育频道、央视新闻、人民日报等6家央视媒体。</w:t>
            </w:r>
            <w:r>
              <w:br/>
            </w:r>
            <w:r>
              <w:rPr>
                <w:rFonts w:ascii="仿宋_GB2312" w:hAnsi="仿宋_GB2312" w:cs="仿宋_GB2312" w:eastAsia="仿宋_GB2312"/>
              </w:rPr>
              <w:t xml:space="preserve"> 省外媒体：包括但不限于中国重庆网、中国云南网、北京在线等20家省外主流媒体。</w:t>
            </w:r>
            <w:r>
              <w:br/>
            </w:r>
            <w:r>
              <w:rPr>
                <w:rFonts w:ascii="仿宋_GB2312" w:hAnsi="仿宋_GB2312" w:cs="仿宋_GB2312" w:eastAsia="仿宋_GB2312"/>
              </w:rPr>
              <w:t xml:space="preserve"> 省内媒体：包括但不限于海南卫视、海南日报、海南新闻联播、南国都市报、南海网、海南广播电视总台、三沙卫视、等20家省内主要媒体。</w:t>
            </w:r>
            <w:r>
              <w:br/>
            </w:r>
            <w:r>
              <w:rPr>
                <w:rFonts w:ascii="仿宋_GB2312" w:hAnsi="仿宋_GB2312" w:cs="仿宋_GB2312" w:eastAsia="仿宋_GB2312"/>
              </w:rPr>
              <w:t xml:space="preserve"> 海外媒体：包括但不限于Hainan Touch和Hainan Today的脸书、推特、Instagram等账号。</w:t>
            </w:r>
            <w:r>
              <w:br/>
            </w:r>
            <w:r>
              <w:rPr>
                <w:rFonts w:ascii="仿宋_GB2312" w:hAnsi="仿宋_GB2312" w:cs="仿宋_GB2312" w:eastAsia="仿宋_GB2312"/>
              </w:rPr>
              <w:t xml:space="preserve"> ★（4）视频宣传</w:t>
            </w:r>
            <w:r>
              <w:br/>
            </w:r>
            <w:r>
              <w:rPr>
                <w:rFonts w:ascii="仿宋_GB2312" w:hAnsi="仿宋_GB2312" w:cs="仿宋_GB2312" w:eastAsia="仿宋_GB2312"/>
              </w:rPr>
              <w:t xml:space="preserve"> 短视频发布：制作活动预热、活动精彩片段、活动总结等系列短视频，通过抖音、视频号、腾讯视频等平台进行发布。</w:t>
            </w:r>
            <w:r>
              <w:br/>
            </w:r>
            <w:r>
              <w:rPr>
                <w:rFonts w:ascii="仿宋_GB2312" w:hAnsi="仿宋_GB2312" w:cs="仿宋_GB2312" w:eastAsia="仿宋_GB2312"/>
              </w:rPr>
              <w:t xml:space="preserve"> 宣传片制作：包含但不限于赛事预热宣传视频15s-30s至少2条；赛事过程精彩视频15s-30s至少5条；赛事整体宣传片1min-3min至少1条；赛事总结视频1min-3min至少1条。</w:t>
            </w:r>
            <w:r>
              <w:br/>
            </w:r>
            <w:r>
              <w:rPr>
                <w:rFonts w:ascii="仿宋_GB2312" w:hAnsi="仿宋_GB2312" w:cs="仿宋_GB2312" w:eastAsia="仿宋_GB2312"/>
              </w:rPr>
              <w:t xml:space="preserve"> ★（5）城市宣传</w:t>
            </w:r>
            <w:r>
              <w:br/>
            </w:r>
            <w:r>
              <w:rPr>
                <w:rFonts w:ascii="仿宋_GB2312" w:hAnsi="仿宋_GB2312" w:cs="仿宋_GB2312" w:eastAsia="仿宋_GB2312"/>
              </w:rPr>
              <w:t xml:space="preserve"> 城市灯杆道旗：于赛场周边（如世纪公园路、渡海路、港湾路、世纪大桥、碧海大道等路段）设置灯杆道旗，道旗数量不少于190根。</w:t>
            </w:r>
            <w:r>
              <w:br/>
            </w:r>
            <w:r>
              <w:rPr>
                <w:rFonts w:ascii="仿宋_GB2312" w:hAnsi="仿宋_GB2312" w:cs="仿宋_GB2312" w:eastAsia="仿宋_GB2312"/>
              </w:rPr>
              <w:t xml:space="preserve"> LED屏设置：在市民游客中心及云洞图书馆各设置一块不少于12米*4米LED屏幕，用于赛事实时转播。</w:t>
            </w:r>
            <w:r>
              <w:br/>
            </w:r>
            <w:r>
              <w:rPr>
                <w:rFonts w:ascii="仿宋_GB2312" w:hAnsi="仿宋_GB2312" w:cs="仿宋_GB2312" w:eastAsia="仿宋_GB2312"/>
              </w:rPr>
              <w:t xml:space="preserve"> ★（6）氛围营造</w:t>
            </w:r>
            <w:r>
              <w:br/>
            </w:r>
            <w:r>
              <w:rPr>
                <w:rFonts w:ascii="仿宋_GB2312" w:hAnsi="仿宋_GB2312" w:cs="仿宋_GB2312" w:eastAsia="仿宋_GB2312"/>
              </w:rPr>
              <w:t xml:space="preserve"> 现场搭建：包括但不限于背景板、下水楼梯、音响、办公桌、凳子、A字板、帐篷、奖杯、锦旗、主持、礼仪、证件、对讲机、比赛服装等，做足赛事现场氛围工作。</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★（一）服务期：2025年5月20日至6月20日（具体事项及时间以签订合同为准）</w:t>
            </w:r>
            <w:r>
              <w:br/>
            </w:r>
            <w:r>
              <w:rPr>
                <w:rFonts w:ascii="仿宋_GB2312" w:hAnsi="仿宋_GB2312" w:cs="仿宋_GB2312" w:eastAsia="仿宋_GB2312"/>
              </w:rPr>
              <w:t xml:space="preserve"> （二）服务地点：海甸溪（世纪大桥-人民桥河段）。</w:t>
            </w:r>
            <w:r>
              <w:br/>
            </w:r>
            <w:r>
              <w:rPr>
                <w:rFonts w:ascii="仿宋_GB2312" w:hAnsi="仿宋_GB2312" w:cs="仿宋_GB2312" w:eastAsia="仿宋_GB2312"/>
              </w:rPr>
              <w:t xml:space="preserve"> ★（三）付款方式：本项目采用分期方式拨付款项，合同签订后15个工作日内支付合同金额的70% ，项目验收完成后15工作日内支付合同金额的30%。因财政原因造成未能如期付款或因中标人提供报账资料不符合财务相关规定而不能支付的，不视为采购人违约，由采购人与中标人协商处理。具体以合同约定为准。</w:t>
            </w:r>
            <w:r>
              <w:br/>
            </w:r>
            <w:r>
              <w:rPr>
                <w:rFonts w:ascii="仿宋_GB2312" w:hAnsi="仿宋_GB2312" w:cs="仿宋_GB2312" w:eastAsia="仿宋_GB2312"/>
              </w:rPr>
              <w:t xml:space="preserve"> （四）验收标准：按照第三方审计结果结算。</w:t>
            </w:r>
            <w:r>
              <w:br/>
            </w:r>
            <w:r>
              <w:rPr>
                <w:rFonts w:ascii="仿宋_GB2312" w:hAnsi="仿宋_GB2312" w:cs="仿宋_GB2312" w:eastAsia="仿宋_GB2312"/>
              </w:rPr>
              <w:t xml:space="preserve"> ★（五）费用支出说明：赛事采购费用优先支出用于赛事器材租赁、赛事组织及宣传（含奖金）、海测费用、裁判费用，费用不足部分由成交供应商通过市场招商自筹解决。</w:t>
            </w:r>
            <w:r>
              <w:br/>
            </w:r>
            <w:r>
              <w:rPr>
                <w:rFonts w:ascii="仿宋_GB2312" w:hAnsi="仿宋_GB2312" w:cs="仿宋_GB2312" w:eastAsia="仿宋_GB2312"/>
              </w:rPr>
              <w:t xml:space="preserve"> ★（六）其他说明：供应商报价应为一切相关费用，不得高于采购预算金额，否则将被否决。若实际费用超出报价，则由成交供应商通过市场化运作自行筹措解决，招商费用有限用于赛事保障支出，招商优选与赛事文化契合企业。</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信用承诺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信用承诺</w:t>
            </w:r>
          </w:p>
        </w:tc>
        <w:tc>
          <w:tcPr>
            <w:tcW w:type="dxa" w:w="3322"/>
          </w:tcPr>
          <w:p>
            <w:pPr>
              <w:pStyle w:val="null3"/>
              <w:jc w:val="left"/>
            </w:pPr>
            <w:r>
              <w:rPr>
                <w:rFonts w:ascii="仿宋_GB2312" w:hAnsi="仿宋_GB2312" w:cs="仿宋_GB2312" w:eastAsia="仿宋_GB2312"/>
              </w:rPr>
              <w:t>未被列入“信用中国”网站（www.creditchina.gov.cn）的“重大税收违法失信主体”、“政府采购严重违法失信行为记录名单”和中国政府采购网 (www.ccgp.gov.cn) 的“政府采购严重违法失信行为记录名单”以及中国执行信息公开网（http://zxgk.court.gov.cn/shixin/）“失信被执行人”（提供承诺函，加盖单位公章）</w:t>
            </w:r>
          </w:p>
        </w:tc>
        <w:tc>
          <w:tcPr>
            <w:tcW w:type="dxa" w:w="1661"/>
          </w:tcPr>
          <w:p>
            <w:pPr>
              <w:pStyle w:val="null3"/>
              <w:jc w:val="left"/>
            </w:pPr>
            <w:r>
              <w:rPr>
                <w:rFonts w:ascii="仿宋_GB2312" w:hAnsi="仿宋_GB2312" w:cs="仿宋_GB2312" w:eastAsia="仿宋_GB2312"/>
              </w:rPr>
              <w:t>信用承诺</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信用承诺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投标（响应）报价明细表 开标（报价）一览表 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项目整体实施方案</w:t>
            </w:r>
          </w:p>
        </w:tc>
        <w:tc>
          <w:tcPr>
            <w:tcW w:type="dxa" w:w="2492"/>
          </w:tcPr>
          <w:p>
            <w:pPr>
              <w:pStyle w:val="null3"/>
              <w:jc w:val="both"/>
            </w:pPr>
            <w:r>
              <w:rPr>
                <w:rFonts w:ascii="仿宋_GB2312" w:hAnsi="仿宋_GB2312" w:cs="仿宋_GB2312" w:eastAsia="仿宋_GB2312"/>
              </w:rPr>
              <w:t>根据供应商针对本项目提供的项目整体实施方案（内容包括但不限于：①赛事活动竞赛规程、②工作计划安排、③市集区活动场地布置方案、④配套活动方案、⑤赛事开幕式方案等内容）进行综合评分： （1）方案每一项内容详细完整，条理清晰，针对实际情况，考虑问题周全，完全满足采购需求的得20分； （2）方案每一项与项目实际匹配、符合项目特点，基本满足采购需求的得16分； （3）方案每一项与项目实施内容较少、适用性不强，不能完全满足采购需求的得10分； （4）方案缺项、方案内容适用性较差，较难满足采购需求的得5分； （5）未提供方案的得0分。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根据供应商针对本项目提供的宣传推广方案（内容包括但不限于：①宣传推广的形式、②宣传推广的内容及范围、③宣传推广的媒介平台、④目标受众等内容）进行综合评分： （1）方案每一项内容详细完整，条理清晰，针对实际情况，考虑问题周全，完全满足采购需求的得8分； （2）方案每一项与项目实际匹配、符合项目特点，基本满足采购需求的得6分； （3）方案每一项与项目实施内容较少、适用性不强，不能完全满足采购需求的得3分； （4）方案缺项、方案内容适用性较差，较难满足采购需求的得1分； （5）未提供方案的得 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安全保障方案</w:t>
            </w:r>
          </w:p>
        </w:tc>
        <w:tc>
          <w:tcPr>
            <w:tcW w:type="dxa" w:w="2492"/>
          </w:tcPr>
          <w:p>
            <w:pPr>
              <w:pStyle w:val="null3"/>
              <w:jc w:val="both"/>
            </w:pPr>
            <w:r>
              <w:rPr>
                <w:rFonts w:ascii="仿宋_GB2312" w:hAnsi="仿宋_GB2312" w:cs="仿宋_GB2312" w:eastAsia="仿宋_GB2312"/>
              </w:rPr>
              <w:t>根据供应商针对本项目提供的安全保障方案（内容包括但不限于：①赛事安全保障方案、②安保人员配置、③水上保障方案、④安全风险防控措施等内容）进行综合评分： （1）方案每一项内容详细完整，条理清晰，针对实际情况，考虑问题周全，完全满足采购需求的得8分； （2）方案每一项与项目实际匹配、符合项目特点，基本满足采购需求的得6分； （3）方案每一项与项目实施内容较少、适用性不强，不能完全满足采购需求的得3分； （4）方案缺项、方案内容适用性较差，较难满足采购需求的得1分； （5）未提供方案的得 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根据供应商针对本项目提供的应急预案（包括但不限于：①应急事件处理程序、②应急事件解决措施、③设备故障应急预案等内容）进行综合评分： （1）方案每一项内容详细完整，条理清晰，针对实际情况，考虑问题周全，完全满足采购需求的得6分； （2）方案每一项与项目实际匹配、符合项目特点，基本满足采购需求的得4分； （3）方案每一项与项目实施内容较少、适用性不强，不能完全满足采购需求的得2分； （4）方案缺项、方案内容适用性较差，较难满足采购需求的得1分； （5）未提供方案的得 0 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医疗救援方案</w:t>
            </w:r>
          </w:p>
        </w:tc>
        <w:tc>
          <w:tcPr>
            <w:tcW w:type="dxa" w:w="2492"/>
          </w:tcPr>
          <w:p>
            <w:pPr>
              <w:pStyle w:val="null3"/>
              <w:jc w:val="both"/>
            </w:pPr>
            <w:r>
              <w:rPr>
                <w:rFonts w:ascii="仿宋_GB2312" w:hAnsi="仿宋_GB2312" w:cs="仿宋_GB2312" w:eastAsia="仿宋_GB2312"/>
              </w:rPr>
              <w:t>根据供应商针对本项目提供的医疗救援方案（包括但不限于：①医疗救援实施方案、②培训教育、③相关医疗设备、④救助车辆准备等内容）进行综合评分： （1）方案每一项内容详细完整，条理清晰，针对实际情况，考虑问题周全，完全满足采购需求的得12分； （2）方案每一项与项目实际匹配、符合项目特点，基本满足采购需求的得9分； （3）方案每一项与项目实施内容较少、适用性不强，不能完全满足采购需求的得5分； （4）方案缺项、方案内容适用性较差，较难满足采购需求的得2分； （5）未提供方案的得 0 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执行服务方案</w:t>
            </w:r>
          </w:p>
        </w:tc>
        <w:tc>
          <w:tcPr>
            <w:tcW w:type="dxa" w:w="2492"/>
          </w:tcPr>
          <w:p>
            <w:pPr>
              <w:pStyle w:val="null3"/>
              <w:jc w:val="both"/>
            </w:pPr>
            <w:r>
              <w:rPr>
                <w:rFonts w:ascii="仿宋_GB2312" w:hAnsi="仿宋_GB2312" w:cs="仿宋_GB2312" w:eastAsia="仿宋_GB2312"/>
              </w:rPr>
              <w:t>根据供应商针对本项目提供的执行服务方案（包括但不限于：①执行服务工作方案、②执行服务保障措施、③响应时间等内容）进行综合评分： （1）方案每一项内容详细完整，条理清晰，针对实际情况，考虑问题周全，完全满足采购需求的得6分； （2）方案每一项与项目实际匹配、符合项目特点，基本满足采购需求的得4分； （3）方案每一项与项目实施内容较少、适用性不强，不能完全满足采购需求的得2分； （4）方案缺项、方案内容适用性较差，较难满足采购需求的得1分； （5）未提供方案的得 0 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2021年至今承接过类似赛事活动服务业绩，每提供一个业绩得5分，本项最高得15分。 证明材料：时间以合同签订或中标（成交）通知书时间为准，响应文件中提供合同或中标（成交）通知加盖公章复印件，不提供不得分。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文件响应 程度</w:t>
            </w:r>
          </w:p>
        </w:tc>
        <w:tc>
          <w:tcPr>
            <w:tcW w:type="dxa" w:w="2492"/>
          </w:tcPr>
          <w:p>
            <w:pPr>
              <w:pStyle w:val="null3"/>
              <w:jc w:val="both"/>
            </w:pPr>
            <w:r>
              <w:rPr>
                <w:rFonts w:ascii="仿宋_GB2312" w:hAnsi="仿宋_GB2312" w:cs="仿宋_GB2312" w:eastAsia="仿宋_GB2312"/>
              </w:rPr>
              <w:t>根据“用户需求响应/偏离表”中提供的★服务内容，完全满足或高于用户需求的，得15分；有一项负偏离或不响应的扣1分。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2025“海口杯”端午国际龙舟邀请赛</w:t>
      </w:r>
    </w:p>
    <w:p>
      <w:pPr>
        <w:pStyle w:val="null3"/>
        <w:jc w:val="left"/>
      </w:pPr>
      <w:r>
        <w:rPr>
          <w:rFonts w:ascii="仿宋_GB2312" w:hAnsi="仿宋_GB2312" w:cs="仿宋_GB2312" w:eastAsia="仿宋_GB2312"/>
        </w:rPr>
        <w:t>采购包：</w:t>
      </w:r>
      <w:r>
        <w:rPr>
          <w:rFonts w:ascii="仿宋_GB2312" w:hAnsi="仿宋_GB2312" w:cs="仿宋_GB2312" w:eastAsia="仿宋_GB2312"/>
        </w:rPr>
        <w:t>2025“海口杯”端午国际龙舟邀请赛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2025“海口杯”端午国际龙舟邀请赛</w:t>
            </w:r>
          </w:p>
        </w:tc>
        <w:tc>
          <w:tcPr>
            <w:tcW w:type="dxa" w:w="1038"/>
          </w:tcPr>
          <w:p>
            <w:pPr>
              <w:pStyle w:val="null3"/>
              <w:jc w:val="left"/>
            </w:pPr>
            <w:r>
              <w:rPr>
                <w:rFonts w:ascii="仿宋_GB2312" w:hAnsi="仿宋_GB2312" w:cs="仿宋_GB2312" w:eastAsia="仿宋_GB2312"/>
              </w:rPr>
              <w:t xml:space="preserve"> 1.00场</w:t>
            </w:r>
          </w:p>
        </w:tc>
        <w:tc>
          <w:tcPr>
            <w:tcW w:type="dxa" w:w="1038"/>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