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询价通知书</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2025年度路面维修用沥青油采购项目(二次)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HNJY-2025-005-1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海口市市政工程维修公司</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海南景煜项目管理有限责任公司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2.3供应商完成响应文件编制后，应按照询价通知书第六章明确的签章要求，使用互认的证书及签章对响应文件进行电子签章和加密。</w:t>
      </w:r>
    </w:p>
    <w:p>
      <w:pPr>
        <w:pStyle w:val="null3"/>
        <w:ind w:firstLine="480"/>
        <w:jc w:val="both"/>
      </w:pPr>
      <w:r>
        <w:rPr>
          <w:rFonts w:ascii="仿宋_GB2312" w:hAnsi="仿宋_GB2312" w:cs="仿宋_GB2312" w:eastAsia="仿宋_GB2312"/>
        </w:rPr>
        <w:t>2.4 询价通知书澄清或者修改的内容可能影响响应文件编制的，代理机构将重新发布澄清或者修改后的询价通知书，供应商应重新获取澄清或者修改后的询价通知书，按照澄清或者修改后的询价通知书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标书”，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供应商未按询价通知书要求提供备用响应文件的。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ind w:firstLine="480"/>
        <w:jc w:val="left"/>
      </w:pPr>
      <w:r>
        <w:rPr>
          <w:rFonts w:ascii="仿宋_GB2312" w:hAnsi="仿宋_GB2312" w:cs="仿宋_GB2312" w:eastAsia="仿宋_GB2312"/>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政府采购询价邀请函</w:t>
      </w:r>
    </w:p>
    <w:p>
      <w:pPr>
        <w:pStyle w:val="null3"/>
        <w:jc w:val="both"/>
      </w:pPr>
      <w:r>
        <w:rPr>
          <w:rFonts w:ascii="仿宋_GB2312" w:hAnsi="仿宋_GB2312" w:cs="仿宋_GB2312" w:eastAsia="仿宋_GB2312"/>
        </w:rPr>
        <w:t xml:space="preserve">受 </w:t>
      </w:r>
      <w:r>
        <w:rPr>
          <w:rFonts w:ascii="仿宋_GB2312" w:hAnsi="仿宋_GB2312" w:cs="仿宋_GB2312" w:eastAsia="仿宋_GB2312"/>
        </w:rPr>
        <w:t>海口市市政工程维修公司</w:t>
      </w:r>
      <w:r>
        <w:rPr>
          <w:rFonts w:ascii="仿宋_GB2312" w:hAnsi="仿宋_GB2312" w:cs="仿宋_GB2312" w:eastAsia="仿宋_GB2312"/>
        </w:rPr>
        <w:t xml:space="preserve"> 委托， </w:t>
      </w:r>
      <w:r>
        <w:rPr>
          <w:rFonts w:ascii="仿宋_GB2312" w:hAnsi="仿宋_GB2312" w:cs="仿宋_GB2312" w:eastAsia="仿宋_GB2312"/>
        </w:rPr>
        <w:t>海南景煜项目管理有限责任公司</w:t>
      </w:r>
      <w:r>
        <w:rPr>
          <w:rFonts w:ascii="仿宋_GB2312" w:hAnsi="仿宋_GB2312" w:cs="仿宋_GB2312" w:eastAsia="仿宋_GB2312"/>
        </w:rPr>
        <w:t xml:space="preserve"> 对 </w:t>
      </w:r>
      <w:r>
        <w:rPr>
          <w:rFonts w:ascii="仿宋_GB2312" w:hAnsi="仿宋_GB2312" w:cs="仿宋_GB2312" w:eastAsia="仿宋_GB2312"/>
        </w:rPr>
        <w:t>2025年度路面维修用沥青油采购项目(二次)</w:t>
      </w:r>
      <w:r>
        <w:rPr>
          <w:rFonts w:ascii="仿宋_GB2312" w:hAnsi="仿宋_GB2312" w:cs="仿宋_GB2312" w:eastAsia="仿宋_GB2312"/>
        </w:rPr>
        <w:t xml:space="preserve"> 项目进行询价采购。欢迎合格供应商前来参加本次采购活动。</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HNJY-2025-005-1</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2025年度路面维修用沥青油采购项目(二次)</w:t>
      </w:r>
    </w:p>
    <w:p>
      <w:pPr>
        <w:pStyle w:val="null3"/>
        <w:ind w:firstLine="480"/>
        <w:jc w:val="both"/>
      </w:pPr>
      <w:r>
        <w:rPr>
          <w:rFonts w:ascii="仿宋_GB2312" w:hAnsi="仿宋_GB2312" w:cs="仿宋_GB2312" w:eastAsia="仿宋_GB2312"/>
        </w:rPr>
        <w:t>3.采购方式：询价</w:t>
      </w:r>
    </w:p>
    <w:p>
      <w:pPr>
        <w:pStyle w:val="null3"/>
        <w:ind w:firstLine="480"/>
        <w:jc w:val="both"/>
      </w:pPr>
      <w:r>
        <w:rPr>
          <w:rFonts w:ascii="仿宋_GB2312" w:hAnsi="仿宋_GB2312" w:cs="仿宋_GB2312" w:eastAsia="仿宋_GB2312"/>
        </w:rPr>
        <w:t xml:space="preserve">4.预算金额： </w:t>
      </w:r>
      <w:r>
        <w:rPr>
          <w:rFonts w:ascii="仿宋_GB2312" w:hAnsi="仿宋_GB2312" w:cs="仿宋_GB2312" w:eastAsia="仿宋_GB2312"/>
        </w:rPr>
        <w:t>2,268,000.00元</w:t>
      </w:r>
      <w:r>
        <w:rPr>
          <w:rFonts w:ascii="仿宋_GB2312" w:hAnsi="仿宋_GB2312" w:cs="仿宋_GB2312" w:eastAsia="仿宋_GB2312"/>
        </w:rPr>
        <w:t>贰佰贰拾陆万捌仟元整</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自签订合同之日起12个月内，成交供应商按照采购人的采购计划进行分批供货，直至合同期满或完成全部采购预算金额，每批次货物验收合格后交付。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三、获取询价通知书</w:t>
      </w:r>
    </w:p>
    <w:p>
      <w:pPr>
        <w:pStyle w:val="null3"/>
        <w:ind w:firstLine="480"/>
        <w:jc w:val="both"/>
      </w:pPr>
      <w:r>
        <w:rPr>
          <w:rFonts w:ascii="仿宋_GB2312" w:hAnsi="仿宋_GB2312" w:cs="仿宋_GB2312" w:eastAsia="仿宋_GB2312"/>
        </w:rPr>
        <w:t>1.时间：遵照询价公告或更正公告的相关约定（北京时间）。</w:t>
      </w:r>
    </w:p>
    <w:p>
      <w:pPr>
        <w:pStyle w:val="null3"/>
        <w:ind w:firstLine="480"/>
        <w:jc w:val="both"/>
      </w:pPr>
      <w:r>
        <w:rPr>
          <w:rFonts w:ascii="仿宋_GB2312" w:hAnsi="仿宋_GB2312" w:cs="仿宋_GB2312" w:eastAsia="仿宋_GB2312"/>
        </w:rPr>
        <w:t>2.在询价通知书获取期限内，供应商应通过海南省政府采购智慧云平台注册账号（免费注册）并获取询价通知书(登录海南省政府采购智慧云平台进行文件获取)，否则报价响应将被拒绝。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both"/>
      </w:pPr>
      <w:r>
        <w:rPr>
          <w:rFonts w:ascii="仿宋_GB2312" w:hAnsi="仿宋_GB2312" w:cs="仿宋_GB2312" w:eastAsia="仿宋_GB2312"/>
        </w:rPr>
        <w:t>1.截止时间：遵照询价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2.地点：遵照询价公告或更正公告的相关约定。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both"/>
      </w:pPr>
      <w:r>
        <w:rPr>
          <w:rFonts w:ascii="仿宋_GB2312" w:hAnsi="仿宋_GB2312" w:cs="仿宋_GB2312" w:eastAsia="仿宋_GB2312"/>
        </w:rPr>
        <w:t>1.时间：遵照询价公告或更正公告的相关约定。</w:t>
      </w:r>
    </w:p>
    <w:p>
      <w:pPr>
        <w:pStyle w:val="null3"/>
        <w:ind w:firstLine="480"/>
        <w:jc w:val="both"/>
      </w:pPr>
      <w:r>
        <w:rPr>
          <w:rFonts w:ascii="仿宋_GB2312" w:hAnsi="仿宋_GB2312" w:cs="仿宋_GB2312" w:eastAsia="仿宋_GB2312"/>
        </w:rPr>
        <w:t>2.地点：遵照询价公告或更正公告的相关约定。</w:t>
      </w:r>
    </w:p>
    <w:p>
      <w:pPr>
        <w:pStyle w:val="null3"/>
        <w:ind w:firstLine="480"/>
        <w:jc w:val="both"/>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六、公告期限</w:t>
      </w:r>
    </w:p>
    <w:p>
      <w:pPr>
        <w:pStyle w:val="null3"/>
        <w:ind w:firstLine="480"/>
        <w:jc w:val="both"/>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正文（div）</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海口市市政工程维修公司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海口市文华东路3号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0898-68552928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海南景煜项目管理有限责任公司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海南省海口市美兰区勤政路 2号靓佳大厦906A</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庞工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0898-36316689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（2）有关本项目询价通知书的补遗、澄清及变更信息以上述网站公告与下载为准，采购代理机构不再另行通知，询价通知书与更正公告的内容相互矛盾时，以最后发出的更正公告内容为准。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（特别提示：本表与询价通知书对应章节的内容若不一致，以本表为准。）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采购包1：2,268,000.00元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询价保证金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说明：1、供应商应在合同签订后7个工作日内，向采购人提供履约保函原件（该保函应为不可撤销见索即付保函）。 2、履约保证金的形式：银行保函、机构保函、保险保函形式；采用银行保函时，出具保函的银行级别：国有商业银行或股份制银行的支行及以上级别银行开具。 3、保函有效期限为货物质保期结束后30日，若项目需延续服务期限，保函必须延期，延期费用由供应商负责。 4、在保函有效期限结束后，经供应商申请，7个工作日内采购人将履约保函原件退回给供应商。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从投标截止日期起计算的60日历天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代理服务费收费标准：《海南省物价局关于降低部分招标代理服务收费标准的通知》（琼价费管〔2011〕225 号）文件规定的收费标准下浮20%，采购代理机构向采购人收取采购代理服务费人民币贰万叁仟壹佰伍拾捌元肆角整（¥23158.40）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本项目属于专门面向中小企业采购（供应商应为中小微企业或监狱企业或残疾人福利单位）。根据《政府采购促进中小企业发展管理办法》、《海南省财政厅 海南省工业和信息化厅关于落实超常规举措加大对中小企业政府采购支持的通知》，专门面向中小企业采购的项目或者采购包，不再执行价格评审优惠的扶持政策。3.供应商如遇技术问题自行联系海南省政府采购智慧云平台客服。 4.根据《财政部办公厅关于在相关自由贸易试验区和自由贸易港开展推动解决政府采购异常低价问题试点工作的通知》（财办库[2024]265号）规定：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（一）投标(响应)报价低于全部通过符合性审查供应商投标(响应)报价平均值50%的，即投标(响应)报价&lt;全部通过符合性审查供应商投标(响应)报价平均值x50%； （二）投标(响应)报价低于通过符合性审查且报价次低供应商投标(响应)报价50%的，即投标(响应)报价&lt;通过符合性审查且报价次低供应商投标(响应)报价x50%； （三）投标(响应)报价低于采购项目最高限价45%的，即投标(响应)报价&lt;采购项目最高限价x45%； （四）其他评审委员会认为供应商报价过低，有可能影响产品质量或者不能诚信履约的情形。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“采购单位”指询价通知书中所述所有货物及相关服务的需方。</w:t>
      </w:r>
    </w:p>
    <w:p>
      <w:pPr>
        <w:pStyle w:val="null3"/>
        <w:ind w:firstLine="480"/>
        <w:jc w:val="both"/>
      </w:pPr>
      <w:r>
        <w:rPr>
          <w:rFonts w:ascii="仿宋_GB2312" w:hAnsi="仿宋_GB2312" w:cs="仿宋_GB2312" w:eastAsia="仿宋_GB2312"/>
        </w:rPr>
        <w:t>2.1.3 “货物”是指供应商制造或组织符合询价通知书要求的货物等。询价通知书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询价通知书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“供应商”指按询价通知书规定取得询价通知书并参加交易活动询价的供应商。</w:t>
      </w:r>
    </w:p>
    <w:p>
      <w:pPr>
        <w:pStyle w:val="null3"/>
        <w:ind w:firstLine="480"/>
        <w:jc w:val="both"/>
      </w:pPr>
      <w:r>
        <w:rPr>
          <w:rFonts w:ascii="仿宋_GB2312" w:hAnsi="仿宋_GB2312" w:cs="仿宋_GB2312" w:eastAsia="仿宋_GB2312"/>
        </w:rPr>
        <w:t>2.1.6 “成交人”是指经询价小组评审，授予合同的供应商。</w:t>
      </w:r>
    </w:p>
    <w:p>
      <w:pPr>
        <w:pStyle w:val="null3"/>
        <w:ind w:firstLine="480"/>
        <w:jc w:val="both"/>
      </w:pPr>
      <w:r>
        <w:rPr>
          <w:rFonts w:ascii="仿宋_GB2312" w:hAnsi="仿宋_GB2312" w:cs="仿宋_GB2312" w:eastAsia="仿宋_GB2312"/>
        </w:rPr>
        <w:t>2.1.7 询价通知书中涉及的时间均为北京时间。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适用于询价通知书载明项目的政府采购活动（以下简称：“本次采购活动”）。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如供应商是银行、保险、石油石化、电力、电信行业的，分支机构可参与本项目的政府采购活动。询价通知书中涉及要求提供“法定代表人”相关证明材料的，提供分支机构“负责人”的相关证明材料。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政府采购询价邀请函 “二、供应商资格要求”中除2.3.1.1条款外的其他资格条件。详见第四章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2.4询价费用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2.4.2不论询价结果如何，供应商应自行承担其准备和参加本次采购活动所涉及的一切费用。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现场考察（如有），采购单位应在规定的时间、地点组织已报名的潜在供应商进行现场考察。（组织时间、地点、联系人、联系电话：遵照询价公告或更正公告的相关约定。）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答疑会（如有），采购单位应在规定的时间、地点组织已报名的潜在供应商召开答疑会。（组织时间、地点、联系人、联系电话：遵照询价公告或更正公告的相关约定。）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both"/>
        <w:outlineLvl w:val="2"/>
      </w:pPr>
      <w:r>
        <w:rPr>
          <w:rFonts w:ascii="仿宋_GB2312" w:hAnsi="仿宋_GB2312" w:cs="仿宋_GB2312" w:eastAsia="仿宋_GB2312"/>
          <w:sz w:val="28"/>
          <w:b/>
        </w:rPr>
        <w:t>三、询价通知书</w:t>
      </w:r>
    </w:p>
    <w:p>
      <w:pPr>
        <w:pStyle w:val="null3"/>
        <w:ind w:firstLine="480"/>
        <w:jc w:val="both"/>
      </w:pPr>
      <w:r>
        <w:rPr>
          <w:rFonts w:ascii="仿宋_GB2312" w:hAnsi="仿宋_GB2312" w:cs="仿宋_GB2312" w:eastAsia="仿宋_GB2312"/>
        </w:rPr>
        <w:t>3.1询价通知书的组成</w:t>
      </w:r>
    </w:p>
    <w:p>
      <w:pPr>
        <w:pStyle w:val="null3"/>
        <w:ind w:firstLine="480"/>
        <w:jc w:val="both"/>
      </w:pPr>
      <w:r>
        <w:rPr>
          <w:rFonts w:ascii="仿宋_GB2312" w:hAnsi="仿宋_GB2312" w:cs="仿宋_GB2312" w:eastAsia="仿宋_GB2312"/>
        </w:rPr>
        <w:t>3.1.1询价通知书由六部分组成，包括：</w:t>
      </w:r>
    </w:p>
    <w:p>
      <w:pPr>
        <w:pStyle w:val="null3"/>
        <w:ind w:firstLine="480"/>
        <w:jc w:val="both"/>
      </w:pPr>
      <w:r>
        <w:rPr>
          <w:rFonts w:ascii="仿宋_GB2312" w:hAnsi="仿宋_GB2312" w:cs="仿宋_GB2312" w:eastAsia="仿宋_GB2312"/>
        </w:rPr>
        <w:t>第一章 政府采购询价邀请函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3.1.2供应商被视为充分熟悉本采购项目所在地的与履行合同有关的各种情况，包括自然环境、气候条件、劳动力及公用设施等，本询价通知书不再对上述情况进行描述。</w:t>
      </w:r>
    </w:p>
    <w:p>
      <w:pPr>
        <w:pStyle w:val="null3"/>
        <w:ind w:firstLine="480"/>
        <w:jc w:val="both"/>
      </w:pPr>
      <w:r>
        <w:rPr>
          <w:rFonts w:ascii="仿宋_GB2312" w:hAnsi="仿宋_GB2312" w:cs="仿宋_GB2312" w:eastAsia="仿宋_GB2312"/>
        </w:rPr>
        <w:t>3.1.3 供应商必须详阅询价通知书的所有条款、文件及表格格式。供应商若未按询价通知书的要求和规范编制、提交响应文件，将有可能导致响应文件被拒绝接受，所造成的负面后果由供应商负责。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3.2询价通知书的澄清和修改</w:t>
      </w:r>
    </w:p>
    <w:p>
      <w:pPr>
        <w:pStyle w:val="null3"/>
        <w:ind w:firstLine="480"/>
        <w:jc w:val="both"/>
      </w:pPr>
      <w:r>
        <w:rPr>
          <w:rFonts w:ascii="仿宋_GB2312" w:hAnsi="仿宋_GB2312" w:cs="仿宋_GB2312" w:eastAsia="仿宋_GB2312"/>
        </w:rPr>
        <w:t>3.2.1供应商应仔细阅读和检查询价通知书的全部内容。如发现缺项或询价通知书构成要件不全，应及时向采购代理机构提出，以便获得文件补全。</w:t>
      </w:r>
    </w:p>
    <w:p>
      <w:pPr>
        <w:pStyle w:val="null3"/>
        <w:ind w:firstLine="480"/>
        <w:jc w:val="both"/>
      </w:pPr>
      <w:r>
        <w:rPr>
          <w:rFonts w:ascii="仿宋_GB2312" w:hAnsi="仿宋_GB2312" w:cs="仿宋_GB2312" w:eastAsia="仿宋_GB2312"/>
        </w:rPr>
        <w:t>3.2.2询价通知书发出后，采购代理机构和采购单位可以对询价通知书进行澄清和修改。澄清和修改的内容采购代理机构将以法定网站上公告的方式通知。（网址详见政府采购询价邀请函）</w:t>
      </w:r>
    </w:p>
    <w:p>
      <w:pPr>
        <w:pStyle w:val="null3"/>
        <w:ind w:firstLine="480"/>
        <w:jc w:val="both"/>
      </w:pPr>
      <w:r>
        <w:rPr>
          <w:rFonts w:ascii="仿宋_GB2312" w:hAnsi="仿宋_GB2312" w:cs="仿宋_GB2312" w:eastAsia="仿宋_GB2312"/>
        </w:rPr>
        <w:t>3.2.3当询价通知书、更正公告等内容相互矛盾时，以最后发出的为准。</w:t>
      </w:r>
    </w:p>
    <w:p>
      <w:pPr>
        <w:pStyle w:val="null3"/>
        <w:ind w:firstLine="480"/>
        <w:jc w:val="both"/>
      </w:pPr>
      <w:r>
        <w:rPr>
          <w:rFonts w:ascii="仿宋_GB2312" w:hAnsi="仿宋_GB2312" w:cs="仿宋_GB2312" w:eastAsia="仿宋_GB2312"/>
        </w:rPr>
        <w:t>3.2.4询价通知书的澄清和更正内容是询价通知书的组成部分，对供应商具有约束力,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4.3询价保证金（如有）</w:t>
      </w:r>
    </w:p>
    <w:p>
      <w:pPr>
        <w:pStyle w:val="null3"/>
        <w:ind w:firstLine="480"/>
        <w:jc w:val="both"/>
      </w:pPr>
      <w:r>
        <w:rPr>
          <w:rFonts w:ascii="仿宋_GB2312" w:hAnsi="仿宋_GB2312" w:cs="仿宋_GB2312" w:eastAsia="仿宋_GB2312"/>
        </w:rPr>
        <w:t>4.3.1询价保证金是参加本项目询价的必要条件，保证金到账截止时间即提交响应文件截止时间（具体时间详见“第一章 政府采购询价邀请函”）。</w:t>
      </w:r>
    </w:p>
    <w:p>
      <w:pPr>
        <w:pStyle w:val="null3"/>
        <w:ind w:firstLine="480"/>
        <w:jc w:val="both"/>
      </w:pPr>
      <w:r>
        <w:rPr>
          <w:rFonts w:ascii="仿宋_GB2312" w:hAnsi="仿宋_GB2312" w:cs="仿宋_GB2312" w:eastAsia="仿宋_GB2312"/>
        </w:rPr>
        <w:t>4.3.2询价保证金缴纳方式：</w:t>
      </w:r>
    </w:p>
    <w:p>
      <w:pPr>
        <w:pStyle w:val="null3"/>
        <w:ind w:firstLine="480"/>
        <w:jc w:val="both"/>
      </w:pPr>
      <w:r>
        <w:rPr>
          <w:rFonts w:ascii="仿宋_GB2312" w:hAnsi="仿宋_GB2312" w:cs="仿宋_GB2312" w:eastAsia="仿宋_GB2312"/>
        </w:rPr>
        <w:t>4.3.2.1 供应商以汇款形式缴纳询价保证金的，应从其银行账户（基本存款账户）按照下列方式：公对公转账方式向询价通知书载明的询价保证金账户提交询价保证金。</w:t>
      </w:r>
    </w:p>
    <w:p>
      <w:pPr>
        <w:pStyle w:val="null3"/>
        <w:ind w:firstLine="480"/>
        <w:jc w:val="both"/>
      </w:pPr>
      <w:r>
        <w:rPr>
          <w:rFonts w:ascii="仿宋_GB2312" w:hAnsi="仿宋_GB2312" w:cs="仿宋_GB2312" w:eastAsia="仿宋_GB2312"/>
        </w:rPr>
        <w:t>4.3.2.2 供应商以电子保函形式提交询价保证金的，可在询价通知书载明的响应截止时间前通过海南省政府采购智慧云平台“保函服务”栏目办理电子保函并在电汇或银行转账单上注明（项目编号）；在响应截止时间之前将电子保函文件放入响应文件中，否则视为未提交询价保证金。</w:t>
      </w:r>
    </w:p>
    <w:p>
      <w:pPr>
        <w:pStyle w:val="null3"/>
        <w:ind w:firstLine="480"/>
        <w:jc w:val="both"/>
      </w:pPr>
      <w:r>
        <w:rPr>
          <w:rFonts w:ascii="仿宋_GB2312" w:hAnsi="仿宋_GB2312" w:cs="仿宋_GB2312" w:eastAsia="仿宋_GB2312"/>
        </w:rPr>
        <w:t>4.3.2.3 若本项目接受联合体响应且供应商为联合体，则联合体中的牵头方应按照本章第4.3.2条第4.3.2.1、4.3.2.2点规定提交询价保证金。</w:t>
      </w:r>
    </w:p>
    <w:p>
      <w:pPr>
        <w:pStyle w:val="null3"/>
        <w:ind w:firstLine="480"/>
        <w:jc w:val="both"/>
      </w:pPr>
      <w:r>
        <w:rPr>
          <w:rFonts w:ascii="仿宋_GB2312" w:hAnsi="仿宋_GB2312" w:cs="仿宋_GB2312" w:eastAsia="仿宋_GB2312"/>
        </w:rPr>
        <w:t>4.3.3若供应商不按规定提交询价保证金，其响应文件将被拒绝接收。</w:t>
      </w:r>
    </w:p>
    <w:p>
      <w:pPr>
        <w:pStyle w:val="null3"/>
        <w:ind w:firstLine="480"/>
        <w:jc w:val="both"/>
      </w:pPr>
      <w:r>
        <w:rPr>
          <w:rFonts w:ascii="仿宋_GB2312" w:hAnsi="仿宋_GB2312" w:cs="仿宋_GB2312" w:eastAsia="仿宋_GB2312"/>
        </w:rPr>
        <w:t>4.4询价保证金的退还</w:t>
      </w:r>
    </w:p>
    <w:p>
      <w:pPr>
        <w:pStyle w:val="null3"/>
        <w:ind w:firstLine="480"/>
        <w:jc w:val="both"/>
      </w:pPr>
      <w:r>
        <w:rPr>
          <w:rFonts w:ascii="仿宋_GB2312" w:hAnsi="仿宋_GB2312" w:cs="仿宋_GB2312" w:eastAsia="仿宋_GB2312"/>
        </w:rPr>
        <w:t>4.4.1成交供应商的询价保证金在其与采购人签订了采购合同之日起5个工作日内无息退还。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4.4.2未成交的供应商的询价保证金将在成交通知书发出之日起5个工作日内无息退还。</w:t>
      </w:r>
    </w:p>
    <w:p>
      <w:pPr>
        <w:pStyle w:val="null3"/>
        <w:ind w:firstLine="480"/>
        <w:jc w:val="both"/>
      </w:pPr>
      <w:r>
        <w:rPr>
          <w:rFonts w:ascii="仿宋_GB2312" w:hAnsi="仿宋_GB2312" w:cs="仿宋_GB2312" w:eastAsia="仿宋_GB2312"/>
        </w:rPr>
        <w:t>4.4.3发生下列情况之一，询价保证金将不予退还：</w:t>
      </w:r>
    </w:p>
    <w:p>
      <w:pPr>
        <w:pStyle w:val="null3"/>
        <w:ind w:firstLine="480"/>
        <w:jc w:val="both"/>
      </w:pPr>
      <w:r>
        <w:rPr>
          <w:rFonts w:ascii="仿宋_GB2312" w:hAnsi="仿宋_GB2312" w:cs="仿宋_GB2312" w:eastAsia="仿宋_GB2312"/>
        </w:rPr>
        <w:t>（1）供应商在规定的询价保证金内撤销或修改其响应文件的；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（5）向采购人、采购机构、询价小组成员行贿或者提供其他不正当利益的；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4.5询价有效期</w:t>
      </w:r>
    </w:p>
    <w:p>
      <w:pPr>
        <w:pStyle w:val="null3"/>
        <w:ind w:firstLine="480"/>
        <w:jc w:val="both"/>
      </w:pPr>
      <w:r>
        <w:rPr>
          <w:rFonts w:ascii="仿宋_GB2312" w:hAnsi="仿宋_GB2312" w:cs="仿宋_GB2312" w:eastAsia="仿宋_GB2312"/>
        </w:rPr>
        <w:t>4.5.l 询价有效期为从递交响应文件的截止之日起，详见第二章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询价有效期满之前，征得供应商同意延长询价有效期，要求与答复均应以书面形式进行。供应商可以拒绝接受这一要求而放弃报价，询价保证金将在规定期限内无息退还。同意这一要求的供应商，无需也不允许修改其响应文件，但须相应延长询价有效期。受询价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 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供应商应在响应文件中提供证明其所投货物、服务的合格性和符合询价通知书规定的相关证明文件。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询价通知书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4.6.4询价通知书中《报价表》、《明细报价表》（若有）、《技术响应表》、《商务响应表》等要求盖章的文件需单位加盖公章。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政府采购询价邀请函”。</w:t>
      </w:r>
    </w:p>
    <w:p>
      <w:pPr>
        <w:pStyle w:val="null3"/>
        <w:ind w:firstLine="480"/>
        <w:jc w:val="both"/>
      </w:pPr>
      <w:r>
        <w:rPr>
          <w:rFonts w:ascii="仿宋_GB2312" w:hAnsi="仿宋_GB2312" w:cs="仿宋_GB2312" w:eastAsia="仿宋_GB2312"/>
        </w:rPr>
        <w:t>5.2.2递交要求：递交响应文件截止时间前，供应商须在海南省政府采购智慧云平台上传电子响应文件（电子响应文件需上传.标书格式），未上传电子响应文件的，视为其响应无效。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5.2.3逾期上传或未按指定方式上传的响应文件，采购代理机构不予受理。</w:t>
      </w:r>
    </w:p>
    <w:p>
      <w:pPr>
        <w:pStyle w:val="null3"/>
        <w:ind w:firstLine="480"/>
        <w:jc w:val="both"/>
      </w:pPr>
      <w:r>
        <w:rPr>
          <w:rFonts w:ascii="仿宋_GB2312" w:hAnsi="仿宋_GB2312" w:cs="仿宋_GB2312" w:eastAsia="仿宋_GB2312"/>
        </w:rPr>
        <w:t>5.2.4采购代理机构可根据需要调整文件递交时间，文件递交时间改变将会通过网络方式进行公告或书面通知已报名的供应商。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5.3修改与重投</w:t>
      </w:r>
    </w:p>
    <w:p>
      <w:pPr>
        <w:pStyle w:val="null3"/>
        <w:ind w:firstLine="480"/>
        <w:jc w:val="both"/>
      </w:pPr>
      <w:r>
        <w:rPr>
          <w:rFonts w:ascii="仿宋_GB2312" w:hAnsi="仿宋_GB2312" w:cs="仿宋_GB2312" w:eastAsia="仿宋_GB2312"/>
        </w:rPr>
        <w:t>5.3.1供应商在递交响应文件截止时间前可修改或撤回其上传的响应文件。修改的响应内容应按规定要求上传。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5.3.2供应商不得在递交响应文件截止时间以后修改响应文件。</w:t>
      </w:r>
    </w:p>
    <w:p>
      <w:pPr>
        <w:pStyle w:val="null3"/>
        <w:jc w:val="both"/>
        <w:outlineLvl w:val="2"/>
      </w:pPr>
      <w:r>
        <w:rPr>
          <w:rFonts w:ascii="仿宋_GB2312" w:hAnsi="仿宋_GB2312" w:cs="仿宋_GB2312" w:eastAsia="仿宋_GB2312"/>
          <w:sz w:val="28"/>
          <w:b/>
        </w:rPr>
        <w:t>六、开启</w:t>
      </w:r>
    </w:p>
    <w:p>
      <w:pPr>
        <w:pStyle w:val="null3"/>
        <w:ind w:firstLine="480"/>
        <w:jc w:val="both"/>
      </w:pPr>
      <w:r>
        <w:rPr>
          <w:rFonts w:ascii="仿宋_GB2312" w:hAnsi="仿宋_GB2312" w:cs="仿宋_GB2312" w:eastAsia="仿宋_GB2312"/>
        </w:rPr>
        <w:t>6.1公开报价开启时间和地点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若采购代理机构推迟了询价时间（即递交响应文件截止时间），应以公告的形式通知所有供应商。在这种情况下，供应商的权利和义务均应以新的截止时间为准。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询价公告或更正公告约定的开启时间和地点进行公开报价。开启会的主持人、唱标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6.1.6供应商到现场参加公开报价会，供应商应派其法定代表人或其授权代表准时参加公开报价会，并代表供应商进行签到、文件解密、确认开启记录表等工作。</w:t>
      </w:r>
    </w:p>
    <w:p>
      <w:pPr>
        <w:pStyle w:val="null3"/>
        <w:ind w:firstLine="480"/>
        <w:jc w:val="both"/>
      </w:pPr>
      <w:r>
        <w:rPr>
          <w:rFonts w:ascii="仿宋_GB2312" w:hAnsi="仿宋_GB2312" w:cs="仿宋_GB2312" w:eastAsia="仿宋_GB2312"/>
        </w:rPr>
        <w:t>6.1.7文件解密时间：开启时开始进行解密，由于供应商自身原因，未能及时解密或解密失败的，其响应将被视作无效。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6.1.8出席公开报价会现场的人员必须携带本人身份证。</w:t>
      </w:r>
    </w:p>
    <w:p>
      <w:pPr>
        <w:pStyle w:val="null3"/>
        <w:ind w:firstLine="480"/>
        <w:jc w:val="both"/>
      </w:pPr>
      <w:r>
        <w:rPr>
          <w:rFonts w:ascii="仿宋_GB2312" w:hAnsi="仿宋_GB2312" w:cs="仿宋_GB2312" w:eastAsia="仿宋_GB2312"/>
        </w:rPr>
        <w:t>（注：以上条款如更正公告有新的约定，则按最后更正公告的约定进行。）</w:t>
      </w:r>
    </w:p>
    <w:p>
      <w:pPr>
        <w:pStyle w:val="null3"/>
        <w:ind w:firstLine="480"/>
        <w:jc w:val="both"/>
      </w:pPr>
      <w:r>
        <w:rPr>
          <w:rFonts w:ascii="仿宋_GB2312" w:hAnsi="仿宋_GB2312" w:cs="仿宋_GB2312" w:eastAsia="仿宋_GB2312"/>
        </w:rPr>
        <w:t>6.2公开报价程序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6.2.1 按询价公告或更正公告规定的时间进行签到。</w:t>
      </w:r>
    </w:p>
    <w:p>
      <w:pPr>
        <w:pStyle w:val="null3"/>
        <w:ind w:firstLine="480"/>
        <w:jc w:val="both"/>
      </w:pPr>
      <w:r>
        <w:rPr>
          <w:rFonts w:ascii="仿宋_GB2312" w:hAnsi="仿宋_GB2312" w:cs="仿宋_GB2312" w:eastAsia="仿宋_GB2312"/>
        </w:rPr>
        <w:t>6.2.2 宣布公开报价纪律及主持人、唱价人、记录人、监标人等参加人员。</w:t>
      </w:r>
    </w:p>
    <w:p>
      <w:pPr>
        <w:pStyle w:val="null3"/>
        <w:ind w:firstLine="480"/>
        <w:jc w:val="both"/>
      </w:pPr>
      <w:r>
        <w:rPr>
          <w:rFonts w:ascii="仿宋_GB2312" w:hAnsi="仿宋_GB2312" w:cs="仿宋_GB2312" w:eastAsia="仿宋_GB2312"/>
        </w:rPr>
        <w:t>6.2.3 由供应商代表对电子响应文件的加密情况进行检查，经确认无误后，参加现场报价会对供应商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6.2.4唱标时，唱标人将依次宣布“供应商名称”、“各供应商关于电子响应文件补充、修改或撤回的书面通知（若有）”、“各供应商的响应报价”和询价通知书规定的需要宣布的其他内容（包括但不限于：报价表中的内容、唱标人认为需要宣布的内容等）。</w:t>
      </w:r>
    </w:p>
    <w:p>
      <w:pPr>
        <w:pStyle w:val="null3"/>
        <w:ind w:firstLine="480"/>
        <w:jc w:val="both"/>
      </w:pPr>
      <w:r>
        <w:rPr>
          <w:rFonts w:ascii="仿宋_GB2312" w:hAnsi="仿宋_GB2312" w:cs="仿宋_GB2312" w:eastAsia="仿宋_GB2312"/>
        </w:rPr>
        <w:t>6.2.5唱标结束后，参加现场报价会的供应商代表应对开启记录进行签字确认，通过远程参与开启流程的供应商须在系统远程签章开启后，在系统规定时间内对开启结果进行签章确认。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6.2.6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6.2.7若供应商未到开启现场参加报价会，也未通过远程参加报价会的，视同认可开启结果。</w:t>
      </w:r>
    </w:p>
    <w:p>
      <w:pPr>
        <w:pStyle w:val="null3"/>
        <w:ind w:firstLine="480"/>
        <w:jc w:val="both"/>
      </w:pPr>
      <w:r>
        <w:rPr>
          <w:rFonts w:ascii="仿宋_GB2312" w:hAnsi="仿宋_GB2312" w:cs="仿宋_GB2312" w:eastAsia="仿宋_GB2312"/>
        </w:rPr>
        <w:t>※若出现本章第6.2条第6.2.4、6.2.5、6.2.6款规定情形之一，则供应商不得在报价会后就开启过程和开启记录涉及或可能涉及的有关事由（包括但不限于：“报价表”、“电子响应文件的格式”、“电子响应文件的提交”、“电子响应文件的补充、修改或撤回”等）向采购代理机构提出任何疑义或要求（包括质疑）。</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（2）供应商未按要求提供“供应商资格要求”中的有效证明资料的；</w:t>
      </w:r>
    </w:p>
    <w:p>
      <w:pPr>
        <w:pStyle w:val="null3"/>
        <w:ind w:firstLine="480"/>
        <w:jc w:val="both"/>
      </w:pPr>
      <w:r>
        <w:rPr>
          <w:rFonts w:ascii="仿宋_GB2312" w:hAnsi="仿宋_GB2312" w:cs="仿宋_GB2312" w:eastAsia="仿宋_GB2312"/>
        </w:rPr>
        <w:t>（3）未按询价通知书要求提交保证金的；</w:t>
      </w:r>
    </w:p>
    <w:p>
      <w:pPr>
        <w:pStyle w:val="null3"/>
        <w:ind w:firstLine="480"/>
        <w:jc w:val="both"/>
      </w:pPr>
      <w:r>
        <w:rPr>
          <w:rFonts w:ascii="仿宋_GB2312" w:hAnsi="仿宋_GB2312" w:cs="仿宋_GB2312" w:eastAsia="仿宋_GB2312"/>
        </w:rPr>
        <w:t>（4）询价有效期不足的；</w:t>
      </w:r>
    </w:p>
    <w:p>
      <w:pPr>
        <w:pStyle w:val="null3"/>
        <w:ind w:firstLine="480"/>
        <w:jc w:val="both"/>
      </w:pPr>
      <w:r>
        <w:rPr>
          <w:rFonts w:ascii="仿宋_GB2312" w:hAnsi="仿宋_GB2312" w:cs="仿宋_GB2312" w:eastAsia="仿宋_GB2312"/>
        </w:rPr>
        <w:t>（5）响应文件未按询价通知书规定要求及给定的格式填写、签署及盖章的；</w:t>
      </w:r>
    </w:p>
    <w:p>
      <w:pPr>
        <w:pStyle w:val="null3"/>
        <w:ind w:firstLine="480"/>
        <w:jc w:val="both"/>
      </w:pPr>
      <w:r>
        <w:rPr>
          <w:rFonts w:ascii="仿宋_GB2312" w:hAnsi="仿宋_GB2312" w:cs="仿宋_GB2312" w:eastAsia="仿宋_GB2312"/>
        </w:rPr>
        <w:t>（6）报价超过询价通知书中规定的预算金额或者最高限价的；</w:t>
      </w:r>
    </w:p>
    <w:p>
      <w:pPr>
        <w:pStyle w:val="null3"/>
        <w:ind w:firstLine="480"/>
        <w:jc w:val="both"/>
      </w:pPr>
      <w:r>
        <w:rPr>
          <w:rFonts w:ascii="仿宋_GB2312" w:hAnsi="仿宋_GB2312" w:cs="仿宋_GB2312" w:eastAsia="仿宋_GB2312"/>
        </w:rPr>
        <w:t>（7）询价小组认为供应商的报价明显低于其他通过符合性审查供应商，有可能影响产品质量或者不能诚信履约的，且供应商不能按询价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询价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询价小组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（8）不按要求填写报价表等；</w:t>
      </w:r>
    </w:p>
    <w:p>
      <w:pPr>
        <w:pStyle w:val="null3"/>
        <w:ind w:firstLine="480"/>
        <w:jc w:val="both"/>
      </w:pPr>
      <w:r>
        <w:rPr>
          <w:rFonts w:ascii="仿宋_GB2312" w:hAnsi="仿宋_GB2312" w:cs="仿宋_GB2312" w:eastAsia="仿宋_GB2312"/>
        </w:rPr>
        <w:t>（9）不满足询价通知书中规定的其他实质性要求和条件的</w:t>
      </w:r>
    </w:p>
    <w:p>
      <w:pPr>
        <w:pStyle w:val="null3"/>
        <w:ind w:firstLine="480"/>
        <w:jc w:val="both"/>
      </w:pPr>
      <w:r>
        <w:rPr>
          <w:rFonts w:ascii="仿宋_GB2312" w:hAnsi="仿宋_GB2312" w:cs="仿宋_GB2312" w:eastAsia="仿宋_GB2312"/>
        </w:rPr>
        <w:t>（10）响应文件含有采购人不能接受的附加条件的；</w:t>
      </w:r>
    </w:p>
    <w:p>
      <w:pPr>
        <w:pStyle w:val="null3"/>
        <w:ind w:firstLine="480"/>
        <w:jc w:val="both"/>
      </w:pPr>
      <w:r>
        <w:rPr>
          <w:rFonts w:ascii="仿宋_GB2312" w:hAnsi="仿宋_GB2312" w:cs="仿宋_GB2312" w:eastAsia="仿宋_GB2312"/>
        </w:rPr>
        <w:t>（11）属于询价通知书中规定的串通行为的情形的；</w:t>
      </w:r>
    </w:p>
    <w:p>
      <w:pPr>
        <w:pStyle w:val="null3"/>
        <w:ind w:firstLine="480"/>
        <w:jc w:val="both"/>
      </w:pPr>
      <w:r>
        <w:rPr>
          <w:rFonts w:ascii="仿宋_GB2312" w:hAnsi="仿宋_GB2312" w:cs="仿宋_GB2312" w:eastAsia="仿宋_GB2312"/>
        </w:rPr>
        <w:t>（12）法律、法规和询价通知书规定的其他无效情形。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6.4.1询价小组查询供应商的信用记录。供应商存在不良信用记录的，将被认定为响应无效。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以联合体形式参加询价的，联合体任何成员存在以上不良信用记录的，将被认定为响应无效。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供应商不良信用记录以询价小组查询结果为准。</w:t>
      </w:r>
    </w:p>
    <w:p>
      <w:pPr>
        <w:pStyle w:val="null3"/>
        <w:ind w:firstLine="480"/>
        <w:jc w:val="both"/>
      </w:pPr>
      <w:r>
        <w:rPr>
          <w:rFonts w:ascii="仿宋_GB2312" w:hAnsi="仿宋_GB2312" w:cs="仿宋_GB2312" w:eastAsia="仿宋_GB2312"/>
        </w:rPr>
        <w:t>在本询价通知书规定的查询时间之后，网站信息发生的任何变更均不再作为评审依据。供应商自行提供的与网站信息不一致的其他证明材料亦不作为资格审查的依据。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7.1询价小组</w:t>
      </w:r>
    </w:p>
    <w:p>
      <w:pPr>
        <w:pStyle w:val="null3"/>
        <w:ind w:firstLine="480"/>
        <w:jc w:val="both"/>
      </w:pPr>
      <w:r>
        <w:rPr>
          <w:rFonts w:ascii="仿宋_GB2312" w:hAnsi="仿宋_GB2312" w:cs="仿宋_GB2312" w:eastAsia="仿宋_GB2312"/>
        </w:rPr>
        <w:t>询价小组由采购人的代表和有关专家共三人以上的单数组成。询价小组负责具体评审事务，根据有关法律法规和询价通知书规定独立履行询价小组职责。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7.2.2评审方法：询价小组根据从质量和服务均能满足询价通知书实质性响应要求的供应商中，按照最后报价由低到高的顺序提出3名以上成交候选人。</w:t>
      </w:r>
    </w:p>
    <w:p>
      <w:pPr>
        <w:pStyle w:val="null3"/>
        <w:ind w:firstLine="480"/>
        <w:jc w:val="both"/>
      </w:pPr>
      <w:r>
        <w:rPr>
          <w:rFonts w:ascii="仿宋_GB2312" w:hAnsi="仿宋_GB2312" w:cs="仿宋_GB2312" w:eastAsia="仿宋_GB2312"/>
        </w:rPr>
        <w:t>7.2.3 评审过程的分为文件初审、澄清说明补正（如需）、价格评比、推荐成交候选供应商。</w:t>
      </w:r>
    </w:p>
    <w:p>
      <w:pPr>
        <w:pStyle w:val="null3"/>
        <w:ind w:firstLine="480"/>
        <w:jc w:val="both"/>
      </w:pPr>
      <w:r>
        <w:rPr>
          <w:rFonts w:ascii="仿宋_GB2312" w:hAnsi="仿宋_GB2312" w:cs="仿宋_GB2312" w:eastAsia="仿宋_GB2312"/>
        </w:rPr>
        <w:t>7.2.4评审中如有未考虑到的问题，由询价小组集体研究处理。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询价小组将根据询价通知书中要求的“供应商资格要求”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7.3.2询价小组将只根据响应文件本身的内容做出独立判断，而不需寻求其他外部证据。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w:t>
      </w:r>
    </w:p>
    <w:p>
      <w:pPr>
        <w:pStyle w:val="null3"/>
        <w:ind w:firstLine="480"/>
        <w:jc w:val="both"/>
      </w:pPr>
      <w:r>
        <w:rPr>
          <w:rFonts w:ascii="仿宋_GB2312" w:hAnsi="仿宋_GB2312" w:cs="仿宋_GB2312" w:eastAsia="仿宋_GB2312"/>
        </w:rPr>
        <w:t>7.3.4提供相同品牌产品的不同供应商参加同一合同项下报价的，按一家供应商计算。非单一产品采购项目，多家供应商提供的核心产品品牌相同的，按一家供应商计算。核心产品详见“采购需求”。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7.3.5在评审过程中，询价小组发现供应商有下列表现形式之一的，可以认定属于串通行为，其响应无效，具体表现形式如下：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（4）不同供应商委托同一单位或者个人办理询价事宜；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询价小组对于响应文件中含义不明确、同类问题表述不一致或者有明显文字和计算错误的内容或数据，可要求供应商在规定的时限内做出必要的澄清、说明或者补正。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价格评比</w:t>
      </w:r>
    </w:p>
    <w:p>
      <w:pPr>
        <w:pStyle w:val="null3"/>
        <w:ind w:firstLine="480"/>
        <w:jc w:val="both"/>
      </w:pPr>
      <w:r>
        <w:rPr>
          <w:rFonts w:ascii="仿宋_GB2312" w:hAnsi="仿宋_GB2312" w:cs="仿宋_GB2312" w:eastAsia="仿宋_GB2312"/>
        </w:rPr>
        <w:t>7.5.1对小型或微型企业的扶持（监狱企业、残疾人福利性单位视同小型、微型企业）：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7.5.3询价小组认为供应商的报价明显低于其他通过符合性审查供应商的报价，有可能影响产品质量或者不能诚信履约的，应当要求其在询价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询价小组依据评审情况，按各供应商报价（小型或微型企业、节能或环保产品用扣除后的报价参与评比）由低到高的顺序向采购单位推荐三名以上成交候选人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采购代理机构依据采购单位的确认结果，将在规定的信息发布媒体上发布成交公告（网址详见“政府采购询价邀请函”）。</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根据采购人确定的成交结果，采购代理机构将向成交供应商发出成交通知书。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询价保证金不予退还，给采购单位造成的损失超过询价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合同签订周期：成交结果公告后5个工作日内。</w:t>
      </w:r>
    </w:p>
    <w:p>
      <w:pPr>
        <w:pStyle w:val="null3"/>
        <w:ind w:firstLine="480"/>
        <w:jc w:val="both"/>
      </w:pPr>
      <w:r>
        <w:rPr>
          <w:rFonts w:ascii="仿宋_GB2312" w:hAnsi="仿宋_GB2312" w:cs="仿宋_GB2312" w:eastAsia="仿宋_GB2312"/>
        </w:rPr>
        <w:t>8.3.2 采购单位应当自成交通知书发出后规定的时间内，按照询价通知书和成交供应商响应文件的约定，与成交供应商签订政府采购合同。所签政府采购合同不得对询价通知书和成交供应商的响应文件作实质性修改。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成交供应商应按成交通知书规定的时间、地点与采购单位签订成交合同,否则询价保证金将不予退还，给采购人和采购代理机构造成损失的，供应商还应承担赔偿责任。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政府采购活动过程中需对外发布的信息均统一发布在指定的信息发布媒体上，供应商可从本询价通知书“第一章 政府采购询价邀请函”中指定的信息发布媒体获取信息。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询价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询价小组成员不得收受他人的财物或者其他好处，不得向他人透漏对响应文件的评审和比较、成交候选人的推荐情况以及评审有关的其他情况；在评审活动中，询价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9.4.1供应商认为询价通知书、采购过程和成交结果使自己的权益受到损害的，可以在知道或者应知其权益受到损害之日起7个工作日内，以书面形式向采购人或采购代理机构提出质疑。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联系人：庞工</w:t>
      </w:r>
    </w:p>
    <w:p>
      <w:pPr>
        <w:pStyle w:val="null3"/>
        <w:jc w:val="left"/>
      </w:pPr>
      <w:r>
        <w:rPr>
          <w:rFonts w:ascii="仿宋_GB2312" w:hAnsi="仿宋_GB2312" w:cs="仿宋_GB2312" w:eastAsia="仿宋_GB2312"/>
        </w:rPr>
        <w:t>联系电话：0898-36316689</w:t>
      </w:r>
    </w:p>
    <w:p>
      <w:pPr>
        <w:pStyle w:val="null3"/>
        <w:jc w:val="left"/>
      </w:pPr>
      <w:r>
        <w:rPr>
          <w:rFonts w:ascii="仿宋_GB2312" w:hAnsi="仿宋_GB2312" w:cs="仿宋_GB2312" w:eastAsia="仿宋_GB2312"/>
        </w:rPr>
        <w:t>地址：海南省海口市美兰区勤政路 2号靓佳大厦906A</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(4)供应商不遵守公开报价会场纪律,扰乱政府采购秩序的；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询价控制价</w:t>
      </w:r>
    </w:p>
    <w:p>
      <w:pPr>
        <w:pStyle w:val="null3"/>
        <w:ind w:firstLine="480"/>
        <w:jc w:val="both"/>
      </w:pPr>
      <w:r>
        <w:rPr>
          <w:rFonts w:ascii="仿宋_GB2312" w:hAnsi="仿宋_GB2312" w:cs="仿宋_GB2312" w:eastAsia="仿宋_GB2312"/>
        </w:rPr>
        <w:t>询价通知书中规定的最高限价为询价控制价；如未规定最高限价的，则项目预算金额为询价控制价。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询价通知书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询价通知书的各个组成文件应互为解释，互为说明；如有不明确或不一致，构成合同文件组成内容的，以合同文件约定内容为准；除询价通知书中有特别规定外，仅适用于询价阶段的规定，按询价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5"/>
        </w:rPr>
        <w:t>1.项目编号： HNJY-2025-005-1</w:t>
      </w:r>
    </w:p>
    <w:p>
      <w:pPr>
        <w:pStyle w:val="null3"/>
        <w:jc w:val="left"/>
      </w:pPr>
      <w:r>
        <w:rPr>
          <w:rFonts w:ascii="仿宋_GB2312" w:hAnsi="仿宋_GB2312" w:cs="仿宋_GB2312" w:eastAsia="仿宋_GB2312"/>
          <w:sz w:val="15"/>
        </w:rPr>
        <w:t xml:space="preserve">2.项目名称： </w:t>
      </w:r>
      <w:r>
        <w:rPr>
          <w:rFonts w:ascii="仿宋_GB2312" w:hAnsi="仿宋_GB2312" w:cs="仿宋_GB2312" w:eastAsia="仿宋_GB2312"/>
          <w:sz w:val="15"/>
          <w:color w:val="000000"/>
        </w:rPr>
        <w:t>2025年度路面维修用沥青油采购项目（二次）</w:t>
      </w:r>
    </w:p>
    <w:p>
      <w:pPr>
        <w:pStyle w:val="null3"/>
        <w:jc w:val="left"/>
      </w:pPr>
      <w:r>
        <w:rPr>
          <w:rFonts w:ascii="仿宋_GB2312" w:hAnsi="仿宋_GB2312" w:cs="仿宋_GB2312" w:eastAsia="仿宋_GB2312"/>
          <w:sz w:val="15"/>
        </w:rPr>
        <w:t xml:space="preserve">3.预算金额：2268000.00元  </w:t>
      </w:r>
      <w:r>
        <w:rPr>
          <w:rFonts w:ascii="仿宋_GB2312" w:hAnsi="仿宋_GB2312" w:cs="仿宋_GB2312" w:eastAsia="仿宋_GB2312"/>
          <w:sz w:val="15"/>
          <w:color w:val="000000"/>
        </w:rPr>
        <w:t>贰佰贰拾陆万捌仟元整</w:t>
      </w:r>
    </w:p>
    <w:p>
      <w:pPr>
        <w:pStyle w:val="null3"/>
        <w:jc w:val="left"/>
      </w:pPr>
      <w:r>
        <w:rPr>
          <w:rFonts w:ascii="仿宋_GB2312" w:hAnsi="仿宋_GB2312" w:cs="仿宋_GB2312" w:eastAsia="仿宋_GB2312"/>
          <w:sz w:val="15"/>
        </w:rPr>
        <w:t>4.合同履行期限：自签订合同之日起12个月内，成交供应商按照采购人的采购计划进行分批供货，直至合同期满或完成全部采购预算金额，每批次货物验收合格后交付。</w:t>
      </w:r>
    </w:p>
    <w:p>
      <w:pPr>
        <w:pStyle w:val="null3"/>
        <w:jc w:val="left"/>
      </w:pPr>
      <w:r>
        <w:rPr>
          <w:rFonts w:ascii="仿宋_GB2312" w:hAnsi="仿宋_GB2312" w:cs="仿宋_GB2312" w:eastAsia="仿宋_GB2312"/>
          <w:sz w:val="15"/>
        </w:rPr>
        <w:t>5.交货地点：采购人指定地点</w:t>
      </w:r>
    </w:p>
    <w:p>
      <w:pPr>
        <w:pStyle w:val="null3"/>
        <w:jc w:val="left"/>
      </w:pPr>
      <w:r>
        <w:rPr>
          <w:rFonts w:ascii="仿宋_GB2312" w:hAnsi="仿宋_GB2312" w:cs="仿宋_GB2312" w:eastAsia="仿宋_GB2312"/>
          <w:sz w:val="15"/>
        </w:rPr>
        <w:t>6.付款方式：付款方式采用分批结算的方式</w:t>
      </w:r>
    </w:p>
    <w:p>
      <w:pPr>
        <w:pStyle w:val="null3"/>
        <w:jc w:val="left"/>
      </w:pPr>
      <w:r>
        <w:rPr>
          <w:rFonts w:ascii="仿宋_GB2312" w:hAnsi="仿宋_GB2312" w:cs="仿宋_GB2312" w:eastAsia="仿宋_GB2312"/>
          <w:sz w:val="15"/>
        </w:rPr>
        <w:t>6.1按照采购人需求计划分批供货，成交供应商供应每一批次的货量完毕后，将该批次的送货单汇总并向采购人提交对账清单，共同核对无误后办理材料供货结算确认；</w:t>
      </w:r>
    </w:p>
    <w:p>
      <w:pPr>
        <w:pStyle w:val="null3"/>
        <w:jc w:val="both"/>
      </w:pPr>
      <w:r>
        <w:rPr>
          <w:rFonts w:ascii="仿宋_GB2312" w:hAnsi="仿宋_GB2312" w:cs="仿宋_GB2312" w:eastAsia="仿宋_GB2312"/>
          <w:sz w:val="15"/>
        </w:rPr>
        <w:t>6.2双方结算确认后，成交供应商应提交符合要求的标的物销售发票，经采购人核实确认有效后5个工作日内按照海口市国库支付程序办理转账付款手续。</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2,268,000.00</w:t>
      </w:r>
    </w:p>
    <w:p>
      <w:pPr>
        <w:pStyle w:val="null3"/>
        <w:jc w:val="left"/>
      </w:pPr>
      <w:r>
        <w:rPr>
          <w:rFonts w:ascii="仿宋_GB2312" w:hAnsi="仿宋_GB2312" w:cs="仿宋_GB2312" w:eastAsia="仿宋_GB2312"/>
        </w:rPr>
        <w:t>采购包最高限价（元）: 2,268,000.00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A07010371-沥青混合物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2,268,000.00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普通沥青油，改性沥青油，乳化沥青油</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本表中供应商“响应报价”金额应与《报价明细表》中的“供应商报价总价（合计）”金额一致。</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标的名称：A07010371-沥青混合物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0"/>
              <w:jc w:val="left"/>
            </w:pPr>
            <w:r>
              <w:rPr>
                <w:rFonts w:ascii="仿宋_GB2312" w:hAnsi="仿宋_GB2312" w:cs="仿宋_GB2312" w:eastAsia="仿宋_GB2312"/>
                <w:sz w:val="24"/>
                <w:b/>
              </w:rPr>
              <w:t>1、</w:t>
            </w:r>
            <w:r>
              <w:rPr>
                <w:rFonts w:ascii="仿宋_GB2312" w:hAnsi="仿宋_GB2312" w:cs="仿宋_GB2312" w:eastAsia="仿宋_GB2312"/>
                <w:sz w:val="24"/>
                <w:b/>
              </w:rPr>
              <w:t>普通沥青油</w:t>
            </w:r>
            <w:r>
              <w:rPr>
                <w:rFonts w:ascii="仿宋_GB2312" w:hAnsi="仿宋_GB2312" w:cs="仿宋_GB2312" w:eastAsia="仿宋_GB2312"/>
                <w:sz w:val="24"/>
                <w:b/>
              </w:rPr>
              <w:t>技术参数：</w:t>
            </w:r>
          </w:p>
          <w:tbl>
            <w:tblPr>
              <w:tblInd w:type="dxa" w:w="225"/>
              <w:tblBorders>
                <w:top w:val="none" w:color="000000" w:sz="4"/>
                <w:left w:val="none" w:color="000000" w:sz="4"/>
                <w:bottom w:val="none" w:color="000000" w:sz="4"/>
                <w:right w:val="none" w:color="000000" w:sz="4"/>
                <w:insideH w:val="none"/>
                <w:insideV w:val="none"/>
              </w:tblBorders>
            </w:tblPr>
            <w:tblGrid>
              <w:gridCol w:w="230"/>
              <w:gridCol w:w="1143"/>
              <w:gridCol w:w="314"/>
              <w:gridCol w:w="465"/>
              <w:gridCol w:w="390"/>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序号</w:t>
                  </w:r>
                </w:p>
              </w:tc>
              <w:tc>
                <w:tcPr>
                  <w:tcW w:type="dxa" w:w="114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性能指标</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单位</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质量标准</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试验方法</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针入度</w:t>
                  </w: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,5s，100g</w:t>
                  </w:r>
                  <w:r>
                    <w:rPr>
                      <w:rFonts w:ascii="仿宋_GB2312" w:hAnsi="仿宋_GB2312" w:cs="仿宋_GB2312" w:eastAsia="仿宋_GB2312"/>
                      <w:sz w:val="24"/>
                      <w:color w:val="000000"/>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0.1mm</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60～80</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针入度指数</w:t>
                  </w:r>
                  <w:r>
                    <w:rPr>
                      <w:rFonts w:ascii="仿宋_GB2312" w:hAnsi="仿宋_GB2312" w:cs="仿宋_GB2312" w:eastAsia="仿宋_GB2312"/>
                      <w:sz w:val="24"/>
                      <w:color w:val="000000"/>
                    </w:rPr>
                    <w:t>PI</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-1.5～+1.0</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软化点</w:t>
                  </w:r>
                  <w:r>
                    <w:rPr>
                      <w:rFonts w:ascii="仿宋_GB2312" w:hAnsi="仿宋_GB2312" w:cs="仿宋_GB2312" w:eastAsia="仿宋_GB2312"/>
                      <w:sz w:val="24"/>
                      <w:color w:val="000000"/>
                    </w:rPr>
                    <w:t>TR&amp;B</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0606</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动力粘度</w:t>
                  </w:r>
                  <w:r>
                    <w:rPr>
                      <w:rFonts w:ascii="仿宋_GB2312" w:hAnsi="仿宋_GB2312" w:cs="仿宋_GB2312" w:eastAsia="仿宋_GB2312"/>
                      <w:sz w:val="24"/>
                      <w:color w:val="000000"/>
                    </w:rPr>
                    <w:t>60</w:t>
                  </w:r>
                  <w:r>
                    <w:rPr>
                      <w:rFonts w:ascii="仿宋_GB2312" w:hAnsi="仿宋_GB2312" w:cs="仿宋_GB2312" w:eastAsia="仿宋_GB2312"/>
                      <w:sz w:val="24"/>
                      <w:color w:val="000000"/>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Pa·s</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0620</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延度</w:t>
                  </w:r>
                  <w:r>
                    <w:rPr>
                      <w:rFonts w:ascii="仿宋_GB2312" w:hAnsi="仿宋_GB2312" w:cs="仿宋_GB2312" w:eastAsia="仿宋_GB2312"/>
                      <w:sz w:val="24"/>
                      <w:color w:val="000000"/>
                    </w:rPr>
                    <w:t>5cm/min，10</w:t>
                  </w:r>
                  <w:r>
                    <w:rPr>
                      <w:rFonts w:ascii="仿宋_GB2312" w:hAnsi="仿宋_GB2312" w:cs="仿宋_GB2312" w:eastAsia="仿宋_GB2312"/>
                      <w:sz w:val="24"/>
                      <w:color w:val="000000"/>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cm</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延度</w:t>
                  </w:r>
                  <w:r>
                    <w:rPr>
                      <w:rFonts w:ascii="仿宋_GB2312" w:hAnsi="仿宋_GB2312" w:cs="仿宋_GB2312" w:eastAsia="仿宋_GB2312"/>
                      <w:sz w:val="24"/>
                      <w:color w:val="000000"/>
                    </w:rPr>
                    <w:t>5cm/min，15</w:t>
                  </w:r>
                  <w:r>
                    <w:rPr>
                      <w:rFonts w:ascii="仿宋_GB2312" w:hAnsi="仿宋_GB2312" w:cs="仿宋_GB2312" w:eastAsia="仿宋_GB2312"/>
                      <w:sz w:val="24"/>
                      <w:color w:val="000000"/>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cm</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蜡含量（蒸馏法）</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0615</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闪点（</w:t>
                  </w:r>
                  <w:r>
                    <w:rPr>
                      <w:rFonts w:ascii="仿宋_GB2312" w:hAnsi="仿宋_GB2312" w:cs="仿宋_GB2312" w:eastAsia="仿宋_GB2312"/>
                      <w:sz w:val="24"/>
                      <w:color w:val="000000"/>
                    </w:rPr>
                    <w:t>C0C）</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0611</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9</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溶解度（三氯乙烯）</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10</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密度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w:t>
                  </w:r>
                  <w:r>
                    <w:rPr>
                      <w:rFonts w:ascii="仿宋_GB2312" w:hAnsi="仿宋_GB2312" w:cs="仿宋_GB2312" w:eastAsia="仿宋_GB2312"/>
                      <w:sz w:val="24"/>
                      <w:color w:val="000000"/>
                    </w:rPr>
                    <w:t>/</w:t>
                  </w:r>
                  <w:r>
                    <w:rPr>
                      <w:rFonts w:ascii="仿宋_GB2312" w:hAnsi="仿宋_GB2312" w:cs="仿宋_GB2312" w:eastAsia="仿宋_GB2312"/>
                      <w:sz w:val="24"/>
                      <w:color w:val="000000"/>
                    </w:rPr>
                    <w:t>c</w:t>
                  </w:r>
                  <w:r>
                    <w:rPr>
                      <w:rFonts w:ascii="仿宋_GB2312" w:hAnsi="仿宋_GB2312" w:cs="仿宋_GB2312" w:eastAsia="仿宋_GB2312"/>
                      <w:sz w:val="24"/>
                      <w:color w:val="000000"/>
                    </w:rPr>
                    <w:t>m</w:t>
                  </w:r>
                  <w:r>
                    <w:rPr>
                      <w:rFonts w:ascii="仿宋_GB2312" w:hAnsi="仿宋_GB2312" w:cs="仿宋_GB2312" w:eastAsia="仿宋_GB2312"/>
                      <w:sz w:val="24"/>
                      <w:color w:val="000000"/>
                    </w:rPr>
                    <w:t>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实测记录</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0603</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11</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TFOT后残留物  质量变化</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8</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0609</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12</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TFOT后残留物  预留针入度比</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0604</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13</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TFOT后残留物 残留延度（10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cm</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0605</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0"/>
              <w:jc w:val="left"/>
            </w:pPr>
            <w:r>
              <w:rPr>
                <w:rFonts w:ascii="仿宋_GB2312" w:hAnsi="仿宋_GB2312" w:cs="仿宋_GB2312" w:eastAsia="仿宋_GB2312"/>
                <w:sz w:val="24"/>
                <w:b/>
              </w:rPr>
              <w:t>2、</w:t>
            </w:r>
            <w:r>
              <w:rPr>
                <w:rFonts w:ascii="仿宋_GB2312" w:hAnsi="仿宋_GB2312" w:cs="仿宋_GB2312" w:eastAsia="仿宋_GB2312"/>
                <w:sz w:val="24"/>
                <w:b/>
              </w:rPr>
              <w:t>改性沥青油技术参数</w:t>
            </w:r>
          </w:p>
          <w:tbl>
            <w:tblPr>
              <w:tblInd w:type="dxa" w:w="240"/>
              <w:tblBorders>
                <w:top w:val="none" w:color="000000" w:sz="4"/>
                <w:left w:val="none" w:color="000000" w:sz="4"/>
                <w:bottom w:val="none" w:color="000000" w:sz="4"/>
                <w:right w:val="none" w:color="000000" w:sz="4"/>
                <w:insideH w:val="none"/>
                <w:insideV w:val="none"/>
              </w:tblBorders>
            </w:tblPr>
            <w:tblGrid>
              <w:gridCol w:w="261"/>
              <w:gridCol w:w="975"/>
              <w:gridCol w:w="354"/>
              <w:gridCol w:w="460"/>
              <w:gridCol w:w="487"/>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序号</w:t>
                  </w: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性能指标</w:t>
                  </w:r>
                </w:p>
              </w:tc>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单位</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质量标准</w:t>
                  </w:r>
                </w:p>
              </w:tc>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试验方法</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针入度</w:t>
                  </w: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,5s，100g</w:t>
                  </w:r>
                  <w:r>
                    <w:rPr>
                      <w:rFonts w:ascii="仿宋_GB2312" w:hAnsi="仿宋_GB2312" w:cs="仿宋_GB2312" w:eastAsia="仿宋_GB2312"/>
                      <w:sz w:val="24"/>
                      <w:color w:val="000000"/>
                    </w:rPr>
                    <w:t>）</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0.1mm</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40～60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0604</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针入度指数</w:t>
                  </w:r>
                  <w:r>
                    <w:rPr>
                      <w:rFonts w:ascii="仿宋_GB2312" w:hAnsi="仿宋_GB2312" w:cs="仿宋_GB2312" w:eastAsia="仿宋_GB2312"/>
                      <w:sz w:val="24"/>
                      <w:color w:val="000000"/>
                    </w:rPr>
                    <w:t>PI</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0604</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软化点</w:t>
                  </w:r>
                  <w:r>
                    <w:rPr>
                      <w:rFonts w:ascii="仿宋_GB2312" w:hAnsi="仿宋_GB2312" w:cs="仿宋_GB2312" w:eastAsia="仿宋_GB2312"/>
                      <w:sz w:val="24"/>
                      <w:color w:val="000000"/>
                    </w:rPr>
                    <w:t>TR&amp;B</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≥60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0606</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动力粘度</w:t>
                  </w:r>
                  <w:r>
                    <w:rPr>
                      <w:rFonts w:ascii="仿宋_GB2312" w:hAnsi="仿宋_GB2312" w:cs="仿宋_GB2312" w:eastAsia="仿宋_GB2312"/>
                      <w:sz w:val="24"/>
                      <w:color w:val="000000"/>
                    </w:rPr>
                    <w:t>135</w:t>
                  </w:r>
                  <w:r>
                    <w:rPr>
                      <w:rFonts w:ascii="仿宋_GB2312" w:hAnsi="仿宋_GB2312" w:cs="仿宋_GB2312" w:eastAsia="仿宋_GB2312"/>
                      <w:sz w:val="24"/>
                      <w:color w:val="000000"/>
                    </w:rPr>
                    <w:t>℃</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Pa·s</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0625/T0619</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延度</w:t>
                  </w:r>
                  <w:r>
                    <w:rPr>
                      <w:rFonts w:ascii="仿宋_GB2312" w:hAnsi="仿宋_GB2312" w:cs="仿宋_GB2312" w:eastAsia="仿宋_GB2312"/>
                      <w:sz w:val="24"/>
                      <w:color w:val="000000"/>
                    </w:rPr>
                    <w:t>5cm/min，5</w:t>
                  </w:r>
                  <w:r>
                    <w:rPr>
                      <w:rFonts w:ascii="仿宋_GB2312" w:hAnsi="仿宋_GB2312" w:cs="仿宋_GB2312" w:eastAsia="仿宋_GB2312"/>
                      <w:sz w:val="24"/>
                      <w:color w:val="000000"/>
                    </w:rPr>
                    <w:t>℃</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cm</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0605</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闪点（</w:t>
                  </w:r>
                  <w:r>
                    <w:rPr>
                      <w:rFonts w:ascii="仿宋_GB2312" w:hAnsi="仿宋_GB2312" w:cs="仿宋_GB2312" w:eastAsia="仿宋_GB2312"/>
                      <w:sz w:val="24"/>
                      <w:color w:val="000000"/>
                    </w:rPr>
                    <w:t>C0C）</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≥230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0611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7</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溶解度（三氯乙烯）</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≥99</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0603</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8</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弹性恢复</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≥75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0662</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9</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贮存稳定性离析，</w:t>
                  </w:r>
                  <w:r>
                    <w:rPr>
                      <w:rFonts w:ascii="仿宋_GB2312" w:hAnsi="仿宋_GB2312" w:cs="仿宋_GB2312" w:eastAsia="仿宋_GB2312"/>
                      <w:sz w:val="24"/>
                      <w:color w:val="000000"/>
                    </w:rPr>
                    <w:t>163</w:t>
                  </w:r>
                  <w:r>
                    <w:rPr>
                      <w:rFonts w:ascii="仿宋_GB2312" w:hAnsi="仿宋_GB2312" w:cs="仿宋_GB2312" w:eastAsia="仿宋_GB2312"/>
                      <w:sz w:val="24"/>
                      <w:color w:val="000000"/>
                    </w:rPr>
                    <w:t>℃</w:t>
                  </w:r>
                  <w:r>
                    <w:rPr>
                      <w:rFonts w:ascii="仿宋_GB2312" w:hAnsi="仿宋_GB2312" w:cs="仿宋_GB2312" w:eastAsia="仿宋_GB2312"/>
                      <w:sz w:val="24"/>
                      <w:color w:val="000000"/>
                    </w:rPr>
                    <w:t>,48h</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0661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10</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TFOT后残留物  质量变化</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0609/T0610</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11</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TFOT后残留物  针入度比（25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≥65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0604</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12</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TFOT后残留物 残留延度（5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cm</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≥15</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w:t>
                  </w:r>
                  <w:r>
                    <w:rPr>
                      <w:rFonts w:ascii="仿宋_GB2312" w:hAnsi="仿宋_GB2312" w:cs="仿宋_GB2312" w:eastAsia="仿宋_GB2312"/>
                      <w:sz w:val="24"/>
                      <w:color w:val="000000"/>
                    </w:rPr>
                    <w:t>0605</w:t>
                  </w:r>
                </w:p>
              </w:tc>
            </w:tr>
          </w:tbl>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0"/>
              <w:jc w:val="left"/>
            </w:pPr>
            <w:r>
              <w:rPr>
                <w:rFonts w:ascii="仿宋_GB2312" w:hAnsi="仿宋_GB2312" w:cs="仿宋_GB2312" w:eastAsia="仿宋_GB2312"/>
                <w:sz w:val="24"/>
                <w:b/>
              </w:rPr>
              <w:t>3、乳化沥青油技术参数</w:t>
            </w:r>
          </w:p>
          <w:p>
            <w:pPr>
              <w:pStyle w:val="null3"/>
              <w:ind w:firstLine="420"/>
              <w:jc w:val="left"/>
            </w:pPr>
            <w:r>
              <w:rPr>
                <w:rFonts w:ascii="仿宋_GB2312" w:hAnsi="仿宋_GB2312" w:cs="仿宋_GB2312" w:eastAsia="仿宋_GB2312"/>
              </w:rPr>
              <w:t xml:space="preserve"> </w:t>
            </w:r>
          </w:p>
          <w:tbl>
            <w:tblPr>
              <w:tblInd w:type="dxa" w:w="255"/>
              <w:tblBorders>
                <w:top w:val="none" w:color="000000" w:sz="4"/>
                <w:left w:val="none" w:color="000000" w:sz="4"/>
                <w:bottom w:val="none" w:color="000000" w:sz="4"/>
                <w:right w:val="none" w:color="000000" w:sz="4"/>
                <w:insideH w:val="none"/>
                <w:insideV w:val="none"/>
              </w:tblBorders>
            </w:tblPr>
            <w:tblGrid>
              <w:gridCol w:w="257"/>
              <w:gridCol w:w="976"/>
              <w:gridCol w:w="355"/>
              <w:gridCol w:w="452"/>
              <w:gridCol w:w="492"/>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序号</w:t>
                  </w:r>
                </w:p>
              </w:tc>
              <w:tc>
                <w:tcPr>
                  <w:tcW w:type="dxa" w:w="976"/>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性能指标</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单位</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质量标准</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试验方法</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1</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粘度</w:t>
                  </w:r>
                  <w:r>
                    <w:rPr>
                      <w:rFonts w:ascii="仿宋_GB2312" w:hAnsi="仿宋_GB2312" w:cs="仿宋_GB2312" w:eastAsia="仿宋_GB2312"/>
                      <w:sz w:val="24"/>
                      <w:color w:val="000000"/>
                    </w:rPr>
                    <w:t>道路标准粘度计</w:t>
                  </w:r>
                  <w:r>
                    <w:rPr>
                      <w:rFonts w:ascii="仿宋_GB2312" w:hAnsi="仿宋_GB2312" w:cs="仿宋_GB2312" w:eastAsia="仿宋_GB2312"/>
                      <w:sz w:val="24"/>
                      <w:color w:val="000000"/>
                    </w:rPr>
                    <w:t>C25.3</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s</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8～20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T0621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2</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筛上残留物（</w:t>
                  </w:r>
                  <w:r>
                    <w:rPr>
                      <w:rFonts w:ascii="仿宋_GB2312" w:hAnsi="仿宋_GB2312" w:cs="仿宋_GB2312" w:eastAsia="仿宋_GB2312"/>
                      <w:sz w:val="24"/>
                      <w:color w:val="000000"/>
                    </w:rPr>
                    <w:t>1.18mm）</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≤0.1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T0652</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3</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破乳速度</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快裂或中裂</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T0658</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4</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蒸发残留物</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残留分含量</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T0651</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5</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蒸发残留物</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溶解度</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≥97.5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T0607</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6</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蒸发残留物</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针入度（</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0.1mm</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45～150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T0604</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7</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蒸发残留物</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延度（</w:t>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cm</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≥40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T0605</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8</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常温贮存稳定性</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1d</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T0655</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9</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常温贮存稳定性</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5d</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T0655</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10</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与粗集料的粘附性，裹附面积</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≥2/3</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T0654</w:t>
                  </w:r>
                </w:p>
              </w:tc>
            </w:tr>
          </w:tbl>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ind w:firstLine="480"/>
              <w:jc w:val="left"/>
            </w:pPr>
            <w:r>
              <w:rPr>
                <w:rFonts w:ascii="仿宋_GB2312" w:hAnsi="仿宋_GB2312" w:cs="仿宋_GB2312" w:eastAsia="仿宋_GB2312"/>
                <w:sz w:val="24"/>
              </w:rPr>
              <w:t>备注：上述要求引用《</w:t>
            </w:r>
            <w:r>
              <w:rPr>
                <w:rFonts w:ascii="仿宋_GB2312" w:hAnsi="仿宋_GB2312" w:cs="仿宋_GB2312" w:eastAsia="仿宋_GB2312"/>
                <w:sz w:val="24"/>
              </w:rPr>
              <w:t>公路沥青路面施工技术规范</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JT</w:t>
            </w:r>
            <w:r>
              <w:rPr>
                <w:rFonts w:ascii="仿宋_GB2312" w:hAnsi="仿宋_GB2312" w:cs="仿宋_GB2312" w:eastAsia="仿宋_GB2312"/>
                <w:sz w:val="24"/>
              </w:rPr>
              <w:t>G</w:t>
            </w:r>
            <w:r>
              <w:rPr>
                <w:rFonts w:ascii="仿宋_GB2312" w:hAnsi="仿宋_GB2312" w:cs="仿宋_GB2312" w:eastAsia="仿宋_GB2312"/>
                <w:sz w:val="24"/>
              </w:rPr>
              <w:t xml:space="preserve"> </w:t>
            </w:r>
            <w:r>
              <w:rPr>
                <w:rFonts w:ascii="仿宋_GB2312" w:hAnsi="仿宋_GB2312" w:cs="仿宋_GB2312" w:eastAsia="仿宋_GB2312"/>
                <w:sz w:val="24"/>
              </w:rPr>
              <w:t>F40</w:t>
            </w:r>
            <w:r>
              <w:rPr>
                <w:rFonts w:ascii="仿宋_GB2312" w:hAnsi="仿宋_GB2312" w:cs="仿宋_GB2312" w:eastAsia="仿宋_GB2312"/>
                <w:sz w:val="24"/>
              </w:rPr>
              <w:t>-20</w:t>
            </w:r>
            <w:r>
              <w:rPr>
                <w:rFonts w:ascii="仿宋_GB2312" w:hAnsi="仿宋_GB2312" w:cs="仿宋_GB2312" w:eastAsia="仿宋_GB2312"/>
                <w:sz w:val="24"/>
              </w:rPr>
              <w:t>04</w:t>
            </w:r>
            <w:r>
              <w:rPr>
                <w:rFonts w:ascii="仿宋_GB2312" w:hAnsi="仿宋_GB2312" w:cs="仿宋_GB2312" w:eastAsia="仿宋_GB2312"/>
                <w:sz w:val="24"/>
              </w:rPr>
              <w:t>)标准</w:t>
            </w:r>
            <w:r>
              <w:rPr>
                <w:rFonts w:ascii="仿宋_GB2312" w:hAnsi="仿宋_GB2312" w:cs="仿宋_GB2312" w:eastAsia="仿宋_GB2312"/>
                <w:sz w:val="24"/>
              </w:rPr>
              <w:t>及</w:t>
            </w:r>
            <w:r>
              <w:rPr>
                <w:rFonts w:ascii="仿宋_GB2312" w:hAnsi="仿宋_GB2312" w:cs="仿宋_GB2312" w:eastAsia="仿宋_GB2312"/>
                <w:sz w:val="24"/>
              </w:rPr>
              <w:t>《公路工程沥青及沥青混合料试验规程》</w:t>
            </w:r>
            <w:r>
              <w:rPr>
                <w:rFonts w:ascii="仿宋_GB2312" w:hAnsi="仿宋_GB2312" w:cs="仿宋_GB2312" w:eastAsia="仿宋_GB2312"/>
                <w:sz w:val="24"/>
              </w:rPr>
              <w:t>(JTGE20-2011)</w:t>
            </w:r>
            <w:r>
              <w:rPr>
                <w:rFonts w:ascii="仿宋_GB2312" w:hAnsi="仿宋_GB2312" w:cs="仿宋_GB2312" w:eastAsia="仿宋_GB2312"/>
                <w:sz w:val="24"/>
              </w:rPr>
              <w:t>标准</w:t>
            </w:r>
            <w:r>
              <w:rPr>
                <w:rFonts w:ascii="仿宋_GB2312" w:hAnsi="仿宋_GB2312" w:cs="仿宋_GB2312" w:eastAsia="仿宋_GB2312"/>
                <w:sz w:val="24"/>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质量保证及供应保障</w:t>
            </w:r>
          </w:p>
          <w:p>
            <w:pPr>
              <w:pStyle w:val="null3"/>
              <w:ind w:firstLine="480"/>
              <w:jc w:val="left"/>
            </w:pPr>
            <w:r>
              <w:rPr>
                <w:rFonts w:ascii="仿宋_GB2312" w:hAnsi="仿宋_GB2312" w:cs="仿宋_GB2312" w:eastAsia="仿宋_GB2312"/>
                <w:sz w:val="24"/>
              </w:rPr>
              <w:t xml:space="preserve">1. </w:t>
            </w:r>
            <w:r>
              <w:rPr>
                <w:rFonts w:ascii="仿宋_GB2312" w:hAnsi="仿宋_GB2312" w:cs="仿宋_GB2312" w:eastAsia="仿宋_GB2312"/>
                <w:sz w:val="24"/>
              </w:rPr>
              <w:t>供应商在供货时，每批次必须附带出厂合格证及质量检测报告（或由中国国家认证认可监督管理委员会认可的检测机构出具的相关检测（检验）报告）等资料的复印件并加盖公章。检测报告有效期应覆盖货物有效期，供应商对报告真实性承担连带责任。采购人保留随机抽检权利。</w:t>
            </w:r>
          </w:p>
          <w:p>
            <w:pPr>
              <w:pStyle w:val="null3"/>
              <w:ind w:firstLine="480"/>
              <w:jc w:val="left"/>
            </w:pPr>
            <w:r>
              <w:rPr>
                <w:rFonts w:ascii="仿宋_GB2312" w:hAnsi="仿宋_GB2312" w:cs="仿宋_GB2312" w:eastAsia="仿宋_GB2312"/>
                <w:sz w:val="24"/>
              </w:rPr>
              <w:t xml:space="preserve">2. </w:t>
            </w:r>
            <w:r>
              <w:rPr>
                <w:rFonts w:ascii="仿宋_GB2312" w:hAnsi="仿宋_GB2312" w:cs="仿宋_GB2312" w:eastAsia="仿宋_GB2312"/>
                <w:sz w:val="24"/>
              </w:rPr>
              <w:t>供应商应建立应急供应保障机制，承诺在发生突发情况时优先保障本项目供应。</w:t>
            </w:r>
          </w:p>
          <w:p>
            <w:pPr>
              <w:pStyle w:val="null3"/>
              <w:jc w:val="both"/>
            </w:pPr>
            <w:r>
              <w:rPr>
                <w:rFonts w:ascii="仿宋_GB2312" w:hAnsi="仿宋_GB2312" w:cs="仿宋_GB2312" w:eastAsia="仿宋_GB2312"/>
                <w:sz w:val="24"/>
              </w:rPr>
              <w:t xml:space="preserve">       3. </w:t>
            </w:r>
            <w:r>
              <w:rPr>
                <w:rFonts w:ascii="仿宋_GB2312" w:hAnsi="仿宋_GB2312" w:cs="仿宋_GB2312" w:eastAsia="仿宋_GB2312"/>
                <w:sz w:val="24"/>
              </w:rPr>
              <w:t>供应商应建立不少于合同总量</w:t>
            </w:r>
            <w:r>
              <w:rPr>
                <w:rFonts w:ascii="仿宋_GB2312" w:hAnsi="仿宋_GB2312" w:cs="仿宋_GB2312" w:eastAsia="仿宋_GB2312"/>
                <w:sz w:val="24"/>
              </w:rPr>
              <w:t>10%</w:t>
            </w:r>
            <w:r>
              <w:rPr>
                <w:rFonts w:ascii="仿宋_GB2312" w:hAnsi="仿宋_GB2312" w:cs="仿宋_GB2312" w:eastAsia="仿宋_GB2312"/>
                <w:sz w:val="24"/>
              </w:rPr>
              <w:t>的应急储备，突发情况需在接通知后</w:t>
            </w:r>
            <w:r>
              <w:rPr>
                <w:rFonts w:ascii="仿宋_GB2312" w:hAnsi="仿宋_GB2312" w:cs="仿宋_GB2312" w:eastAsia="仿宋_GB2312"/>
                <w:sz w:val="24"/>
              </w:rPr>
              <w:t>2</w:t>
            </w:r>
            <w:r>
              <w:rPr>
                <w:rFonts w:ascii="仿宋_GB2312" w:hAnsi="仿宋_GB2312" w:cs="仿宋_GB2312" w:eastAsia="仿宋_GB2312"/>
                <w:sz w:val="24"/>
              </w:rPr>
              <w:t>小时内启动响应，</w:t>
            </w:r>
            <w:r>
              <w:rPr>
                <w:rFonts w:ascii="仿宋_GB2312" w:hAnsi="仿宋_GB2312" w:cs="仿宋_GB2312" w:eastAsia="仿宋_GB2312"/>
                <w:sz w:val="24"/>
              </w:rPr>
              <w:t>48</w:t>
            </w:r>
            <w:r>
              <w:rPr>
                <w:rFonts w:ascii="仿宋_GB2312" w:hAnsi="仿宋_GB2312" w:cs="仿宋_GB2312" w:eastAsia="仿宋_GB2312"/>
                <w:sz w:val="24"/>
              </w:rPr>
              <w:t>小时内完成应急供货。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left"/>
            </w:pPr>
            <w:r>
              <w:rPr>
                <w:rFonts w:ascii="仿宋_GB2312" w:hAnsi="仿宋_GB2312" w:cs="仿宋_GB2312" w:eastAsia="仿宋_GB2312"/>
                <w:sz w:val="24"/>
              </w:rPr>
              <w:t>（二）合同履行期限及履行地点</w:t>
            </w:r>
          </w:p>
          <w:p>
            <w:pPr>
              <w:pStyle w:val="null3"/>
              <w:ind w:firstLine="480"/>
              <w:jc w:val="both"/>
            </w:pPr>
            <w:r>
              <w:rPr>
                <w:rFonts w:ascii="仿宋_GB2312" w:hAnsi="仿宋_GB2312" w:cs="仿宋_GB2312" w:eastAsia="仿宋_GB2312"/>
                <w:sz w:val="24"/>
              </w:rPr>
              <w:t>1. 合同履行期限：自合同签订之日起计12个月内，成交供应商应根据采购人的采购计划分批供货，直至合同期满或完成全部采购预算金额，每批次货物验收合格后交付。</w:t>
            </w:r>
          </w:p>
          <w:p>
            <w:pPr>
              <w:pStyle w:val="null3"/>
              <w:ind w:firstLine="480"/>
              <w:jc w:val="both"/>
            </w:pPr>
            <w:r>
              <w:rPr>
                <w:rFonts w:ascii="仿宋_GB2312" w:hAnsi="仿宋_GB2312" w:cs="仿宋_GB2312" w:eastAsia="仿宋_GB2312"/>
                <w:sz w:val="24"/>
              </w:rPr>
              <w:t>2. 合同履行地点：采购人指定地点。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）履约保证金</w:t>
            </w:r>
          </w:p>
          <w:p>
            <w:pPr>
              <w:pStyle w:val="null3"/>
              <w:ind w:firstLine="480"/>
              <w:jc w:val="left"/>
            </w:pPr>
            <w:r>
              <w:rPr>
                <w:rFonts w:ascii="仿宋_GB2312" w:hAnsi="仿宋_GB2312" w:cs="仿宋_GB2312" w:eastAsia="仿宋_GB2312"/>
                <w:sz w:val="24"/>
              </w:rPr>
              <w:t xml:space="preserve">1. </w:t>
            </w:r>
            <w:r>
              <w:rPr>
                <w:rFonts w:ascii="仿宋_GB2312" w:hAnsi="仿宋_GB2312" w:cs="仿宋_GB2312" w:eastAsia="仿宋_GB2312"/>
                <w:sz w:val="24"/>
              </w:rPr>
              <w:t>在与采购人签订合同的过程中，成交供应商必须向采购人提供一份相当于合同预算总额（</w:t>
            </w:r>
            <w:r>
              <w:rPr>
                <w:rFonts w:ascii="仿宋_GB2312" w:hAnsi="仿宋_GB2312" w:cs="仿宋_GB2312" w:eastAsia="仿宋_GB2312"/>
                <w:sz w:val="24"/>
              </w:rPr>
              <w:t>226.8万元）3%的电子保函（即</w:t>
            </w:r>
            <w:r>
              <w:rPr>
                <w:rFonts w:ascii="仿宋_GB2312" w:hAnsi="仿宋_GB2312" w:cs="仿宋_GB2312" w:eastAsia="仿宋_GB2312"/>
                <w:sz w:val="24"/>
              </w:rPr>
              <w:t>6.8</w:t>
            </w:r>
            <w:r>
              <w:rPr>
                <w:rFonts w:ascii="仿宋_GB2312" w:hAnsi="仿宋_GB2312" w:cs="仿宋_GB2312" w:eastAsia="仿宋_GB2312"/>
                <w:sz w:val="24"/>
              </w:rPr>
              <w:t>万元），作为履约保证金。该保证金的有效期限为</w:t>
            </w:r>
            <w:r>
              <w:rPr>
                <w:rFonts w:ascii="仿宋_GB2312" w:hAnsi="仿宋_GB2312" w:cs="仿宋_GB2312" w:eastAsia="仿宋_GB2312"/>
                <w:sz w:val="24"/>
              </w:rPr>
              <w:t>货物质保期结束后</w:t>
            </w:r>
            <w:r>
              <w:rPr>
                <w:rFonts w:ascii="仿宋_GB2312" w:hAnsi="仿宋_GB2312" w:cs="仿宋_GB2312" w:eastAsia="仿宋_GB2312"/>
                <w:sz w:val="24"/>
              </w:rPr>
              <w:t>30日</w:t>
            </w:r>
            <w:r>
              <w:rPr>
                <w:rFonts w:ascii="仿宋_GB2312" w:hAnsi="仿宋_GB2312" w:cs="仿宋_GB2312" w:eastAsia="仿宋_GB2312"/>
                <w:sz w:val="24"/>
              </w:rPr>
              <w:t>，以确保货物的质量。</w:t>
            </w:r>
          </w:p>
          <w:p>
            <w:pPr>
              <w:pStyle w:val="null3"/>
              <w:ind w:firstLine="480"/>
              <w:jc w:val="left"/>
            </w:pPr>
            <w:r>
              <w:rPr>
                <w:rFonts w:ascii="仿宋_GB2312" w:hAnsi="仿宋_GB2312" w:cs="仿宋_GB2312" w:eastAsia="仿宋_GB2312"/>
                <w:sz w:val="24"/>
              </w:rPr>
              <w:t xml:space="preserve">2. </w:t>
            </w:r>
            <w:r>
              <w:rPr>
                <w:rFonts w:ascii="仿宋_GB2312" w:hAnsi="仿宋_GB2312" w:cs="仿宋_GB2312" w:eastAsia="仿宋_GB2312"/>
                <w:sz w:val="24"/>
              </w:rPr>
              <w:t>若成交供应商在质量保证期内未能遵守合同中规定的质量保证及售后服务义务，采购人有权从履约保证金中扣除相应的金额。对于任何不足部分，采购人保留追偿的权利。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付款方式</w:t>
            </w:r>
          </w:p>
          <w:p>
            <w:pPr>
              <w:pStyle w:val="null3"/>
              <w:jc w:val="both"/>
            </w:pPr>
            <w:r>
              <w:rPr>
                <w:rFonts w:ascii="仿宋_GB2312" w:hAnsi="仿宋_GB2312" w:cs="仿宋_GB2312" w:eastAsia="仿宋_GB2312"/>
                <w:sz w:val="24"/>
              </w:rPr>
              <w:t>采用分批结算付款的方式：成交供应商根据采购人需求计划分批供货，每批次货物经双方共同验收合格并完成入库手续后，供应商应在</w:t>
            </w:r>
            <w:r>
              <w:rPr>
                <w:rFonts w:ascii="仿宋_GB2312" w:hAnsi="仿宋_GB2312" w:cs="仿宋_GB2312" w:eastAsia="仿宋_GB2312"/>
                <w:sz w:val="24"/>
              </w:rPr>
              <w:t>7</w:t>
            </w:r>
            <w:r>
              <w:rPr>
                <w:rFonts w:ascii="仿宋_GB2312" w:hAnsi="仿宋_GB2312" w:cs="仿宋_GB2312" w:eastAsia="仿宋_GB2312"/>
                <w:sz w:val="24"/>
              </w:rPr>
              <w:t>个工作日内将该批次的送货单汇总，并向采购人提交对账清单（结算单）以及符合财税要求的增值税发票和完整的结算资料。采购人应在收到完整的结算资料后</w:t>
            </w:r>
            <w:r>
              <w:rPr>
                <w:rFonts w:ascii="仿宋_GB2312" w:hAnsi="仿宋_GB2312" w:cs="仿宋_GB2312" w:eastAsia="仿宋_GB2312"/>
                <w:sz w:val="24"/>
              </w:rPr>
              <w:t>5</w:t>
            </w:r>
            <w:r>
              <w:rPr>
                <w:rFonts w:ascii="仿宋_GB2312" w:hAnsi="仿宋_GB2312" w:cs="仿宋_GB2312" w:eastAsia="仿宋_GB2312"/>
                <w:sz w:val="24"/>
              </w:rPr>
              <w:t>个工作日内完成财政支付审批程序，并按照海口市财政国库支付程序办理转账付款手续。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验收</w:t>
            </w:r>
          </w:p>
          <w:p>
            <w:pPr>
              <w:pStyle w:val="null3"/>
              <w:ind w:firstLine="480"/>
              <w:jc w:val="left"/>
            </w:pPr>
            <w:r>
              <w:rPr>
                <w:rFonts w:ascii="仿宋_GB2312" w:hAnsi="仿宋_GB2312" w:cs="仿宋_GB2312" w:eastAsia="仿宋_GB2312"/>
                <w:sz w:val="24"/>
              </w:rPr>
              <w:t>1. 在交货时，应以经过采购人确认的入库地磅数量为准确依据。若采购人指定的拌和厂地磅数与成交供应商出库地磅数之间的差异在±3‰以内，将采用采购人沥青拌和</w:t>
            </w:r>
            <w:r>
              <w:rPr>
                <w:rFonts w:ascii="仿宋_GB2312" w:hAnsi="仿宋_GB2312" w:cs="仿宋_GB2312" w:eastAsia="仿宋_GB2312"/>
                <w:sz w:val="24"/>
              </w:rPr>
              <w:t>厂</w:t>
            </w:r>
            <w:r>
              <w:rPr>
                <w:rFonts w:ascii="仿宋_GB2312" w:hAnsi="仿宋_GB2312" w:cs="仿宋_GB2312" w:eastAsia="仿宋_GB2312"/>
                <w:sz w:val="24"/>
              </w:rPr>
              <w:t>地磅单的数据作为标准。若差异超出此范围，则需通过双方认可的第三方地磅进行复测。最终以采购人和成交供应商中与第三方地磅数更为接近的一方的数据为准。由此产生的相关费用应由数据失准的一方承担。</w:t>
            </w:r>
          </w:p>
          <w:p>
            <w:pPr>
              <w:pStyle w:val="null3"/>
              <w:ind w:firstLine="480"/>
              <w:jc w:val="left"/>
            </w:pPr>
            <w:r>
              <w:rPr>
                <w:rFonts w:ascii="仿宋_GB2312" w:hAnsi="仿宋_GB2312" w:cs="仿宋_GB2312" w:eastAsia="仿宋_GB2312"/>
                <w:sz w:val="24"/>
              </w:rPr>
              <w:t>2. 质量异议处理：成交供应商在依照采购人指示将货物运送至指定地点后，应将</w:t>
            </w:r>
            <w:r>
              <w:rPr>
                <w:rFonts w:ascii="仿宋_GB2312" w:hAnsi="仿宋_GB2312" w:cs="仿宋_GB2312" w:eastAsia="仿宋_GB2312"/>
                <w:sz w:val="24"/>
              </w:rPr>
              <w:t>货物</w:t>
            </w:r>
            <w:r>
              <w:rPr>
                <w:rFonts w:ascii="仿宋_GB2312" w:hAnsi="仿宋_GB2312" w:cs="仿宋_GB2312" w:eastAsia="仿宋_GB2312"/>
                <w:sz w:val="24"/>
              </w:rPr>
              <w:t>放置于指定位置，并向采购人提交相应批次货物的合格证明或检测报告。若采购人对货物质量持有疑问，应在</w:t>
            </w:r>
            <w:r>
              <w:rPr>
                <w:rFonts w:ascii="仿宋_GB2312" w:hAnsi="仿宋_GB2312" w:cs="仿宋_GB2312" w:eastAsia="仿宋_GB2312"/>
                <w:sz w:val="24"/>
              </w:rPr>
              <w:t>发现问题后</w:t>
            </w:r>
            <w:r>
              <w:rPr>
                <w:rFonts w:ascii="仿宋_GB2312" w:hAnsi="仿宋_GB2312" w:cs="仿宋_GB2312" w:eastAsia="仿宋_GB2312"/>
                <w:sz w:val="24"/>
              </w:rPr>
              <w:t>48小时</w:t>
            </w:r>
            <w:r>
              <w:rPr>
                <w:rFonts w:ascii="仿宋_GB2312" w:hAnsi="仿宋_GB2312" w:cs="仿宋_GB2312" w:eastAsia="仿宋_GB2312"/>
                <w:sz w:val="24"/>
              </w:rPr>
              <w:t>内以书面形式向成交供应商提出，争议样品应封存不少于</w:t>
            </w:r>
            <w:r>
              <w:rPr>
                <w:rFonts w:ascii="仿宋_GB2312" w:hAnsi="仿宋_GB2312" w:cs="仿宋_GB2312" w:eastAsia="仿宋_GB2312"/>
                <w:sz w:val="24"/>
              </w:rPr>
              <w:t>180日，供应商应在接到异议后4小时内派员参与共同取样送交第三方检测机构</w:t>
            </w:r>
            <w:r>
              <w:rPr>
                <w:rFonts w:ascii="仿宋_GB2312" w:hAnsi="仿宋_GB2312" w:cs="仿宋_GB2312" w:eastAsia="仿宋_GB2312"/>
                <w:sz w:val="24"/>
              </w:rPr>
              <w:t>复检</w:t>
            </w:r>
            <w:r>
              <w:rPr>
                <w:rFonts w:ascii="仿宋_GB2312" w:hAnsi="仿宋_GB2312" w:cs="仿宋_GB2312" w:eastAsia="仿宋_GB2312"/>
                <w:sz w:val="24"/>
              </w:rPr>
              <w:t>。若经检测确认存在质量问题，则该批次货物应全部退回给成交供应商，由此产生的损失及费用由成交供应商承担，且交货期限不得因此而延长。</w:t>
            </w:r>
          </w:p>
          <w:p>
            <w:pPr>
              <w:pStyle w:val="null3"/>
              <w:ind w:firstLine="480"/>
              <w:jc w:val="left"/>
            </w:pPr>
            <w:r>
              <w:rPr>
                <w:rFonts w:ascii="仿宋_GB2312" w:hAnsi="仿宋_GB2312" w:cs="仿宋_GB2312" w:eastAsia="仿宋_GB2312"/>
                <w:sz w:val="24"/>
              </w:rPr>
              <w:t>3. 成交供应商须确保所提供的材料全新无瑕，且为原厂正品，并附有相应的合格证明。若成交供应商所提供的材料存在质量问题，导致采购人或第三方人身、财产遭受损害，成交供应商应承担相应的经济及法律责任，并对采购人因此遭受的损失进行赔偿。若采购人先行进行了赔偿，有权向成交供应商全额追偿。</w:t>
            </w:r>
          </w:p>
          <w:p>
            <w:pPr>
              <w:pStyle w:val="null3"/>
              <w:ind w:firstLine="480"/>
              <w:jc w:val="left"/>
            </w:pPr>
            <w:r>
              <w:rPr>
                <w:rFonts w:ascii="仿宋_GB2312" w:hAnsi="仿宋_GB2312" w:cs="仿宋_GB2312" w:eastAsia="仿宋_GB2312"/>
                <w:sz w:val="24"/>
              </w:rPr>
              <w:t>4. 风险转移：货物经采购人验收合格并签字确认后视为交付，货物交付前由成交供应商承担货物的毁损、灭失的风险，但隐蔽瑕疵在质保期内发现的仍由供应商担责。</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质保期及售后服务要求</w:t>
            </w:r>
          </w:p>
          <w:p>
            <w:pPr>
              <w:pStyle w:val="null3"/>
              <w:ind w:firstLine="480"/>
              <w:jc w:val="left"/>
            </w:pPr>
            <w:r>
              <w:rPr>
                <w:rFonts w:ascii="仿宋_GB2312" w:hAnsi="仿宋_GB2312" w:cs="仿宋_GB2312" w:eastAsia="仿宋_GB2312"/>
                <w:sz w:val="24"/>
              </w:rPr>
              <w:t>1. 本项目货物的质量保证期限将遵循国家或行业标准，自货物通过验收并入库之日起计算，为期一年。</w:t>
            </w:r>
          </w:p>
          <w:p>
            <w:pPr>
              <w:pStyle w:val="null3"/>
              <w:ind w:firstLine="480"/>
              <w:jc w:val="left"/>
            </w:pPr>
            <w:r>
              <w:rPr>
                <w:rFonts w:ascii="仿宋_GB2312" w:hAnsi="仿宋_GB2312" w:cs="仿宋_GB2312" w:eastAsia="仿宋_GB2312"/>
                <w:sz w:val="24"/>
              </w:rPr>
              <w:t>2. 采购期内，供应商应建立项目专属服务团队，提供7×24小时应急响应，售后服务响应时间1小时，</w:t>
            </w:r>
            <w:r>
              <w:rPr>
                <w:rFonts w:ascii="仿宋_GB2312" w:hAnsi="仿宋_GB2312" w:cs="仿宋_GB2312" w:eastAsia="仿宋_GB2312"/>
                <w:sz w:val="24"/>
              </w:rPr>
              <w:t>主城区范围</w:t>
            </w:r>
            <w:r>
              <w:rPr>
                <w:rFonts w:ascii="仿宋_GB2312" w:hAnsi="仿宋_GB2312" w:cs="仿宋_GB2312" w:eastAsia="仿宋_GB2312"/>
                <w:sz w:val="24"/>
              </w:rPr>
              <w:t>4小时内到达现场，48</w:t>
            </w:r>
            <w:r>
              <w:rPr>
                <w:rFonts w:ascii="仿宋_GB2312" w:hAnsi="仿宋_GB2312" w:cs="仿宋_GB2312" w:eastAsia="仿宋_GB2312"/>
                <w:sz w:val="24"/>
              </w:rPr>
              <w:t>小时内解决故障</w:t>
            </w:r>
            <w:r>
              <w:rPr>
                <w:rFonts w:ascii="仿宋_GB2312" w:hAnsi="仿宋_GB2312" w:cs="仿宋_GB2312" w:eastAsia="仿宋_GB2312"/>
                <w:sz w:val="24"/>
              </w:rPr>
              <w:t>问题</w:t>
            </w:r>
            <w:r>
              <w:rPr>
                <w:rFonts w:ascii="仿宋_GB2312" w:hAnsi="仿宋_GB2312" w:cs="仿宋_GB2312" w:eastAsia="仿宋_GB2312"/>
                <w:sz w:val="24"/>
              </w:rPr>
              <w:t>。所有因货物质量缺陷的维护及更换均为免费。</w:t>
            </w:r>
          </w:p>
          <w:p>
            <w:pPr>
              <w:pStyle w:val="null3"/>
              <w:ind w:firstLine="480"/>
              <w:jc w:val="left"/>
            </w:pPr>
            <w:r>
              <w:rPr>
                <w:rFonts w:ascii="仿宋_GB2312" w:hAnsi="仿宋_GB2312" w:cs="仿宋_GB2312" w:eastAsia="仿宋_GB2312"/>
                <w:sz w:val="24"/>
              </w:rPr>
              <w:t>3. 对质保期内货物的质量缺陷，如供应商未能做到上款的服务承诺，采购人可采取必要的补救措施，但其风险和费用由供应商承担，若发生质量纠纷，质保期自问题解决之日起重新计算。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rPr>
              <w:t>（七）</w:t>
            </w:r>
            <w:r>
              <w:rPr>
                <w:rFonts w:ascii="仿宋_GB2312" w:hAnsi="仿宋_GB2312" w:cs="仿宋_GB2312" w:eastAsia="仿宋_GB2312"/>
                <w:sz w:val="24"/>
              </w:rPr>
              <w:t>协议条款及违约责任</w:t>
            </w:r>
          </w:p>
          <w:p>
            <w:pPr>
              <w:pStyle w:val="null3"/>
              <w:ind w:firstLine="480"/>
              <w:jc w:val="left"/>
            </w:pPr>
            <w:r>
              <w:rPr>
                <w:rFonts w:ascii="仿宋_GB2312" w:hAnsi="仿宋_GB2312" w:cs="仿宋_GB2312" w:eastAsia="仿宋_GB2312"/>
                <w:sz w:val="24"/>
              </w:rPr>
              <w:t>1. 供应商若出现以下情况，将被视为严重违约：(1) 连续两次供货质量不符合标准；(2) 无合理理由延迟供货超过十五个日历日；(3) 售后服务超过三次未能在规定时间内响应。</w:t>
            </w:r>
          </w:p>
          <w:p>
            <w:pPr>
              <w:pStyle w:val="null3"/>
              <w:ind w:firstLine="480"/>
              <w:jc w:val="left"/>
            </w:pPr>
            <w:r>
              <w:rPr>
                <w:rFonts w:ascii="仿宋_GB2312" w:hAnsi="仿宋_GB2312" w:cs="仿宋_GB2312" w:eastAsia="仿宋_GB2312"/>
                <w:sz w:val="24"/>
              </w:rPr>
              <w:t>采购方有权终止合同并要求赔偿，违约金按照合同总额的百分之二十计算，此规定并不妨碍其对实际损失的追偿权利。</w:t>
            </w:r>
          </w:p>
          <w:p>
            <w:pPr>
              <w:pStyle w:val="null3"/>
              <w:ind w:firstLine="480"/>
              <w:jc w:val="left"/>
            </w:pPr>
            <w:r>
              <w:rPr>
                <w:rFonts w:ascii="仿宋_GB2312" w:hAnsi="仿宋_GB2312" w:cs="仿宋_GB2312" w:eastAsia="仿宋_GB2312"/>
                <w:sz w:val="24"/>
              </w:rPr>
              <w:t>2. 在合同执行期间，任何一方若因不可抗力因素导致合同无法继续履行，受影响的一方应在事件发生后5日内提交省级主管部门证明文件。若未履行通知义务，则不得主张免责。经双方协商一致后，可以决定终止合同或在影响因素消除后继续执行合同。不可抗力持续超过90日的，双方可解除合同。</w:t>
            </w:r>
          </w:p>
          <w:p>
            <w:pPr>
              <w:pStyle w:val="null3"/>
              <w:ind w:firstLine="480"/>
              <w:jc w:val="left"/>
            </w:pPr>
            <w:r>
              <w:rPr>
                <w:rFonts w:ascii="仿宋_GB2312" w:hAnsi="仿宋_GB2312" w:cs="仿宋_GB2312" w:eastAsia="仿宋_GB2312"/>
                <w:sz w:val="24"/>
              </w:rPr>
              <w:t>3. 在采购方未完全支付到期应付款项之前，供应商有权暂停履行后续合同义务。暂停履约应提前5日书面通知，暂停期间供应商应维持最低限度维保服务。若采购方在约定时间内未及时完成付款手续，供应商有权追索并停止后续供货。若因采购方的上级主管部门或财政主管部门未能及时拨付资金导致采购方未能按照合同约定的时间和进度支付货款，此情况不构成采购方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4"/>
              </w:rPr>
              <w:t>（八）环境保护与安全责任</w:t>
            </w:r>
          </w:p>
          <w:p>
            <w:pPr>
              <w:pStyle w:val="null3"/>
              <w:ind w:firstLine="480"/>
              <w:jc w:val="left"/>
            </w:pPr>
            <w:r>
              <w:rPr>
                <w:rFonts w:ascii="仿宋_GB2312" w:hAnsi="仿宋_GB2312" w:cs="仿宋_GB2312" w:eastAsia="仿宋_GB2312"/>
                <w:sz w:val="24"/>
              </w:rPr>
              <w:t xml:space="preserve">1. </w:t>
            </w:r>
            <w:r>
              <w:rPr>
                <w:rFonts w:ascii="仿宋_GB2312" w:hAnsi="仿宋_GB2312" w:cs="仿宋_GB2312" w:eastAsia="仿宋_GB2312"/>
                <w:sz w:val="24"/>
              </w:rPr>
              <w:t>供应商提供的</w:t>
            </w:r>
            <w:r>
              <w:rPr>
                <w:rFonts w:ascii="仿宋_GB2312" w:hAnsi="仿宋_GB2312" w:cs="仿宋_GB2312" w:eastAsia="仿宋_GB2312"/>
                <w:sz w:val="24"/>
              </w:rPr>
              <w:t>货物中所含的有害物质含量必须</w:t>
            </w:r>
            <w:r>
              <w:rPr>
                <w:rFonts w:ascii="仿宋_GB2312" w:hAnsi="仿宋_GB2312" w:cs="仿宋_GB2312" w:eastAsia="仿宋_GB2312"/>
                <w:sz w:val="24"/>
              </w:rPr>
              <w:t>符合</w:t>
            </w:r>
            <w:r>
              <w:rPr>
                <w:rFonts w:ascii="仿宋_GB2312" w:hAnsi="仿宋_GB2312" w:cs="仿宋_GB2312" w:eastAsia="仿宋_GB2312"/>
                <w:sz w:val="24"/>
              </w:rPr>
              <w:t>国家标准，并应附带具有中国计量认证（</w:t>
            </w:r>
            <w:r>
              <w:rPr>
                <w:rFonts w:ascii="仿宋_GB2312" w:hAnsi="仿宋_GB2312" w:cs="仿宋_GB2312" w:eastAsia="仿宋_GB2312"/>
                <w:sz w:val="24"/>
              </w:rPr>
              <w:t>CMA）的检测报告。</w:t>
            </w:r>
          </w:p>
          <w:p>
            <w:pPr>
              <w:pStyle w:val="null3"/>
              <w:ind w:firstLine="480"/>
              <w:jc w:val="left"/>
            </w:pPr>
            <w:r>
              <w:rPr>
                <w:rFonts w:ascii="仿宋_GB2312" w:hAnsi="仿宋_GB2312" w:cs="仿宋_GB2312" w:eastAsia="仿宋_GB2312"/>
                <w:sz w:val="24"/>
              </w:rPr>
              <w:t>2. 若导致环境污染，</w:t>
            </w:r>
            <w:r>
              <w:rPr>
                <w:rFonts w:ascii="仿宋_GB2312" w:hAnsi="仿宋_GB2312" w:cs="仿宋_GB2312" w:eastAsia="仿宋_GB2312"/>
                <w:sz w:val="24"/>
              </w:rPr>
              <w:t>供应商</w:t>
            </w:r>
            <w:r>
              <w:rPr>
                <w:rFonts w:ascii="仿宋_GB2312" w:hAnsi="仿宋_GB2312" w:cs="仿宋_GB2312" w:eastAsia="仿宋_GB2312"/>
                <w:sz w:val="24"/>
              </w:rPr>
              <w:t>将承担相应的环境修复费用及可能产生的行政处罚金。</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480"/>
              <w:jc w:val="left"/>
            </w:pPr>
            <w:r>
              <w:rPr>
                <w:rFonts w:ascii="仿宋_GB2312" w:hAnsi="仿宋_GB2312" w:cs="仿宋_GB2312" w:eastAsia="仿宋_GB2312"/>
                <w:sz w:val="24"/>
              </w:rPr>
              <w:t>（九）其他事项</w:t>
            </w:r>
          </w:p>
          <w:p>
            <w:pPr>
              <w:pStyle w:val="null3"/>
              <w:ind w:firstLine="420"/>
              <w:jc w:val="left"/>
            </w:pP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项目的实质性要求：按本询价通知书要求和成交供应商响应文件内容实施。</w:t>
            </w:r>
          </w:p>
          <w:p>
            <w:pPr>
              <w:pStyle w:val="null3"/>
              <w:ind w:firstLine="420"/>
              <w:jc w:val="left"/>
            </w:pPr>
            <w:r>
              <w:rPr>
                <w:rFonts w:ascii="仿宋_GB2312" w:hAnsi="仿宋_GB2312" w:cs="仿宋_GB2312" w:eastAsia="仿宋_GB2312"/>
                <w:sz w:val="24"/>
              </w:rPr>
              <w:t>2.</w:t>
            </w:r>
            <w:r>
              <w:rPr>
                <w:rFonts w:ascii="仿宋_GB2312" w:hAnsi="仿宋_GB2312" w:cs="仿宋_GB2312" w:eastAsia="仿宋_GB2312"/>
              </w:rPr>
              <w:t xml:space="preserve"> </w:t>
            </w:r>
            <w:r>
              <w:rPr>
                <w:rFonts w:ascii="仿宋_GB2312" w:hAnsi="仿宋_GB2312" w:cs="仿宋_GB2312" w:eastAsia="仿宋_GB2312"/>
                <w:sz w:val="24"/>
              </w:rPr>
              <w:t>安全标准：符合国家、地方和行业的相关政策、法规。</w:t>
            </w:r>
          </w:p>
          <w:p>
            <w:pPr>
              <w:pStyle w:val="null3"/>
              <w:jc w:val="both"/>
            </w:pPr>
            <w:r>
              <w:rPr>
                <w:rFonts w:ascii="仿宋_GB2312" w:hAnsi="仿宋_GB2312" w:cs="仿宋_GB2312" w:eastAsia="仿宋_GB2312"/>
                <w:sz w:val="24"/>
              </w:rPr>
              <w:t xml:space="preserve">  3</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其他未尽事宜以合同约定为准。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480"/>
              <w:jc w:val="left"/>
            </w:pPr>
            <w:r>
              <w:rPr>
                <w:rFonts w:ascii="仿宋_GB2312" w:hAnsi="仿宋_GB2312" w:cs="仿宋_GB2312" w:eastAsia="仿宋_GB2312"/>
                <w:sz w:val="24"/>
              </w:rPr>
              <w:t>（十）报价要求</w:t>
            </w:r>
          </w:p>
          <w:p>
            <w:pPr>
              <w:pStyle w:val="null3"/>
              <w:ind w:firstLine="720"/>
              <w:jc w:val="left"/>
            </w:pP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投标价格</w:t>
            </w:r>
            <w:r>
              <w:rPr>
                <w:rFonts w:ascii="仿宋_GB2312" w:hAnsi="仿宋_GB2312" w:cs="仿宋_GB2312" w:eastAsia="仿宋_GB2312"/>
                <w:sz w:val="24"/>
              </w:rPr>
              <w:t>为固定包干价，包含标的物的</w:t>
            </w:r>
            <w:r>
              <w:rPr>
                <w:rFonts w:ascii="仿宋_GB2312" w:hAnsi="仿宋_GB2312" w:cs="仿宋_GB2312" w:eastAsia="仿宋_GB2312"/>
                <w:sz w:val="24"/>
              </w:rPr>
              <w:t>制造、包装、运输、装卸、保险、验收、税金、维保、抽检送验费以及所有不可预见的费用，</w:t>
            </w:r>
            <w:r>
              <w:rPr>
                <w:rFonts w:ascii="仿宋_GB2312" w:hAnsi="仿宋_GB2312" w:cs="仿宋_GB2312" w:eastAsia="仿宋_GB2312"/>
                <w:sz w:val="24"/>
              </w:rPr>
              <w:t>除双方另有约定外，采购人无需另行支付任何其他费用。</w:t>
            </w:r>
          </w:p>
          <w:p>
            <w:pPr>
              <w:pStyle w:val="null3"/>
              <w:ind w:firstLine="7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本项目以开标（报价）一览表中</w:t>
            </w:r>
            <w:r>
              <w:rPr>
                <w:rFonts w:ascii="仿宋_GB2312" w:hAnsi="仿宋_GB2312" w:cs="仿宋_GB2312" w:eastAsia="仿宋_GB2312"/>
                <w:sz w:val="24"/>
                <w:color w:val="000000"/>
              </w:rPr>
              <w:t>“响应报价”作为价格评比，各供应商可在报价明细表中详细列出各项货物的</w:t>
            </w:r>
            <w:r>
              <w:rPr>
                <w:rFonts w:ascii="仿宋_GB2312" w:hAnsi="仿宋_GB2312" w:cs="仿宋_GB2312" w:eastAsia="仿宋_GB2312"/>
                <w:sz w:val="24"/>
                <w:color w:val="000000"/>
              </w:rPr>
              <w:t>报价</w:t>
            </w:r>
            <w:r>
              <w:rPr>
                <w:rFonts w:ascii="仿宋_GB2312" w:hAnsi="仿宋_GB2312" w:cs="仿宋_GB2312" w:eastAsia="仿宋_GB2312"/>
                <w:sz w:val="24"/>
                <w:color w:val="000000"/>
              </w:rPr>
              <w:t>单价，各项货物的</w:t>
            </w:r>
            <w:r>
              <w:rPr>
                <w:rFonts w:ascii="仿宋_GB2312" w:hAnsi="仿宋_GB2312" w:cs="仿宋_GB2312" w:eastAsia="仿宋_GB2312"/>
                <w:sz w:val="24"/>
                <w:color w:val="000000"/>
              </w:rPr>
              <w:t>报价</w:t>
            </w:r>
            <w:r>
              <w:rPr>
                <w:rFonts w:ascii="仿宋_GB2312" w:hAnsi="仿宋_GB2312" w:cs="仿宋_GB2312" w:eastAsia="仿宋_GB2312"/>
                <w:sz w:val="24"/>
                <w:color w:val="000000"/>
              </w:rPr>
              <w:t>单价不得超过最高单价，否则视为无效报价。</w:t>
            </w:r>
          </w:p>
          <w:p>
            <w:pPr>
              <w:pStyle w:val="null3"/>
              <w:ind w:firstLine="720"/>
              <w:jc w:val="left"/>
            </w:pPr>
            <w:r>
              <w:rPr>
                <w:rFonts w:ascii="仿宋_GB2312" w:hAnsi="仿宋_GB2312" w:cs="仿宋_GB2312" w:eastAsia="仿宋_GB2312"/>
                <w:sz w:val="24"/>
              </w:rPr>
              <w:t>3. 本项目合同采购预算金额为</w:t>
            </w:r>
            <w:r>
              <w:rPr>
                <w:rFonts w:ascii="仿宋_GB2312" w:hAnsi="仿宋_GB2312" w:cs="仿宋_GB2312" w:eastAsia="仿宋_GB2312"/>
                <w:sz w:val="24"/>
                <w:b/>
                <w:color w:val="000000"/>
              </w:rPr>
              <w:t>226.8万元</w:t>
            </w:r>
            <w:r>
              <w:rPr>
                <w:rFonts w:ascii="仿宋_GB2312" w:hAnsi="仿宋_GB2312" w:cs="仿宋_GB2312" w:eastAsia="仿宋_GB2312"/>
                <w:sz w:val="24"/>
              </w:rPr>
              <w:t>，作为合同累计结算金额的上限。采购人与成交供应商签订采购合同</w:t>
            </w:r>
            <w:r>
              <w:rPr>
                <w:rFonts w:ascii="仿宋_GB2312" w:hAnsi="仿宋_GB2312" w:cs="仿宋_GB2312" w:eastAsia="仿宋_GB2312"/>
                <w:sz w:val="24"/>
              </w:rPr>
              <w:t>后，</w:t>
            </w:r>
            <w:r>
              <w:rPr>
                <w:rFonts w:ascii="仿宋_GB2312" w:hAnsi="仿宋_GB2312" w:cs="仿宋_GB2312" w:eastAsia="仿宋_GB2312"/>
                <w:sz w:val="24"/>
              </w:rPr>
              <w:t>成交供应商</w:t>
            </w:r>
            <w:r>
              <w:rPr>
                <w:rFonts w:ascii="仿宋_GB2312" w:hAnsi="仿宋_GB2312" w:cs="仿宋_GB2312" w:eastAsia="仿宋_GB2312"/>
                <w:sz w:val="24"/>
              </w:rPr>
              <w:t>每个月</w:t>
            </w:r>
            <w:r>
              <w:rPr>
                <w:rFonts w:ascii="仿宋_GB2312" w:hAnsi="仿宋_GB2312" w:cs="仿宋_GB2312" w:eastAsia="仿宋_GB2312"/>
                <w:sz w:val="24"/>
              </w:rPr>
              <w:t>应根据采购人的采购计划分批供货</w:t>
            </w:r>
            <w:r>
              <w:rPr>
                <w:rFonts w:ascii="仿宋_GB2312" w:hAnsi="仿宋_GB2312" w:cs="仿宋_GB2312" w:eastAsia="仿宋_GB2312"/>
                <w:sz w:val="24"/>
              </w:rPr>
              <w:t>，</w:t>
            </w:r>
            <w:r>
              <w:rPr>
                <w:rFonts w:ascii="仿宋_GB2312" w:hAnsi="仿宋_GB2312" w:cs="仿宋_GB2312" w:eastAsia="仿宋_GB2312"/>
                <w:sz w:val="24"/>
              </w:rPr>
              <w:t>以中标成交单价</w:t>
            </w:r>
            <w:r>
              <w:rPr>
                <w:rFonts w:ascii="仿宋_GB2312" w:hAnsi="仿宋_GB2312" w:cs="仿宋_GB2312" w:eastAsia="仿宋_GB2312"/>
                <w:sz w:val="24"/>
              </w:rPr>
              <w:t>（报价单价）</w:t>
            </w:r>
            <w:r>
              <w:rPr>
                <w:rFonts w:ascii="仿宋_GB2312" w:hAnsi="仿宋_GB2312" w:cs="仿宋_GB2312" w:eastAsia="仿宋_GB2312"/>
                <w:sz w:val="24"/>
              </w:rPr>
              <w:t>乘以实际采购量据实</w:t>
            </w:r>
            <w:r>
              <w:rPr>
                <w:rFonts w:ascii="仿宋_GB2312" w:hAnsi="仿宋_GB2312" w:cs="仿宋_GB2312" w:eastAsia="仿宋_GB2312"/>
                <w:sz w:val="24"/>
              </w:rPr>
              <w:t>分批</w:t>
            </w:r>
            <w:r>
              <w:rPr>
                <w:rFonts w:ascii="仿宋_GB2312" w:hAnsi="仿宋_GB2312" w:cs="仿宋_GB2312" w:eastAsia="仿宋_GB2312"/>
                <w:sz w:val="24"/>
              </w:rPr>
              <w:t>结算，当合同期内累计结算金额达到采购预算金额时视为合同履行期限届满。</w:t>
            </w:r>
          </w:p>
          <w:p>
            <w:pPr>
              <w:pStyle w:val="null3"/>
              <w:ind w:firstLine="420"/>
              <w:jc w:val="left"/>
            </w:pPr>
            <w:r>
              <w:rPr>
                <w:rFonts w:ascii="仿宋_GB2312" w:hAnsi="仿宋_GB2312" w:cs="仿宋_GB2312" w:eastAsia="仿宋_GB2312"/>
                <w:sz w:val="24"/>
              </w:rPr>
              <w:t>4.</w:t>
            </w:r>
            <w:r>
              <w:rPr>
                <w:rFonts w:ascii="仿宋_GB2312" w:hAnsi="仿宋_GB2312" w:cs="仿宋_GB2312" w:eastAsia="仿宋_GB2312"/>
                <w:sz w:val="24"/>
              </w:rPr>
              <w:t>本项目的合同履约期为</w:t>
            </w:r>
            <w:r>
              <w:rPr>
                <w:rFonts w:ascii="仿宋_GB2312" w:hAnsi="仿宋_GB2312" w:cs="仿宋_GB2312" w:eastAsia="仿宋_GB2312"/>
                <w:sz w:val="24"/>
              </w:rPr>
              <w:t>12个月，成交供应商与采购人签订采购合同后，每月度按照采购人的采购计划进行分批供货，直至合同期满或完成全部采购预算金额。</w:t>
            </w:r>
          </w:p>
          <w:p>
            <w:pPr>
              <w:pStyle w:val="null3"/>
              <w:jc w:val="both"/>
            </w:pPr>
            <w:r>
              <w:rPr>
                <w:rFonts w:ascii="仿宋_GB2312" w:hAnsi="仿宋_GB2312" w:cs="仿宋_GB2312" w:eastAsia="仿宋_GB2312"/>
                <w:sz w:val="24"/>
              </w:rPr>
              <w:t xml:space="preserve">  5</w:t>
            </w:r>
            <w:r>
              <w:rPr>
                <w:rFonts w:ascii="仿宋_GB2312" w:hAnsi="仿宋_GB2312" w:cs="仿宋_GB2312" w:eastAsia="仿宋_GB2312"/>
                <w:sz w:val="24"/>
              </w:rPr>
              <w:t>. 供应商</w:t>
            </w:r>
            <w:r>
              <w:rPr>
                <w:rFonts w:ascii="仿宋_GB2312" w:hAnsi="仿宋_GB2312" w:cs="仿宋_GB2312" w:eastAsia="仿宋_GB2312"/>
                <w:sz w:val="24"/>
              </w:rPr>
              <w:t>报价时应综合考虑合同履约期（</w:t>
            </w:r>
            <w:r>
              <w:rPr>
                <w:rFonts w:ascii="仿宋_GB2312" w:hAnsi="仿宋_GB2312" w:cs="仿宋_GB2312" w:eastAsia="仿宋_GB2312"/>
                <w:sz w:val="24"/>
              </w:rPr>
              <w:t>12个月）内政策性调整、各种材料市场价格的浮动、</w:t>
            </w:r>
            <w:r>
              <w:rPr>
                <w:rFonts w:ascii="仿宋_GB2312" w:hAnsi="仿宋_GB2312" w:cs="仿宋_GB2312" w:eastAsia="仿宋_GB2312"/>
                <w:sz w:val="24"/>
              </w:rPr>
              <w:t>工艺</w:t>
            </w:r>
            <w:r>
              <w:rPr>
                <w:rFonts w:ascii="仿宋_GB2312" w:hAnsi="仿宋_GB2312" w:cs="仿宋_GB2312" w:eastAsia="仿宋_GB2312"/>
                <w:sz w:val="24"/>
              </w:rPr>
              <w:t>变化等因素造成的货物价格变动，经确定中标并签定政府采购合同后，在合同履约期内不得因市场波动进行任何价格调整。</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 xml:space="preserve">    1、项目的实质性要求：按本询价文件要求和成交供应商响应文件内容实施。</w:t>
      </w:r>
    </w:p>
    <w:p>
      <w:pPr>
        <w:pStyle w:val="null3"/>
        <w:ind w:firstLine="480"/>
        <w:jc w:val="both"/>
      </w:pPr>
      <w:r>
        <w:rPr>
          <w:rFonts w:ascii="仿宋_GB2312" w:hAnsi="仿宋_GB2312" w:cs="仿宋_GB2312" w:eastAsia="仿宋_GB2312"/>
          <w:sz w:val="24"/>
        </w:rPr>
        <w:t>2、合同的实质性条款：采购人与成交供应商的名称和住所、标的、数量、质量、价款或者报酬、履行期限及地点和方式、验收要求、违约责任、解决争议的方法等内容。</w:t>
      </w:r>
    </w:p>
    <w:p>
      <w:pPr>
        <w:pStyle w:val="null3"/>
        <w:ind w:firstLine="480"/>
        <w:jc w:val="both"/>
      </w:pPr>
      <w:r>
        <w:rPr>
          <w:rFonts w:ascii="仿宋_GB2312" w:hAnsi="仿宋_GB2312" w:cs="仿宋_GB2312" w:eastAsia="仿宋_GB2312"/>
          <w:sz w:val="24"/>
        </w:rPr>
        <w:t>3、安全标准：符合国家、地方和行业的相关政策、法规。</w:t>
      </w:r>
    </w:p>
    <w:p>
      <w:pPr>
        <w:pStyle w:val="null3"/>
        <w:ind w:firstLine="480"/>
        <w:jc w:val="both"/>
      </w:pPr>
      <w:r>
        <w:rPr>
          <w:rFonts w:ascii="仿宋_GB2312" w:hAnsi="仿宋_GB2312" w:cs="仿宋_GB2312" w:eastAsia="仿宋_GB2312"/>
          <w:sz w:val="24"/>
        </w:rPr>
        <w:t>4、法律法规规定的强制性标准：无。</w:t>
      </w:r>
    </w:p>
    <w:p>
      <w:pPr>
        <w:pStyle w:val="null3"/>
        <w:ind w:firstLine="480"/>
        <w:jc w:val="both"/>
      </w:pPr>
      <w:r>
        <w:rPr>
          <w:rFonts w:ascii="仿宋_GB2312" w:hAnsi="仿宋_GB2312" w:cs="仿宋_GB2312" w:eastAsia="仿宋_GB2312"/>
          <w:sz w:val="24"/>
        </w:rPr>
        <w:t>5、其他未尽事宜以合同约定为准。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1、除询价通知书另有规定外，若出现有关法律、法规和规章有强制性规定但询价通知书未列明的情形，则供应商应按照有关法律、法规和规章强制性规定执行。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采购需求有标注“★”条款的为实质性条款，若有任何一条负偏离或不满足则导致投标无效。非“★”号条款未响应或不满足（负偏离），将根据评审要求影响其得分，但不作为无效响应条款。</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符合其他法律规定承诺函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both"/>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须符合询价通知书的式样、签署和盖章要求且内容完整无缺漏。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其他材料 供应商应提交的相关证明材料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询价有效期（从递交响应文件的截止之日起算）</w:t>
            </w:r>
          </w:p>
        </w:tc>
        <w:tc>
          <w:tcPr>
            <w:tcW w:type="dxa" w:w="3322"/>
          </w:tcPr>
          <w:p>
            <w:pPr>
              <w:pStyle w:val="null3"/>
              <w:jc w:val="left"/>
            </w:pPr>
            <w:r>
              <w:rPr>
                <w:rFonts w:ascii="仿宋_GB2312" w:hAnsi="仿宋_GB2312" w:cs="仿宋_GB2312" w:eastAsia="仿宋_GB2312"/>
              </w:rPr>
              <w:t>询价有效期须满足供应商须知4.5.1要求。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交（服务）时间、交付（服务）地点须满足询价通知书要求。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jc w:val="left"/>
      </w:pPr>
      <w:r>
        <w:rPr>
          <w:rFonts w:ascii="仿宋_GB2312" w:hAnsi="仿宋_GB2312" w:cs="仿宋_GB2312" w:eastAsia="仿宋_GB2312"/>
        </w:rPr>
        <w:t>1.供应商提供的证明材料，除需要供应商填报或有特殊说明外，均须提供该材料的复印件。</w:t>
      </w:r>
    </w:p>
    <w:p>
      <w:pPr>
        <w:pStyle w:val="null3"/>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HNJY-2025-005-1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2025年度路面维修用沥青油采购项目(二次)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2025年度路面维修用沥青油采购项目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普通沥青油，改性沥青油，乳化沥青油</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2268000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备注：本表中供应商“响应报价”金额应与《报价明细表》中的“供应商报价总价（合计）”金额一致。</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详见附件：符合其他法律规定承诺函</w:t>
      </w:r>
    </w:p>
    <w:p>
      <w:pPr>
        <w:pStyle w:val="null3"/>
        <w:jc w:val="left"/>
        <w:outlineLvl w:val="3"/>
      </w:pPr>
      <w:r>
        <w:rPr>
          <w:rFonts w:ascii="仿宋_GB2312" w:hAnsi="仿宋_GB2312" w:cs="仿宋_GB2312" w:eastAsia="仿宋_GB2312"/>
          <w:sz w:val="24"/>
          <w:b/>
        </w:rPr>
        <w:t>响应文件补充说明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