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2025年度交通运输综合管理辅助服务项目(二次)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[HFGC]20250200001[CS]-1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海口市综合行政执法局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海南菲迪克招标咨询有限公司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海口市综合行政执法局</w:t>
      </w:r>
      <w:r>
        <w:rPr>
          <w:rFonts w:ascii="仿宋_GB2312" w:hAnsi="仿宋_GB2312" w:cs="仿宋_GB2312" w:eastAsia="仿宋_GB2312"/>
        </w:rPr>
        <w:t xml:space="preserve"> 的委托， </w:t>
      </w:r>
      <w:r>
        <w:rPr>
          <w:rFonts w:ascii="仿宋_GB2312" w:hAnsi="仿宋_GB2312" w:cs="仿宋_GB2312" w:eastAsia="仿宋_GB2312"/>
        </w:rPr>
        <w:t>海南菲迪克招标咨询有限公司</w:t>
      </w:r>
      <w:r>
        <w:rPr>
          <w:rFonts w:ascii="仿宋_GB2312" w:hAnsi="仿宋_GB2312" w:cs="仿宋_GB2312" w:eastAsia="仿宋_GB2312"/>
        </w:rPr>
        <w:t xml:space="preserve"> 对 </w:t>
      </w:r>
      <w:r>
        <w:rPr>
          <w:rFonts w:ascii="仿宋_GB2312" w:hAnsi="仿宋_GB2312" w:cs="仿宋_GB2312" w:eastAsia="仿宋_GB2312"/>
        </w:rPr>
        <w:t>2025年度交通运输综合管理辅助服务项目(二次)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[HFGC]20250200001[CS]-1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2025年度交通运输综合管理辅助服务项目(二次)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3,500,000.00元</w:t>
      </w:r>
      <w:r>
        <w:rPr>
          <w:rFonts w:ascii="仿宋_GB2312" w:hAnsi="仿宋_GB2312" w:cs="仿宋_GB2312" w:eastAsia="仿宋_GB2312"/>
        </w:rPr>
        <w:t>叁佰伍拾万元整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3,500,000.00元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1、无环保类行政处罚声明：参加政府采购活动前三年内无环保类行政处罚记录（提供声明函并加盖公章）</w:t>
      </w:r>
    </w:p>
    <w:p>
      <w:pPr>
        <w:pStyle w:val="null3"/>
        <w:jc w:val="left"/>
      </w:pPr>
      <w:r>
        <w:rPr>
          <w:rFonts w:ascii="仿宋_GB2312" w:hAnsi="仿宋_GB2312" w:cs="仿宋_GB2312" w:eastAsia="仿宋_GB2312"/>
        </w:rPr>
        <w:t>2、无串通投标行为承诺：参加本项目投标无串通投标行为（提供承诺函并加盖公章）</w:t>
      </w:r>
    </w:p>
    <w:p>
      <w:pPr>
        <w:pStyle w:val="null3"/>
        <w:jc w:val="left"/>
      </w:pPr>
      <w:r>
        <w:rPr>
          <w:rFonts w:ascii="仿宋_GB2312" w:hAnsi="仿宋_GB2312" w:cs="仿宋_GB2312" w:eastAsia="仿宋_GB2312"/>
        </w:rPr>
        <w:t>3、国家企业信用信息：投标人投标时提供“国家企业信用信息公示系统”网站（http://www.gsxt.gov.cn/index.html）基础信息中的“股东及出资信息”和“主要人员信息”。（提供信息查询结果界面截图，加盖投标人公章）</w:t>
      </w:r>
    </w:p>
    <w:p>
      <w:pPr>
        <w:pStyle w:val="null3"/>
        <w:jc w:val="left"/>
      </w:pPr>
      <w:r>
        <w:rPr>
          <w:rFonts w:ascii="仿宋_GB2312" w:hAnsi="仿宋_GB2312" w:cs="仿宋_GB2312" w:eastAsia="仿宋_GB2312"/>
        </w:rPr>
        <w:t>4、信用查询：对列入失信被执行人、重大税收违法失信主体、政府采购严重违法失信行为记录名单的供应商，拒绝其参与政府采购活动（提供信用查询截图或承诺函加盖公章）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 2、本项目采用全流程电子化操作，供应商请在海南省政府采购智慧云平台（以下简称“智慧云平台”）办事指南查阅操作手册，在使用交易系统遇到问题可致电技术支持：0898-66220881或0898-66220882。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海口市综合行政执法局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海口市长滨路市政府第二办公区16楼南5楼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0898-68723635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海南菲迪克招标咨询有限公司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三亚市迎宾路天际大厦1103B室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宋女士/杨先生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0898-65855160</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代理服务费由采购单位支付，以采购预算为计费基数，参照原海南省物价局关于降低部分招标代理服务收费标准的通知(琼价费管（2011）225号)文件规定收取招标代理服务费，现按原计算标准的5.8折收取，金额为¥20300元。 在成交公告发布之日起3个工作日内，向招标代理机构缴纳招标代理服务费。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1.本项目不接受供应商成功加密后的电子备用响应文件，以供应商成功加密后递交至海南省政府采购智慧云平台的电子响应文件为准，因投标人自身原因导致无法解密或解密失败的，自行承担不利后果。 2.本项目专门面向中小企业采购，大型企业不得参加（须提供中小企业声明函并加盖公章） 3.本项目采用的是竞争性磋商采购方式，其中磋商及最终报价程序均采用在线方式，供应商如遇技术问题自行联系海南省政府采购智慧云平台客服。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联系人：宋女士/杨先生</w:t>
      </w:r>
    </w:p>
    <w:p>
      <w:pPr>
        <w:pStyle w:val="null3"/>
        <w:jc w:val="left"/>
      </w:pPr>
      <w:r>
        <w:rPr>
          <w:rFonts w:ascii="仿宋_GB2312" w:hAnsi="仿宋_GB2312" w:cs="仿宋_GB2312" w:eastAsia="仿宋_GB2312"/>
        </w:rPr>
        <w:t>联系电话：0898-65855160</w:t>
      </w:r>
    </w:p>
    <w:p>
      <w:pPr>
        <w:pStyle w:val="null3"/>
        <w:jc w:val="left"/>
      </w:pPr>
      <w:r>
        <w:rPr>
          <w:rFonts w:ascii="仿宋_GB2312" w:hAnsi="仿宋_GB2312" w:cs="仿宋_GB2312" w:eastAsia="仿宋_GB2312"/>
        </w:rPr>
        <w:t>地址：海南省海口市琼山区椰海大道126号椰海家园8栋802房</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根据实际业务量、业务特点进行流程优化、人员配置和管理，为采购人提供综合辅助性服务，并对服务质量、工作结果负责。服务内容包括但不限于</w:t>
      </w:r>
      <w:r>
        <w:rPr>
          <w:rFonts w:ascii="仿宋_GB2312" w:hAnsi="仿宋_GB2312" w:cs="仿宋_GB2312" w:eastAsia="仿宋_GB2312"/>
          <w:sz w:val="24"/>
        </w:rPr>
        <w:t>:违章处理窗口服务、各交通枢纽辅助性服务、社会信用修复服务、数据统计服务、12345热线办理促进与投诉受理服务、信息化建设和辅助服务及采购人提出的与交通行政执法辅助服务相关的其他工作。</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3,500,000.00</w:t>
      </w:r>
    </w:p>
    <w:p>
      <w:pPr>
        <w:pStyle w:val="null3"/>
        <w:jc w:val="left"/>
      </w:pPr>
      <w:r>
        <w:rPr>
          <w:rFonts w:ascii="仿宋_GB2312" w:hAnsi="仿宋_GB2312" w:cs="仿宋_GB2312" w:eastAsia="仿宋_GB2312"/>
        </w:rPr>
        <w:t>采购包最高限价（元）: 3,500,000.00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C15020100-道路客运服务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2025年度交通运输综合管理辅助服务项目（二次）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标的名称：C15020100-道路客运服务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both"/>
              <w:outlineLvl w:val="1"/>
            </w:pPr>
            <w:r>
              <w:rPr>
                <w:rFonts w:ascii="仿宋_GB2312" w:hAnsi="仿宋_GB2312" w:cs="仿宋_GB2312" w:eastAsia="仿宋_GB2312"/>
                <w:sz w:val="28"/>
                <w:b/>
              </w:rPr>
              <w:t>一、技术要求</w:t>
            </w:r>
          </w:p>
          <w:p>
            <w:pPr>
              <w:pStyle w:val="null3"/>
              <w:ind w:firstLine="561"/>
              <w:jc w:val="both"/>
            </w:pPr>
            <w:r>
              <w:rPr>
                <w:rFonts w:ascii="仿宋_GB2312" w:hAnsi="仿宋_GB2312" w:cs="仿宋_GB2312" w:eastAsia="仿宋_GB2312"/>
                <w:sz w:val="24"/>
                <w:b/>
              </w:rPr>
              <w:t>（一）岗位需求</w:t>
            </w:r>
          </w:p>
          <w:p>
            <w:pPr>
              <w:pStyle w:val="null3"/>
              <w:ind w:firstLine="561"/>
              <w:jc w:val="both"/>
            </w:pPr>
            <w:r>
              <w:rPr>
                <w:rFonts w:ascii="仿宋_GB2312" w:hAnsi="仿宋_GB2312" w:cs="仿宋_GB2312" w:eastAsia="仿宋_GB2312"/>
                <w:sz w:val="24"/>
              </w:rPr>
              <w:t>1、根据实际业务量、业务特点进行流程优化、人员配置和管理，为采购人提供综合辅助性服务，并对服务质量、工作结果负责。服务内容包括但不限于:违章处理窗口服务、各交通枢纽辅助性服务、社会信用修复服务、数据统计服务、12345热线办理促进与投诉受理服务、信息化建设和辅助服务及采购人提出的与交通行政执法辅助服务相关的其他工作。</w:t>
            </w:r>
          </w:p>
          <w:p>
            <w:pPr>
              <w:pStyle w:val="null3"/>
              <w:ind w:firstLine="561"/>
              <w:jc w:val="both"/>
            </w:pPr>
            <w:r>
              <w:rPr>
                <w:rFonts w:ascii="仿宋_GB2312" w:hAnsi="仿宋_GB2312" w:cs="仿宋_GB2312" w:eastAsia="仿宋_GB2312"/>
                <w:sz w:val="24"/>
              </w:rPr>
              <w:t>2、为本单位提供的辅助服务岗位数量控制在60个。</w:t>
            </w:r>
          </w:p>
          <w:p>
            <w:pPr>
              <w:pStyle w:val="null3"/>
              <w:ind w:firstLine="480"/>
              <w:jc w:val="center"/>
            </w:pPr>
            <w:r>
              <w:rPr>
                <w:rFonts w:ascii="仿宋_GB2312" w:hAnsi="仿宋_GB2312" w:cs="仿宋_GB2312" w:eastAsia="仿宋_GB2312"/>
                <w:sz w:val="24"/>
                <w:shd w:fill="FFFFFF" w:val="clear"/>
              </w:rPr>
              <w:t>岗位配置</w:t>
            </w:r>
            <w:r>
              <w:rPr>
                <w:rFonts w:ascii="仿宋_GB2312" w:hAnsi="仿宋_GB2312" w:cs="仿宋_GB2312" w:eastAsia="仿宋_GB2312"/>
                <w:sz w:val="24"/>
                <w:shd w:fill="FFFFFF" w:val="clear"/>
              </w:rPr>
              <w:t>表</w:t>
            </w:r>
          </w:p>
          <w:tbl>
            <w:tblPr>
              <w:tblBorders>
                <w:top w:val="none" w:color="000000" w:sz="4"/>
                <w:left w:val="none" w:color="000000" w:sz="4"/>
                <w:bottom w:val="none" w:color="000000" w:sz="4"/>
                <w:right w:val="none" w:color="000000" w:sz="4"/>
                <w:insideH w:val="none"/>
                <w:insideV w:val="none"/>
              </w:tblBorders>
            </w:tblPr>
            <w:tblGrid>
              <w:gridCol w:w="230"/>
              <w:gridCol w:w="1046"/>
              <w:gridCol w:w="396"/>
              <w:gridCol w:w="306"/>
              <w:gridCol w:w="563"/>
            </w:tblGrid>
            <w:tr>
              <w:tc>
                <w:tcPr>
                  <w:tcW w:type="dxa" w:w="23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b/>
                      <w:shd w:fill="FFFFFF" w:val="clear"/>
                    </w:rPr>
                    <w:t>序号</w:t>
                  </w:r>
                </w:p>
              </w:tc>
              <w:tc>
                <w:tcPr>
                  <w:tcW w:type="dxa" w:w="104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b/>
                      <w:shd w:fill="FFFFFF" w:val="clear"/>
                    </w:rPr>
                    <w:t>岗位</w:t>
                  </w:r>
                </w:p>
              </w:tc>
              <w:tc>
                <w:tcPr>
                  <w:tcW w:type="dxa" w:w="39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b/>
                      <w:shd w:fill="FFFFFF" w:val="clear"/>
                    </w:rPr>
                    <w:t>数量</w:t>
                  </w:r>
                </w:p>
              </w:tc>
              <w:tc>
                <w:tcPr>
                  <w:tcW w:type="dxa" w:w="30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b/>
                      <w:shd w:fill="FFFFFF" w:val="clear"/>
                    </w:rPr>
                    <w:t>单位</w:t>
                  </w:r>
                </w:p>
              </w:tc>
              <w:tc>
                <w:tcPr>
                  <w:tcW w:type="dxa" w:w="56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b/>
                      <w:shd w:fill="FFFFFF" w:val="clear"/>
                    </w:rPr>
                    <w:t>备注</w:t>
                  </w:r>
                </w:p>
              </w:tc>
            </w:tr>
            <w:tr>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1</w:t>
                  </w:r>
                </w:p>
              </w:tc>
              <w:tc>
                <w:tcPr>
                  <w:tcW w:type="dxa" w:w="10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违章处理窗口服务</w:t>
                  </w:r>
                  <w:r>
                    <w:rPr>
                      <w:rFonts w:ascii="仿宋_GB2312" w:hAnsi="仿宋_GB2312" w:cs="仿宋_GB2312" w:eastAsia="仿宋_GB2312"/>
                      <w:sz w:val="24"/>
                      <w:shd w:fill="FFFFFF" w:val="clear"/>
                    </w:rPr>
                    <w:t>岗</w:t>
                  </w:r>
                </w:p>
              </w:tc>
              <w:tc>
                <w:tcPr>
                  <w:tcW w:type="dxa" w:w="39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1</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个</w:t>
                  </w:r>
                </w:p>
              </w:tc>
              <w:tc>
                <w:tcPr>
                  <w:tcW w:type="dxa" w:w="563"/>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采购人根据适配需要安排具体岗位，各岗位薪酬均等。</w:t>
                  </w:r>
                </w:p>
              </w:tc>
            </w:tr>
            <w:tr>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2</w:t>
                  </w:r>
                </w:p>
              </w:tc>
              <w:tc>
                <w:tcPr>
                  <w:tcW w:type="dxa" w:w="10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各交通枢纽辅助性服务</w:t>
                  </w:r>
                  <w:r>
                    <w:rPr>
                      <w:rFonts w:ascii="仿宋_GB2312" w:hAnsi="仿宋_GB2312" w:cs="仿宋_GB2312" w:eastAsia="仿宋_GB2312"/>
                      <w:sz w:val="24"/>
                      <w:shd w:fill="FFFFFF" w:val="clear"/>
                    </w:rPr>
                    <w:t>岗</w:t>
                  </w:r>
                </w:p>
              </w:tc>
              <w:tc>
                <w:tcPr>
                  <w:tcW w:type="dxa" w:w="39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46</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个</w:t>
                  </w:r>
                </w:p>
              </w:tc>
              <w:tc>
                <w:tcPr>
                  <w:tcW w:type="dxa" w:w="563"/>
                  <w:vMerge/>
                  <w:tcBorders>
                    <w:top w:val="none" w:color="000000" w:sz="4"/>
                    <w:left w:val="single" w:color="000000" w:sz="4"/>
                    <w:bottom w:val="single" w:color="000000" w:sz="4"/>
                    <w:right w:val="single" w:color="000000" w:sz="4"/>
                  </w:tcBorders>
                </w:tcPr>
                <w:p/>
              </w:tc>
            </w:tr>
            <w:tr>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3</w:t>
                  </w:r>
                </w:p>
              </w:tc>
              <w:tc>
                <w:tcPr>
                  <w:tcW w:type="dxa" w:w="10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社会信用修复服务</w:t>
                  </w:r>
                  <w:r>
                    <w:rPr>
                      <w:rFonts w:ascii="仿宋_GB2312" w:hAnsi="仿宋_GB2312" w:cs="仿宋_GB2312" w:eastAsia="仿宋_GB2312"/>
                      <w:sz w:val="24"/>
                      <w:shd w:fill="FFFFFF" w:val="clear"/>
                    </w:rPr>
                    <w:t>岗</w:t>
                  </w:r>
                </w:p>
              </w:tc>
              <w:tc>
                <w:tcPr>
                  <w:tcW w:type="dxa" w:w="39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1</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个</w:t>
                  </w:r>
                </w:p>
              </w:tc>
              <w:tc>
                <w:tcPr>
                  <w:tcW w:type="dxa" w:w="563"/>
                  <w:vMerge/>
                  <w:tcBorders>
                    <w:top w:val="none" w:color="000000" w:sz="4"/>
                    <w:left w:val="single" w:color="000000" w:sz="4"/>
                    <w:bottom w:val="single" w:color="000000" w:sz="4"/>
                    <w:right w:val="single" w:color="000000" w:sz="4"/>
                  </w:tcBorders>
                </w:tcPr>
                <w:p/>
              </w:tc>
            </w:tr>
            <w:tr>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4</w:t>
                  </w:r>
                </w:p>
              </w:tc>
              <w:tc>
                <w:tcPr>
                  <w:tcW w:type="dxa" w:w="10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数据统计服务</w:t>
                  </w:r>
                  <w:r>
                    <w:rPr>
                      <w:rFonts w:ascii="仿宋_GB2312" w:hAnsi="仿宋_GB2312" w:cs="仿宋_GB2312" w:eastAsia="仿宋_GB2312"/>
                      <w:sz w:val="24"/>
                      <w:shd w:fill="FFFFFF" w:val="clear"/>
                    </w:rPr>
                    <w:t>岗</w:t>
                  </w:r>
                </w:p>
              </w:tc>
              <w:tc>
                <w:tcPr>
                  <w:tcW w:type="dxa" w:w="39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1</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个</w:t>
                  </w:r>
                </w:p>
              </w:tc>
              <w:tc>
                <w:tcPr>
                  <w:tcW w:type="dxa" w:w="563"/>
                  <w:vMerge/>
                  <w:tcBorders>
                    <w:top w:val="none" w:color="000000" w:sz="4"/>
                    <w:left w:val="single" w:color="000000" w:sz="4"/>
                    <w:bottom w:val="single" w:color="000000" w:sz="4"/>
                    <w:right w:val="single" w:color="000000" w:sz="4"/>
                  </w:tcBorders>
                </w:tcPr>
                <w:p/>
              </w:tc>
            </w:tr>
            <w:tr>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5</w:t>
                  </w:r>
                </w:p>
              </w:tc>
              <w:tc>
                <w:tcPr>
                  <w:tcW w:type="dxa" w:w="10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12345热线办理促进与投诉受理服务</w:t>
                  </w:r>
                  <w:r>
                    <w:rPr>
                      <w:rFonts w:ascii="仿宋_GB2312" w:hAnsi="仿宋_GB2312" w:cs="仿宋_GB2312" w:eastAsia="仿宋_GB2312"/>
                      <w:sz w:val="24"/>
                      <w:shd w:fill="FFFFFF" w:val="clear"/>
                    </w:rPr>
                    <w:t>岗</w:t>
                  </w:r>
                </w:p>
              </w:tc>
              <w:tc>
                <w:tcPr>
                  <w:tcW w:type="dxa" w:w="39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9</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个</w:t>
                  </w:r>
                </w:p>
              </w:tc>
              <w:tc>
                <w:tcPr>
                  <w:tcW w:type="dxa" w:w="563"/>
                  <w:vMerge/>
                  <w:tcBorders>
                    <w:top w:val="none" w:color="000000" w:sz="4"/>
                    <w:left w:val="single" w:color="000000" w:sz="4"/>
                    <w:bottom w:val="single" w:color="000000" w:sz="4"/>
                    <w:right w:val="single" w:color="000000" w:sz="4"/>
                  </w:tcBorders>
                </w:tcPr>
                <w:p/>
              </w:tc>
            </w:tr>
            <w:tr>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6</w:t>
                  </w:r>
                </w:p>
              </w:tc>
              <w:tc>
                <w:tcPr>
                  <w:tcW w:type="dxa" w:w="10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信息化建设和辅助服务</w:t>
                  </w:r>
                  <w:r>
                    <w:rPr>
                      <w:rFonts w:ascii="仿宋_GB2312" w:hAnsi="仿宋_GB2312" w:cs="仿宋_GB2312" w:eastAsia="仿宋_GB2312"/>
                      <w:sz w:val="24"/>
                      <w:shd w:fill="FFFFFF" w:val="clear"/>
                    </w:rPr>
                    <w:t>岗</w:t>
                  </w:r>
                </w:p>
              </w:tc>
              <w:tc>
                <w:tcPr>
                  <w:tcW w:type="dxa" w:w="39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1</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个</w:t>
                  </w:r>
                </w:p>
              </w:tc>
              <w:tc>
                <w:tcPr>
                  <w:tcW w:type="dxa" w:w="563"/>
                  <w:vMerge/>
                  <w:tcBorders>
                    <w:top w:val="none" w:color="000000" w:sz="4"/>
                    <w:left w:val="single" w:color="000000" w:sz="4"/>
                    <w:bottom w:val="single" w:color="000000" w:sz="4"/>
                    <w:right w:val="single" w:color="000000" w:sz="4"/>
                  </w:tcBorders>
                </w:tcPr>
                <w:p/>
              </w:tc>
            </w:tr>
            <w:tr>
              <w:tc>
                <w:tcPr>
                  <w:tcW w:type="dxa" w:w="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7</w:t>
                  </w:r>
                </w:p>
              </w:tc>
              <w:tc>
                <w:tcPr>
                  <w:tcW w:type="dxa" w:w="10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其他岗</w:t>
                  </w:r>
                </w:p>
              </w:tc>
              <w:tc>
                <w:tcPr>
                  <w:tcW w:type="dxa" w:w="39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1</w:t>
                  </w:r>
                </w:p>
              </w:tc>
              <w:tc>
                <w:tcPr>
                  <w:tcW w:type="dxa" w:w="306"/>
                  <w:tcBorders>
                    <w:top w:val="none" w:color="000000" w:sz="4"/>
                    <w:left w:val="single" w:color="000000" w:sz="4"/>
                    <w:bottom w:val="non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shd w:fill="FFFFFF" w:val="clear"/>
                    </w:rPr>
                    <w:t>个</w:t>
                  </w:r>
                </w:p>
              </w:tc>
              <w:tc>
                <w:tcPr>
                  <w:tcW w:type="dxa" w:w="563"/>
                  <w:vMerge/>
                  <w:tcBorders>
                    <w:top w:val="none" w:color="000000" w:sz="4"/>
                    <w:left w:val="single" w:color="000000" w:sz="4"/>
                    <w:bottom w:val="single" w:color="000000" w:sz="4"/>
                    <w:right w:val="single" w:color="000000" w:sz="4"/>
                  </w:tcBorders>
                </w:tcPr>
                <w:p/>
              </w:tc>
            </w:tr>
            <w:tr>
              <w:tc>
                <w:tcPr>
                  <w:tcW w:type="dxa" w:w="1276"/>
                  <w:gridSpan w:val="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center"/>
                  </w:pPr>
                  <w:r>
                    <w:rPr>
                      <w:rFonts w:ascii="仿宋_GB2312" w:hAnsi="仿宋_GB2312" w:cs="仿宋_GB2312" w:eastAsia="仿宋_GB2312"/>
                      <w:sz w:val="24"/>
                      <w:shd w:fill="FFFFFF" w:val="clear"/>
                    </w:rPr>
                    <w:t>合计</w:t>
                  </w:r>
                </w:p>
              </w:tc>
              <w:tc>
                <w:tcPr>
                  <w:tcW w:type="dxa" w:w="39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480"/>
                    <w:jc w:val="left"/>
                  </w:pPr>
                  <w:r>
                    <w:rPr>
                      <w:rFonts w:ascii="仿宋_GB2312" w:hAnsi="仿宋_GB2312" w:cs="仿宋_GB2312" w:eastAsia="仿宋_GB2312"/>
                      <w:sz w:val="24"/>
                      <w:shd w:fill="FFFFFF" w:val="clear"/>
                    </w:rPr>
                    <w:t>60</w:t>
                  </w:r>
                </w:p>
              </w:tc>
              <w:tc>
                <w:tcPr>
                  <w:tcW w:type="dxa" w:w="30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个</w:t>
                  </w:r>
                </w:p>
              </w:tc>
              <w:tc>
                <w:tcPr>
                  <w:tcW w:type="dxa" w:w="563"/>
                  <w:vMerge/>
                  <w:tcBorders>
                    <w:top w:val="none" w:color="000000" w:sz="4"/>
                    <w:left w:val="single" w:color="000000" w:sz="4"/>
                    <w:bottom w:val="single" w:color="000000" w:sz="4"/>
                    <w:right w:val="single" w:color="000000" w:sz="4"/>
                  </w:tcBorders>
                </w:tcPr>
                <w:p/>
              </w:tc>
            </w:tr>
          </w:tbl>
          <w:p>
            <w:pPr>
              <w:pStyle w:val="null3"/>
              <w:ind w:firstLine="561"/>
              <w:jc w:val="both"/>
            </w:pPr>
            <w:r>
              <w:rPr>
                <w:rFonts w:ascii="仿宋_GB2312" w:hAnsi="仿宋_GB2312" w:cs="仿宋_GB2312" w:eastAsia="仿宋_GB2312"/>
                <w:sz w:val="24"/>
              </w:rPr>
              <w:t>3、如国家或者省市政府相关政策发生变化导致服务工作终止的，采购人有权终止服务合同。</w:t>
            </w:r>
          </w:p>
          <w:p>
            <w:pPr>
              <w:pStyle w:val="null3"/>
              <w:ind w:firstLine="561"/>
              <w:jc w:val="both"/>
            </w:pPr>
            <w:r>
              <w:rPr>
                <w:rFonts w:ascii="仿宋_GB2312" w:hAnsi="仿宋_GB2312" w:cs="仿宋_GB2312" w:eastAsia="仿宋_GB2312"/>
                <w:sz w:val="24"/>
              </w:rPr>
              <w:t>4、供应商应按上述岗位配备相应人员，中标供应商对所配岗位人员的相关证明材料（身份证、学历学位证、劳动合同、政审材料等）进行报采购人备案。</w:t>
            </w:r>
          </w:p>
          <w:p>
            <w:pPr>
              <w:pStyle w:val="null3"/>
              <w:ind w:firstLine="561"/>
              <w:jc w:val="both"/>
            </w:pPr>
            <w:r>
              <w:rPr>
                <w:rFonts w:ascii="仿宋_GB2312" w:hAnsi="仿宋_GB2312" w:cs="仿宋_GB2312" w:eastAsia="仿宋_GB2312"/>
                <w:sz w:val="24"/>
              </w:rPr>
              <w:t>5、本项目的辅助服务岗位所需人员素质或者业务素质不符合工作岗位的，采购人可要求投标人撤换相应的人员，</w:t>
            </w:r>
            <w:r>
              <w:rPr>
                <w:rFonts w:ascii="仿宋_GB2312" w:hAnsi="仿宋_GB2312" w:cs="仿宋_GB2312" w:eastAsia="仿宋_GB2312"/>
                <w:sz w:val="24"/>
              </w:rPr>
              <w:t>供应商</w:t>
            </w:r>
            <w:r>
              <w:rPr>
                <w:rFonts w:ascii="仿宋_GB2312" w:hAnsi="仿宋_GB2312" w:cs="仿宋_GB2312" w:eastAsia="仿宋_GB2312"/>
                <w:sz w:val="24"/>
              </w:rPr>
              <w:t>应无条件更换相关人员。非经采购人同意，不得无理由随意更换服务人员。</w:t>
            </w:r>
          </w:p>
          <w:p>
            <w:pPr>
              <w:pStyle w:val="null3"/>
              <w:ind w:firstLine="561"/>
              <w:jc w:val="both"/>
            </w:pPr>
            <w:r>
              <w:rPr>
                <w:rFonts w:ascii="仿宋_GB2312" w:hAnsi="仿宋_GB2312" w:cs="仿宋_GB2312" w:eastAsia="仿宋_GB2312"/>
                <w:sz w:val="24"/>
                <w:b/>
              </w:rPr>
              <w:t>（二）岗位所需人员条件</w:t>
            </w:r>
          </w:p>
          <w:p>
            <w:pPr>
              <w:pStyle w:val="null3"/>
              <w:ind w:firstLine="561"/>
              <w:jc w:val="both"/>
            </w:pPr>
            <w:r>
              <w:rPr>
                <w:rFonts w:ascii="仿宋_GB2312" w:hAnsi="仿宋_GB2312" w:cs="仿宋_GB2312" w:eastAsia="仿宋_GB2312"/>
                <w:sz w:val="24"/>
              </w:rPr>
              <w:t>1、遵守国家法律，品行端正，身体健康，热爱城市管理工作，具有全面履行本岗位职责的能力。</w:t>
            </w:r>
          </w:p>
          <w:p>
            <w:pPr>
              <w:pStyle w:val="null3"/>
              <w:ind w:firstLine="561"/>
              <w:jc w:val="both"/>
            </w:pPr>
            <w:r>
              <w:rPr>
                <w:rFonts w:ascii="仿宋_GB2312" w:hAnsi="仿宋_GB2312" w:cs="仿宋_GB2312" w:eastAsia="仿宋_GB2312"/>
                <w:sz w:val="24"/>
              </w:rPr>
              <w:t>2、中专、高中及以上学历；全日制大专（高职）及以上学历、退伍军人优先。</w:t>
            </w:r>
          </w:p>
          <w:p>
            <w:pPr>
              <w:pStyle w:val="null3"/>
              <w:ind w:firstLine="561"/>
              <w:jc w:val="both"/>
            </w:pPr>
            <w:r>
              <w:rPr>
                <w:rFonts w:ascii="仿宋_GB2312" w:hAnsi="仿宋_GB2312" w:cs="仿宋_GB2312" w:eastAsia="仿宋_GB2312"/>
                <w:sz w:val="24"/>
              </w:rPr>
              <w:t>3、不限户籍。</w:t>
            </w:r>
          </w:p>
          <w:p>
            <w:pPr>
              <w:pStyle w:val="null3"/>
              <w:ind w:firstLine="561"/>
              <w:jc w:val="both"/>
            </w:pPr>
            <w:r>
              <w:rPr>
                <w:rFonts w:ascii="仿宋_GB2312" w:hAnsi="仿宋_GB2312" w:cs="仿宋_GB2312" w:eastAsia="仿宋_GB2312"/>
                <w:sz w:val="24"/>
              </w:rPr>
              <w:t>4、年龄18周岁至40周岁；退伍军人、研究生年龄可放宽至40岁及以上。此前有类似交通辅助性工作经验的，经采购人同意，可视实际情况适度放宽年龄条件。</w:t>
            </w:r>
          </w:p>
          <w:p>
            <w:pPr>
              <w:pStyle w:val="null3"/>
              <w:ind w:firstLine="561"/>
              <w:jc w:val="both"/>
            </w:pPr>
            <w:r>
              <w:rPr>
                <w:rFonts w:ascii="仿宋_GB2312" w:hAnsi="仿宋_GB2312" w:cs="仿宋_GB2312" w:eastAsia="仿宋_GB2312"/>
                <w:sz w:val="24"/>
              </w:rPr>
              <w:t>5、具备正常履行职责的身体条件，体形端正，无色觉异常，无纹身，无肢体功能障碍；男性身高不低于168CM，女性身高不低于158CM。</w:t>
            </w:r>
          </w:p>
          <w:p>
            <w:pPr>
              <w:pStyle w:val="null3"/>
              <w:ind w:firstLine="561"/>
              <w:jc w:val="both"/>
            </w:pPr>
            <w:r>
              <w:rPr>
                <w:rFonts w:ascii="仿宋_GB2312" w:hAnsi="仿宋_GB2312" w:cs="仿宋_GB2312" w:eastAsia="仿宋_GB2312"/>
                <w:sz w:val="24"/>
              </w:rPr>
              <w:t>6、同等条件下，公安、政法类院校毕业生、公文写作专业人才以及退伍军人，或本科以上汉语言文学、法律、记算机等专业且符合以上条件的人员优先安排使用。</w:t>
            </w:r>
          </w:p>
          <w:p>
            <w:pPr>
              <w:pStyle w:val="null3"/>
              <w:ind w:firstLine="561"/>
              <w:jc w:val="both"/>
            </w:pPr>
            <w:r>
              <w:rPr>
                <w:rFonts w:ascii="仿宋_GB2312" w:hAnsi="仿宋_GB2312" w:cs="仿宋_GB2312" w:eastAsia="仿宋_GB2312"/>
                <w:sz w:val="24"/>
              </w:rPr>
              <w:t>7、具有以下情形人员不得参加本项目的服务内容：</w:t>
            </w:r>
          </w:p>
          <w:p>
            <w:pPr>
              <w:pStyle w:val="null3"/>
              <w:ind w:firstLine="561"/>
              <w:jc w:val="both"/>
            </w:pPr>
            <w:r>
              <w:rPr>
                <w:rFonts w:ascii="仿宋_GB2312" w:hAnsi="仿宋_GB2312" w:cs="仿宋_GB2312" w:eastAsia="仿宋_GB2312"/>
                <w:sz w:val="24"/>
              </w:rPr>
              <w:t>（</w:t>
            </w:r>
            <w:r>
              <w:rPr>
                <w:rFonts w:ascii="仿宋_GB2312" w:hAnsi="仿宋_GB2312" w:cs="仿宋_GB2312" w:eastAsia="仿宋_GB2312"/>
                <w:sz w:val="24"/>
              </w:rPr>
              <w:t>1）有吸毒史、曾因犯罪受过刑事处罚、曾受过行政拘留、司法拘留、强制戒毒、管教的人员。</w:t>
            </w:r>
          </w:p>
          <w:p>
            <w:pPr>
              <w:pStyle w:val="null3"/>
              <w:ind w:firstLine="561"/>
              <w:jc w:val="both"/>
            </w:pPr>
            <w:r>
              <w:rPr>
                <w:rFonts w:ascii="仿宋_GB2312" w:hAnsi="仿宋_GB2312" w:cs="仿宋_GB2312" w:eastAsia="仿宋_GB2312"/>
                <w:sz w:val="24"/>
              </w:rPr>
              <w:t>（</w:t>
            </w:r>
            <w:r>
              <w:rPr>
                <w:rFonts w:ascii="仿宋_GB2312" w:hAnsi="仿宋_GB2312" w:cs="仿宋_GB2312" w:eastAsia="仿宋_GB2312"/>
                <w:sz w:val="24"/>
              </w:rPr>
              <w:t>2）因违纪违规被用人单位开除辞退解聘的人员、曾受记过以上行政处分或受警告处分尚未解除的人员。</w:t>
            </w:r>
          </w:p>
          <w:p>
            <w:pPr>
              <w:pStyle w:val="null3"/>
              <w:ind w:firstLine="561"/>
              <w:jc w:val="both"/>
            </w:pPr>
            <w:r>
              <w:rPr>
                <w:rFonts w:ascii="仿宋_GB2312" w:hAnsi="仿宋_GB2312" w:cs="仿宋_GB2312" w:eastAsia="仿宋_GB2312"/>
                <w:sz w:val="24"/>
              </w:rPr>
              <w:t>（</w:t>
            </w:r>
            <w:r>
              <w:rPr>
                <w:rFonts w:ascii="仿宋_GB2312" w:hAnsi="仿宋_GB2312" w:cs="仿宋_GB2312" w:eastAsia="仿宋_GB2312"/>
                <w:sz w:val="24"/>
              </w:rPr>
              <w:t>3）司法失信被执行人等有较为严重的个人不良信用记录的人员。</w:t>
            </w:r>
          </w:p>
          <w:p>
            <w:pPr>
              <w:pStyle w:val="null3"/>
              <w:ind w:firstLine="561"/>
              <w:jc w:val="both"/>
            </w:pPr>
            <w:r>
              <w:rPr>
                <w:rFonts w:ascii="仿宋_GB2312" w:hAnsi="仿宋_GB2312" w:cs="仿宋_GB2312" w:eastAsia="仿宋_GB2312"/>
                <w:sz w:val="24"/>
              </w:rPr>
              <w:t>（</w:t>
            </w:r>
            <w:r>
              <w:rPr>
                <w:rFonts w:ascii="仿宋_GB2312" w:hAnsi="仿宋_GB2312" w:cs="仿宋_GB2312" w:eastAsia="仿宋_GB2312"/>
                <w:sz w:val="24"/>
              </w:rPr>
              <w:t>4）曾在各级公务员招考、政府雇员招考或其它国家级考试中被认定有舞弊等严重违反诚信及招考录用纪律的人员。</w:t>
            </w:r>
          </w:p>
          <w:p>
            <w:pPr>
              <w:pStyle w:val="null3"/>
              <w:ind w:firstLine="561"/>
              <w:jc w:val="both"/>
            </w:pPr>
            <w:r>
              <w:rPr>
                <w:rFonts w:ascii="仿宋_GB2312" w:hAnsi="仿宋_GB2312" w:cs="仿宋_GB2312" w:eastAsia="仿宋_GB2312"/>
                <w:sz w:val="24"/>
              </w:rPr>
              <w:t>（</w:t>
            </w:r>
            <w:r>
              <w:rPr>
                <w:rFonts w:ascii="仿宋_GB2312" w:hAnsi="仿宋_GB2312" w:cs="仿宋_GB2312" w:eastAsia="仿宋_GB2312"/>
                <w:sz w:val="24"/>
              </w:rPr>
              <w:t>5）其它原因不适合从事所招聘职位工作的人员。</w:t>
            </w:r>
          </w:p>
          <w:p>
            <w:pPr>
              <w:pStyle w:val="null3"/>
              <w:ind w:firstLine="561"/>
              <w:jc w:val="both"/>
            </w:pPr>
            <w:r>
              <w:rPr>
                <w:rFonts w:ascii="仿宋_GB2312" w:hAnsi="仿宋_GB2312" w:cs="仿宋_GB2312" w:eastAsia="仿宋_GB2312"/>
                <w:sz w:val="24"/>
                <w:b/>
              </w:rPr>
              <w:t>（三）管理要求</w:t>
            </w:r>
          </w:p>
          <w:p>
            <w:pPr>
              <w:pStyle w:val="null3"/>
              <w:ind w:firstLine="561"/>
              <w:jc w:val="both"/>
            </w:pPr>
            <w:r>
              <w:rPr>
                <w:rFonts w:ascii="仿宋_GB2312" w:hAnsi="仿宋_GB2312" w:cs="仿宋_GB2312" w:eastAsia="仿宋_GB2312"/>
                <w:sz w:val="24"/>
              </w:rPr>
              <w:t>1、由供应商负责与辅助服务人员签订书面劳动合同，确立劳动关系；并负责劳动合同的变更、解除、终止和续订工作，以及承担相关的经济补偿金、赔偿金额等。采购人与辅助服务人员不构成任何劳动关系、劳务派遣关系、劳务关系等。</w:t>
            </w:r>
          </w:p>
          <w:p>
            <w:pPr>
              <w:pStyle w:val="null3"/>
              <w:ind w:firstLine="561"/>
              <w:jc w:val="both"/>
            </w:pPr>
            <w:r>
              <w:rPr>
                <w:rFonts w:ascii="仿宋_GB2312" w:hAnsi="仿宋_GB2312" w:cs="仿宋_GB2312" w:eastAsia="仿宋_GB2312"/>
                <w:sz w:val="24"/>
              </w:rPr>
              <w:t>2、由供应商负责包括但不限于辅助服务人员的薪酬管理、社保管理、个税代扣代缴、劳动关系维护、代办工作证件、定制制服、考勤、误餐审核支出、工会福利发放、法律法规咨询等；供应商应当按时足额发放辅助服务人员当月工资，代扣代缴个人所得税及个人负担的社会保险等费用。</w:t>
            </w:r>
          </w:p>
          <w:p>
            <w:pPr>
              <w:pStyle w:val="null3"/>
              <w:ind w:firstLine="561"/>
              <w:jc w:val="both"/>
            </w:pPr>
            <w:r>
              <w:rPr>
                <w:rFonts w:ascii="仿宋_GB2312" w:hAnsi="仿宋_GB2312" w:cs="仿宋_GB2312" w:eastAsia="仿宋_GB2312"/>
                <w:sz w:val="24"/>
              </w:rPr>
              <w:t>3、由供应商负责处理辅助服务人员提出的劳动仲裁、诉讼等事宜。</w:t>
            </w:r>
          </w:p>
          <w:p>
            <w:pPr>
              <w:pStyle w:val="null3"/>
              <w:ind w:firstLine="561"/>
              <w:jc w:val="both"/>
            </w:pPr>
            <w:r>
              <w:rPr>
                <w:rFonts w:ascii="仿宋_GB2312" w:hAnsi="仿宋_GB2312" w:cs="仿宋_GB2312" w:eastAsia="仿宋_GB2312"/>
                <w:sz w:val="24"/>
              </w:rPr>
              <w:t>4、由供应商负责辅助服务人员的档案管理、党团组织关系管理等人事工作。</w:t>
            </w:r>
          </w:p>
          <w:p>
            <w:pPr>
              <w:pStyle w:val="null3"/>
              <w:ind w:firstLine="561"/>
              <w:jc w:val="both"/>
            </w:pPr>
            <w:r>
              <w:rPr>
                <w:rFonts w:ascii="仿宋_GB2312" w:hAnsi="仿宋_GB2312" w:cs="仿宋_GB2312" w:eastAsia="仿宋_GB2312"/>
                <w:sz w:val="24"/>
              </w:rPr>
              <w:t>5、采购人有权依据国家有关法律法规制定针对服务岗位及其人员的考核标准及考核办法；有权依据采购人工作的需要及辅助服务人员的综合素质、业务水平等情况，调整辅助服务人员的具体岗位。</w:t>
            </w:r>
          </w:p>
          <w:p>
            <w:pPr>
              <w:pStyle w:val="null3"/>
              <w:ind w:firstLine="561"/>
              <w:jc w:val="both"/>
            </w:pPr>
            <w:r>
              <w:rPr>
                <w:rFonts w:ascii="仿宋_GB2312" w:hAnsi="仿宋_GB2312" w:cs="仿宋_GB2312" w:eastAsia="仿宋_GB2312"/>
                <w:sz w:val="24"/>
                <w:b/>
              </w:rPr>
              <w:t>（四）服务质量要求</w:t>
            </w:r>
          </w:p>
          <w:p>
            <w:pPr>
              <w:pStyle w:val="null3"/>
              <w:ind w:left="210" w:firstLine="237"/>
              <w:jc w:val="both"/>
            </w:pPr>
            <w:r>
              <w:rPr>
                <w:rFonts w:ascii="仿宋_GB2312" w:hAnsi="仿宋_GB2312" w:cs="仿宋_GB2312" w:eastAsia="仿宋_GB2312"/>
                <w:sz w:val="24"/>
              </w:rPr>
              <w:t>1、服务时间要求：经采购人核对辅助岗位所需人员数量后，供应商应在3个工作日内办理完毕服务人员劳动合同签订手续，并对其进行岗前培训，及时向采购人反馈相关情况。</w:t>
            </w:r>
          </w:p>
          <w:p>
            <w:pPr>
              <w:pStyle w:val="null3"/>
              <w:ind w:left="210" w:firstLine="237"/>
              <w:jc w:val="both"/>
            </w:pPr>
            <w:r>
              <w:rPr>
                <w:rFonts w:ascii="仿宋_GB2312" w:hAnsi="仿宋_GB2312" w:cs="仿宋_GB2312" w:eastAsia="仿宋_GB2312"/>
                <w:sz w:val="24"/>
              </w:rPr>
              <w:t>2、采购人与供应商每月底做当月工作验收确认，以此作为费用结算依据，项目费按月分期给付。如发现各工作地点有辅助服务人员违规操作或脱岗，采购人可根据实际情况对供应商安排的辅助服务人员第一次做口头警告，第二次做书面通报，第三次退回供应商；如出现涉及辅助服务人员的投诉事件，一经查出属辅助人员责任，扣除供应商当月项目费0.5%作为违约金；如出现重大过失或严重投诉事件，经传媒新闻曝光，扣除供应商当月项目费1%作为违约金；如涉事辅助服务人员行为对采购人声誉造成严重负面影响或经济损失的，扣除供应商当月项目费2%作为违约金，保留追诉权。</w:t>
            </w:r>
          </w:p>
          <w:p>
            <w:pPr>
              <w:pStyle w:val="null3"/>
              <w:ind w:left="210" w:firstLine="237"/>
              <w:jc w:val="both"/>
            </w:pPr>
            <w:r>
              <w:rPr>
                <w:rFonts w:ascii="仿宋_GB2312" w:hAnsi="仿宋_GB2312" w:cs="仿宋_GB2312" w:eastAsia="仿宋_GB2312"/>
                <w:sz w:val="24"/>
              </w:rPr>
              <w:t>3、供应商需保证服务人员的数量和服务质量，人员有离职无法上岗的，需反馈情况给采购人，并及时按采购人要求补充岗位所需人员，如无法补充人员，视具体情况，将原定支付给供应商的合同款金额按缺岗人数每人每日100元扣除给付金（每月2500元封顶）。</w:t>
            </w:r>
          </w:p>
          <w:p>
            <w:pPr>
              <w:pStyle w:val="null3"/>
              <w:ind w:left="210" w:firstLine="237"/>
              <w:jc w:val="both"/>
            </w:pPr>
            <w:r>
              <w:rPr>
                <w:rFonts w:ascii="仿宋_GB2312" w:hAnsi="仿宋_GB2312" w:cs="仿宋_GB2312" w:eastAsia="仿宋_GB2312"/>
                <w:sz w:val="24"/>
              </w:rPr>
              <w:t>4、供应商应确保及时、准确、妥善的处理服务人员的薪酬管理、社保办理、档案管理、党团组织关系等事宜，避免因资金发放不及时、不到位以及人员关系、档案问题而影响工作开展甚至发生劳动仲裁、诉讼事件。</w:t>
            </w:r>
          </w:p>
          <w:p>
            <w:pPr>
              <w:pStyle w:val="null3"/>
              <w:ind w:left="210" w:firstLine="237"/>
              <w:jc w:val="both"/>
            </w:pPr>
            <w:r>
              <w:rPr>
                <w:rFonts w:ascii="仿宋_GB2312" w:hAnsi="仿宋_GB2312" w:cs="仿宋_GB2312" w:eastAsia="仿宋_GB2312"/>
                <w:sz w:val="24"/>
              </w:rPr>
              <w:t>5、供应商应确保和谐、稳妥的处理服务人员的劳动仲裁、劳动诉讼及人事仲裁事件，避免妨碍采购人的正常工作或者给采购人带来不利社会影响。</w:t>
            </w:r>
          </w:p>
          <w:p>
            <w:pPr>
              <w:pStyle w:val="null3"/>
              <w:ind w:left="210" w:firstLine="237"/>
              <w:jc w:val="both"/>
            </w:pPr>
            <w:r>
              <w:rPr>
                <w:rFonts w:ascii="仿宋_GB2312" w:hAnsi="仿宋_GB2312" w:cs="仿宋_GB2312" w:eastAsia="仿宋_GB2312"/>
                <w:sz w:val="24"/>
              </w:rPr>
              <w:t>6、供应商应指定管理人员负责辅助服务人员的各项事务，协助采购人的相关工作。</w:t>
            </w:r>
          </w:p>
          <w:p>
            <w:pPr>
              <w:pStyle w:val="null3"/>
              <w:ind w:left="210" w:firstLine="237"/>
              <w:jc w:val="both"/>
            </w:pPr>
            <w:r>
              <w:rPr>
                <w:rFonts w:ascii="仿宋_GB2312" w:hAnsi="仿宋_GB2312" w:cs="仿宋_GB2312" w:eastAsia="仿宋_GB2312"/>
                <w:sz w:val="24"/>
              </w:rPr>
              <w:t>7、安全保密要求</w:t>
            </w:r>
          </w:p>
          <w:p>
            <w:pPr>
              <w:pStyle w:val="null3"/>
              <w:ind w:left="210" w:firstLine="237"/>
              <w:jc w:val="both"/>
            </w:pPr>
            <w:r>
              <w:rPr>
                <w:rFonts w:ascii="仿宋_GB2312" w:hAnsi="仿宋_GB2312" w:cs="仿宋_GB2312" w:eastAsia="仿宋_GB2312"/>
                <w:sz w:val="24"/>
              </w:rPr>
              <w:t>要求供应商制定安全保密制度，确定项目保密责任人，同时要求：</w:t>
            </w:r>
          </w:p>
          <w:p>
            <w:pPr>
              <w:pStyle w:val="null3"/>
              <w:ind w:left="210" w:firstLine="237"/>
              <w:jc w:val="both"/>
            </w:pPr>
            <w:r>
              <w:rPr>
                <w:rFonts w:ascii="仿宋_GB2312" w:hAnsi="仿宋_GB2312" w:cs="仿宋_GB2312" w:eastAsia="仿宋_GB2312"/>
                <w:sz w:val="24"/>
              </w:rPr>
              <w:t>（</w:t>
            </w:r>
            <w:r>
              <w:rPr>
                <w:rFonts w:ascii="仿宋_GB2312" w:hAnsi="仿宋_GB2312" w:cs="仿宋_GB2312" w:eastAsia="仿宋_GB2312"/>
                <w:sz w:val="24"/>
              </w:rPr>
              <w:t>1）按照国家和海南省有关保密规定，与采购单位签订保密协议，参与辅助服务的工作人员签订保密承诺函；</w:t>
            </w:r>
          </w:p>
          <w:p>
            <w:pPr>
              <w:pStyle w:val="null3"/>
              <w:ind w:left="210" w:firstLine="237"/>
              <w:jc w:val="both"/>
            </w:pPr>
            <w:r>
              <w:rPr>
                <w:rFonts w:ascii="仿宋_GB2312" w:hAnsi="仿宋_GB2312" w:cs="仿宋_GB2312" w:eastAsia="仿宋_GB2312"/>
                <w:sz w:val="24"/>
              </w:rPr>
              <w:t>（</w:t>
            </w:r>
            <w:r>
              <w:rPr>
                <w:rFonts w:ascii="仿宋_GB2312" w:hAnsi="仿宋_GB2312" w:cs="仿宋_GB2312" w:eastAsia="仿宋_GB2312"/>
                <w:sz w:val="24"/>
              </w:rPr>
              <w:t>2）严格履行保密职责，按照保密规定开展相关服务工作。</w:t>
            </w:r>
          </w:p>
          <w:p>
            <w:pPr>
              <w:pStyle w:val="null3"/>
              <w:ind w:left="210" w:firstLine="237"/>
              <w:jc w:val="both"/>
            </w:pPr>
            <w:r>
              <w:rPr>
                <w:rFonts w:ascii="仿宋_GB2312" w:hAnsi="仿宋_GB2312" w:cs="仿宋_GB2312" w:eastAsia="仿宋_GB2312"/>
                <w:sz w:val="24"/>
              </w:rPr>
              <w:t>8、成交供应商应根据采购人要求，对辅助服务人员的服务内容，制定详细的服务标准，并经采购人审核同意后，严格按照服务标准开展服务。</w:t>
            </w:r>
          </w:p>
          <w:p>
            <w:pPr>
              <w:pStyle w:val="null3"/>
              <w:ind w:left="210" w:firstLine="237"/>
              <w:jc w:val="both"/>
            </w:pPr>
            <w:r>
              <w:rPr>
                <w:rFonts w:ascii="仿宋_GB2312" w:hAnsi="仿宋_GB2312" w:cs="仿宋_GB2312" w:eastAsia="仿宋_GB2312"/>
                <w:sz w:val="24"/>
              </w:rPr>
              <w:t xml:space="preserve">★9、供应商的承诺 </w:t>
            </w:r>
            <w:r>
              <w:rPr>
                <w:rFonts w:ascii="仿宋_GB2312" w:hAnsi="仿宋_GB2312" w:cs="仿宋_GB2312" w:eastAsia="仿宋_GB2312"/>
                <w:sz w:val="24"/>
                <w:b/>
              </w:rPr>
              <w:t>（须提供承诺函，否则视为无效投标，格式自拟）</w:t>
            </w:r>
          </w:p>
          <w:p>
            <w:pPr>
              <w:pStyle w:val="null3"/>
              <w:ind w:left="210" w:firstLine="237"/>
              <w:jc w:val="both"/>
            </w:pPr>
            <w:r>
              <w:rPr>
                <w:rFonts w:ascii="仿宋_GB2312" w:hAnsi="仿宋_GB2312" w:cs="仿宋_GB2312" w:eastAsia="仿宋_GB2312"/>
                <w:sz w:val="24"/>
              </w:rPr>
              <w:t>（</w:t>
            </w:r>
            <w:r>
              <w:rPr>
                <w:rFonts w:ascii="仿宋_GB2312" w:hAnsi="仿宋_GB2312" w:cs="仿宋_GB2312" w:eastAsia="仿宋_GB2312"/>
                <w:sz w:val="24"/>
              </w:rPr>
              <w:t>1）供应商近三年无劳动合同诉讼、劳动仲裁以及合同纠纷，公司无不良逾期信用贷款或被列入被执行人名单。</w:t>
            </w:r>
          </w:p>
          <w:p>
            <w:pPr>
              <w:pStyle w:val="null3"/>
              <w:ind w:left="210" w:firstLine="237"/>
              <w:jc w:val="both"/>
            </w:pPr>
            <w:r>
              <w:rPr>
                <w:rFonts w:ascii="仿宋_GB2312" w:hAnsi="仿宋_GB2312" w:cs="仿宋_GB2312" w:eastAsia="仿宋_GB2312"/>
                <w:sz w:val="24"/>
              </w:rPr>
              <w:t>（</w:t>
            </w:r>
            <w:r>
              <w:rPr>
                <w:rFonts w:ascii="仿宋_GB2312" w:hAnsi="仿宋_GB2312" w:cs="仿宋_GB2312" w:eastAsia="仿宋_GB2312"/>
                <w:sz w:val="24"/>
              </w:rPr>
              <w:t>2）供应商在近三年服务合同履行期间无拖欠辅助服务人员工资、逾期缴纳辅助服务人员五险一金的情形。</w:t>
            </w:r>
          </w:p>
          <w:p>
            <w:pPr>
              <w:pStyle w:val="null3"/>
              <w:ind w:firstLine="482"/>
              <w:jc w:val="both"/>
            </w:pPr>
            <w:r>
              <w:rPr>
                <w:rFonts w:ascii="仿宋_GB2312" w:hAnsi="仿宋_GB2312" w:cs="仿宋_GB2312" w:eastAsia="仿宋_GB2312"/>
                <w:sz w:val="24"/>
                <w:b/>
              </w:rPr>
              <w:t>（五）责任认定</w:t>
            </w:r>
          </w:p>
          <w:p>
            <w:pPr>
              <w:pStyle w:val="null3"/>
              <w:ind w:left="210" w:firstLine="561"/>
              <w:jc w:val="both"/>
            </w:pPr>
            <w:r>
              <w:rPr>
                <w:rFonts w:ascii="仿宋_GB2312" w:hAnsi="仿宋_GB2312" w:cs="仿宋_GB2312" w:eastAsia="仿宋_GB2312"/>
                <w:sz w:val="24"/>
              </w:rPr>
              <w:t>1、若服务人员给采购人造成直接的经济损失，采购人有权向辅助服务人员直接索赔，供应商应当予以协助，采购人也有权向供应商索赔。</w:t>
            </w:r>
          </w:p>
          <w:p>
            <w:pPr>
              <w:pStyle w:val="null3"/>
              <w:ind w:left="210" w:firstLine="561"/>
              <w:jc w:val="both"/>
            </w:pPr>
            <w:r>
              <w:rPr>
                <w:rFonts w:ascii="仿宋_GB2312" w:hAnsi="仿宋_GB2312" w:cs="仿宋_GB2312" w:eastAsia="仿宋_GB2312"/>
                <w:sz w:val="24"/>
              </w:rPr>
              <w:t>2、若服务人员在采购人提供劳务期间发生工伤事故，供应商负责按照规定办理申报工伤认定、工伤保险待遇有关手续，按照工伤保险条例由供应商承担，并与采购人配合做好工伤事故的直系亲属来访接待和善后工作。</w:t>
            </w:r>
          </w:p>
          <w:p>
            <w:pPr>
              <w:pStyle w:val="null3"/>
              <w:ind w:left="210" w:firstLine="561"/>
              <w:jc w:val="both"/>
            </w:pPr>
            <w:r>
              <w:rPr>
                <w:rFonts w:ascii="仿宋_GB2312" w:hAnsi="仿宋_GB2312" w:cs="仿宋_GB2312" w:eastAsia="仿宋_GB2312"/>
                <w:sz w:val="24"/>
              </w:rPr>
              <w:t>3、因服务人员个人原因造成他人或财物损害的，由服务人员个人以及供应商依法承担责任。</w:t>
            </w:r>
          </w:p>
          <w:p>
            <w:pPr>
              <w:pStyle w:val="null3"/>
              <w:ind w:left="210" w:firstLine="561"/>
              <w:jc w:val="both"/>
            </w:pPr>
            <w:r>
              <w:rPr>
                <w:rFonts w:ascii="仿宋_GB2312" w:hAnsi="仿宋_GB2312" w:cs="仿宋_GB2312" w:eastAsia="仿宋_GB2312"/>
                <w:sz w:val="24"/>
              </w:rPr>
              <w:t>4、其他未尽事宜，采购人和供应商在签订合同时详细约定。</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both"/>
              <w:outlineLvl w:val="1"/>
            </w:pPr>
            <w:r>
              <w:rPr>
                <w:rFonts w:ascii="仿宋_GB2312" w:hAnsi="仿宋_GB2312" w:cs="仿宋_GB2312" w:eastAsia="仿宋_GB2312"/>
                <w:sz w:val="28"/>
                <w:b/>
              </w:rPr>
              <w:t>二、商务要求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b/>
              </w:rPr>
              <w:t>（一）履约时间、履约地点和履约方式</w:t>
            </w:r>
          </w:p>
          <w:p>
            <w:pPr>
              <w:pStyle w:val="null3"/>
              <w:ind w:left="210" w:firstLine="561"/>
              <w:jc w:val="both"/>
            </w:pPr>
            <w:r>
              <w:rPr>
                <w:rFonts w:ascii="仿宋_GB2312" w:hAnsi="仿宋_GB2312" w:cs="仿宋_GB2312" w:eastAsia="仿宋_GB2312"/>
                <w:sz w:val="24"/>
              </w:rPr>
              <w:t>1、履约时间：自合同签订之日起1年。</w:t>
            </w:r>
          </w:p>
          <w:p>
            <w:pPr>
              <w:pStyle w:val="null3"/>
              <w:ind w:left="210" w:firstLine="561"/>
              <w:jc w:val="both"/>
            </w:pPr>
            <w:r>
              <w:rPr>
                <w:rFonts w:ascii="仿宋_GB2312" w:hAnsi="仿宋_GB2312" w:cs="仿宋_GB2312" w:eastAsia="仿宋_GB2312"/>
                <w:sz w:val="24"/>
              </w:rPr>
              <w:t>2、履约地点：采购人指定地点。</w:t>
            </w:r>
          </w:p>
          <w:p>
            <w:pPr>
              <w:pStyle w:val="null3"/>
              <w:ind w:left="210" w:firstLine="561"/>
              <w:jc w:val="both"/>
            </w:pPr>
            <w:r>
              <w:rPr>
                <w:rFonts w:ascii="仿宋_GB2312" w:hAnsi="仿宋_GB2312" w:cs="仿宋_GB2312" w:eastAsia="仿宋_GB2312"/>
                <w:sz w:val="24"/>
              </w:rPr>
              <w:t>3、履约方式：在规定的履约时间内，完成本项目。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b/>
              </w:rPr>
              <w:t>（二）付款时间、方式及条件</w:t>
            </w:r>
          </w:p>
          <w:p>
            <w:pPr>
              <w:pStyle w:val="null3"/>
              <w:ind w:left="210" w:firstLine="561"/>
              <w:jc w:val="both"/>
            </w:pPr>
            <w:r>
              <w:rPr>
                <w:rFonts w:ascii="仿宋_GB2312" w:hAnsi="仿宋_GB2312" w:cs="仿宋_GB2312" w:eastAsia="仿宋_GB2312"/>
                <w:sz w:val="24"/>
              </w:rPr>
              <w:t>采购人每月自收到供应商正规发票和有关佐证资料之日起，经核查无误后，</w:t>
            </w:r>
            <w:r>
              <w:rPr>
                <w:rFonts w:ascii="仿宋_GB2312" w:hAnsi="仿宋_GB2312" w:cs="仿宋_GB2312" w:eastAsia="仿宋_GB2312"/>
                <w:sz w:val="24"/>
              </w:rPr>
              <w:t>5个工作日内</w:t>
            </w:r>
            <w:r>
              <w:rPr>
                <w:rFonts w:ascii="仿宋_GB2312" w:hAnsi="仿宋_GB2312" w:cs="仿宋_GB2312" w:eastAsia="仿宋_GB2312"/>
                <w:sz w:val="24"/>
              </w:rPr>
              <w:t>给</w:t>
            </w:r>
            <w:r>
              <w:rPr>
                <w:rFonts w:ascii="仿宋_GB2312" w:hAnsi="仿宋_GB2312" w:cs="仿宋_GB2312" w:eastAsia="仿宋_GB2312"/>
                <w:sz w:val="24"/>
              </w:rPr>
              <w:t>付上月费用。因海口市财政部门支付障碍、封账等客观原因或不可抗力导致未能按时付款情形出现的，为保障社保的正常缴纳，中标供应商应先行垫付相关费用，采购人后续再及时给付，不视为采购人违约，采购人不承担任何逾期付款违约责任以及利息，供应商不得单方面解除合同。</w:t>
            </w:r>
          </w:p>
          <w:p>
            <w:pPr>
              <w:pStyle w:val="null3"/>
              <w:ind w:firstLine="482"/>
              <w:jc w:val="both"/>
            </w:pPr>
            <w:r>
              <w:rPr>
                <w:rFonts w:ascii="仿宋_GB2312" w:hAnsi="仿宋_GB2312" w:cs="仿宋_GB2312" w:eastAsia="仿宋_GB2312"/>
                <w:sz w:val="24"/>
                <w:b/>
              </w:rPr>
              <w:t>（三）其他</w:t>
            </w:r>
          </w:p>
          <w:p>
            <w:pPr>
              <w:pStyle w:val="null3"/>
              <w:ind w:left="210" w:firstLine="561"/>
              <w:jc w:val="both"/>
            </w:pPr>
            <w:r>
              <w:rPr>
                <w:rFonts w:ascii="仿宋_GB2312" w:hAnsi="仿宋_GB2312" w:cs="仿宋_GB2312" w:eastAsia="仿宋_GB2312"/>
                <w:sz w:val="24"/>
              </w:rPr>
              <w:t>★1、项目的实质性要求：按本采购文件要求和成交供应商响应文件内容实施。投标供应商必须提供科学、合理的经费初步测算表（成本估算），包括但不限于单人月实发工资数、公司和个人每月人均缴交五险一金数、年度人均制服和工作证费、单人管理费、单人工会经费（涉及端午、中秋、春节三节福利品）、月人均误餐费、单人体检费、单人小计、合计等。经费初步测算表的合计一般应与第一轮磋商报价一致。最终报价与第一轮报价不同的，以最终报价结果为成交价格。</w:t>
            </w:r>
          </w:p>
          <w:p>
            <w:pPr>
              <w:pStyle w:val="null3"/>
              <w:ind w:left="210" w:firstLine="561"/>
              <w:jc w:val="both"/>
            </w:pPr>
            <w:r>
              <w:rPr>
                <w:rFonts w:ascii="仿宋_GB2312" w:hAnsi="仿宋_GB2312" w:cs="仿宋_GB2312" w:eastAsia="仿宋_GB2312"/>
                <w:sz w:val="24"/>
              </w:rPr>
              <w:t>★2、合同的实质性条款：包括采购人与成交供应商的名称和住所、标的、数量、质量、价款或者报酬、履行期限及地点和方式、验收要求、违约责任、解决争议的方法等内容。中标供应商必须每周安排管理人员不定期检查辅助服务人员在岗情况；每月安排管理人员与采购人指定财务人员审核辅助服务人员考勤、休假等佐证资料，做好双方对账工作。</w:t>
            </w:r>
          </w:p>
          <w:p>
            <w:pPr>
              <w:pStyle w:val="null3"/>
              <w:ind w:left="210" w:firstLine="561"/>
              <w:jc w:val="both"/>
            </w:pPr>
            <w:r>
              <w:rPr>
                <w:rFonts w:ascii="仿宋_GB2312" w:hAnsi="仿宋_GB2312" w:cs="仿宋_GB2312" w:eastAsia="仿宋_GB2312"/>
                <w:sz w:val="24"/>
              </w:rPr>
              <w:t>3、安全标准：符合国家、地方和行业的相关政策、法规。</w:t>
            </w:r>
          </w:p>
          <w:p>
            <w:pPr>
              <w:pStyle w:val="null3"/>
              <w:ind w:left="210" w:firstLine="561"/>
              <w:jc w:val="both"/>
            </w:pPr>
            <w:r>
              <w:rPr>
                <w:rFonts w:ascii="仿宋_GB2312" w:hAnsi="仿宋_GB2312" w:cs="仿宋_GB2312" w:eastAsia="仿宋_GB2312"/>
                <w:sz w:val="24"/>
              </w:rPr>
              <w:t>4、验收方法及标准：按本采购文件文件和响应文件的内容及国家、地方和行业的相关政策、法规实施。</w:t>
            </w:r>
          </w:p>
          <w:p>
            <w:pPr>
              <w:pStyle w:val="null3"/>
              <w:ind w:left="210" w:firstLine="561"/>
              <w:jc w:val="both"/>
            </w:pPr>
            <w:r>
              <w:rPr>
                <w:rFonts w:ascii="仿宋_GB2312" w:hAnsi="仿宋_GB2312" w:cs="仿宋_GB2312" w:eastAsia="仿宋_GB2312"/>
                <w:sz w:val="24"/>
              </w:rPr>
              <w:t>5、法律法规规定的强制性标准：无。</w:t>
            </w:r>
          </w:p>
          <w:p>
            <w:pPr>
              <w:pStyle w:val="null3"/>
              <w:ind w:left="210" w:firstLine="561"/>
              <w:jc w:val="both"/>
            </w:pPr>
            <w:r>
              <w:rPr>
                <w:rFonts w:ascii="仿宋_GB2312" w:hAnsi="仿宋_GB2312" w:cs="仿宋_GB2312" w:eastAsia="仿宋_GB2312"/>
                <w:sz w:val="24"/>
              </w:rPr>
              <w:t>6、</w:t>
            </w:r>
            <w:r>
              <w:rPr>
                <w:rFonts w:ascii="仿宋_GB2312" w:hAnsi="仿宋_GB2312" w:cs="仿宋_GB2312" w:eastAsia="仿宋_GB2312"/>
                <w:sz w:val="24"/>
              </w:rPr>
              <w:t>凡涉及磋商文件的补充说明和修改，均以采购代理机构在</w:t>
            </w:r>
            <w:r>
              <w:rPr>
                <w:rFonts w:ascii="仿宋_GB2312" w:hAnsi="仿宋_GB2312" w:cs="仿宋_GB2312" w:eastAsia="仿宋_GB2312"/>
                <w:sz w:val="24"/>
              </w:rPr>
              <w:t>海南省</w:t>
            </w:r>
            <w:r>
              <w:rPr>
                <w:rFonts w:ascii="仿宋_GB2312" w:hAnsi="仿宋_GB2312" w:cs="仿宋_GB2312" w:eastAsia="仿宋_GB2312"/>
                <w:sz w:val="24"/>
              </w:rPr>
              <w:t>政府采购网</w:t>
            </w:r>
            <w:r>
              <w:rPr>
                <w:rFonts w:ascii="仿宋_GB2312" w:hAnsi="仿宋_GB2312" w:cs="仿宋_GB2312" w:eastAsia="仿宋_GB2312"/>
                <w:sz w:val="24"/>
              </w:rPr>
              <w:t>上</w:t>
            </w:r>
            <w:r>
              <w:rPr>
                <w:rFonts w:ascii="仿宋_GB2312" w:hAnsi="仿宋_GB2312" w:cs="仿宋_GB2312" w:eastAsia="仿宋_GB2312"/>
                <w:sz w:val="24"/>
              </w:rPr>
              <w:t>发布的公告为准。</w:t>
            </w:r>
          </w:p>
          <w:p>
            <w:pPr>
              <w:pStyle w:val="null3"/>
              <w:jc w:val="both"/>
            </w:pP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4"/>
                <w:b/>
              </w:rPr>
              <w:t>说明：供应商须对采购需求中带</w:t>
            </w:r>
            <w:r>
              <w:rPr>
                <w:rFonts w:ascii="仿宋_GB2312" w:hAnsi="仿宋_GB2312" w:cs="仿宋_GB2312" w:eastAsia="仿宋_GB2312"/>
                <w:sz w:val="24"/>
                <w:b/>
              </w:rPr>
              <w:t>★项完全响应，否则视为无效投标。</w:t>
            </w:r>
          </w:p>
        </w:tc>
      </w:tr>
    </w:tbl>
    <w:p>
      <w:pPr>
        <w:pStyle w:val="null3"/>
        <w:ind w:firstLine="480"/>
        <w:jc w:val="left"/>
      </w:pPr>
      <w:r>
        <w:rPr>
          <w:rFonts w:ascii="仿宋_GB2312" w:hAnsi="仿宋_GB2312" w:cs="仿宋_GB2312" w:eastAsia="仿宋_GB2312"/>
        </w:rPr>
        <w:t>其他商务要求</w:t>
      </w:r>
    </w:p>
    <w:p>
      <w:pPr>
        <w:pStyle w:val="null3"/>
        <w:jc w:val="left"/>
        <w:outlineLvl w:val="1"/>
      </w:pPr>
      <w:r>
        <w:rPr>
          <w:rFonts w:ascii="仿宋_GB2312" w:hAnsi="仿宋_GB2312" w:cs="仿宋_GB2312" w:eastAsia="仿宋_GB2312"/>
          <w:sz w:val="36"/>
          <w:b/>
        </w:rPr>
        <w:t>无</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供应商承诺函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供应商承诺函 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信用查询承诺书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供应商承诺函 无重大违法记录声明函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其他材料 供应商应提交的相关证明材料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无环保类行政处罚声明</w:t>
            </w:r>
          </w:p>
        </w:tc>
        <w:tc>
          <w:tcPr>
            <w:tcW w:type="dxa" w:w="3322"/>
          </w:tcPr>
          <w:p>
            <w:pPr>
              <w:pStyle w:val="null3"/>
              <w:jc w:val="left"/>
            </w:pPr>
            <w:r>
              <w:rPr>
                <w:rFonts w:ascii="仿宋_GB2312" w:hAnsi="仿宋_GB2312" w:cs="仿宋_GB2312" w:eastAsia="仿宋_GB2312"/>
              </w:rPr>
              <w:t>参加政府采购活动前三年内无环保类行政处罚记录（提供声明函并加盖公章）</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无串通投标行为承诺</w:t>
            </w:r>
          </w:p>
        </w:tc>
        <w:tc>
          <w:tcPr>
            <w:tcW w:type="dxa" w:w="3322"/>
          </w:tcPr>
          <w:p>
            <w:pPr>
              <w:pStyle w:val="null3"/>
              <w:jc w:val="left"/>
            </w:pPr>
            <w:r>
              <w:rPr>
                <w:rFonts w:ascii="仿宋_GB2312" w:hAnsi="仿宋_GB2312" w:cs="仿宋_GB2312" w:eastAsia="仿宋_GB2312"/>
              </w:rPr>
              <w:t>参加本项目投标无串通投标行为（提供承诺函并加盖公章）</w:t>
            </w:r>
          </w:p>
        </w:tc>
        <w:tc>
          <w:tcPr>
            <w:tcW w:type="dxa" w:w="1661"/>
          </w:tcPr>
          <w:p>
            <w:pPr>
              <w:pStyle w:val="null3"/>
              <w:jc w:val="left"/>
            </w:pPr>
            <w:r>
              <w:rPr>
                <w:rFonts w:ascii="仿宋_GB2312" w:hAnsi="仿宋_GB2312" w:cs="仿宋_GB2312" w:eastAsia="仿宋_GB2312"/>
              </w:rPr>
              <w:t>供应商承诺函 投标人参加本项目投标无串通投标行为的承诺函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国家企业信用信息</w:t>
            </w:r>
          </w:p>
        </w:tc>
        <w:tc>
          <w:tcPr>
            <w:tcW w:type="dxa" w:w="3322"/>
          </w:tcPr>
          <w:p>
            <w:pPr>
              <w:pStyle w:val="null3"/>
              <w:jc w:val="left"/>
            </w:pPr>
            <w:r>
              <w:rPr>
                <w:rFonts w:ascii="仿宋_GB2312" w:hAnsi="仿宋_GB2312" w:cs="仿宋_GB2312" w:eastAsia="仿宋_GB2312"/>
              </w:rPr>
              <w:t>投标人投标时提供“国家企业信用信息公示系统”网站（http://www.gsxt.gov.cn/index.html）基础信息中的“股东及出资信息”和“主要人员信息”。（提供信息查询结果界面截图，加盖投标人公章）</w:t>
            </w:r>
          </w:p>
        </w:tc>
        <w:tc>
          <w:tcPr>
            <w:tcW w:type="dxa" w:w="1661"/>
          </w:tcPr>
          <w:p>
            <w:pPr>
              <w:pStyle w:val="null3"/>
              <w:jc w:val="left"/>
            </w:pPr>
            <w:r>
              <w:rPr>
                <w:rFonts w:ascii="仿宋_GB2312" w:hAnsi="仿宋_GB2312" w:cs="仿宋_GB2312" w:eastAsia="仿宋_GB2312"/>
              </w:rPr>
              <w:t>供应商承诺函 投标人参加本项目投标无串通投标行为的承诺函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对列入失信被执行人、重大税收违法失信主体、政府采购严重违法失信行为记录名单的供应商，拒绝其参与政府采购活动（提供信用查询截图或承诺函加盖公章）</w:t>
            </w:r>
          </w:p>
        </w:tc>
        <w:tc>
          <w:tcPr>
            <w:tcW w:type="dxa" w:w="1661"/>
          </w:tcPr>
          <w:p>
            <w:pPr>
              <w:pStyle w:val="null3"/>
              <w:jc w:val="left"/>
            </w:pPr>
            <w:r>
              <w:rPr>
                <w:rFonts w:ascii="仿宋_GB2312" w:hAnsi="仿宋_GB2312" w:cs="仿宋_GB2312" w:eastAsia="仿宋_GB2312"/>
              </w:rPr>
              <w:t>供应商承诺函 信用查询承诺书</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投标人参加本项目投标无串通投标行为的承诺函 技术方案 自觉抵制政府采购领域商业贿赂行为承诺书 信用查询承诺书 封面 商业信誉、财务会计制度、缴纳税收和社保的承诺函 环保类行政处罚记录声明函 具有独立承担民事责任的能力证明文件 供应商承诺函 诚信投标、诚信履约承诺书 其他材料 残疾人福利性单位声明函 供应商应提交的相关证明材料 无重大违法记录声明函 法定代表人资格证明书或法定代表人授权委托书 供应商类似项目业绩一览表 响应函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中小企业声明函 投标人参加本项目投标无串通投标行为的承诺函 技术方案 自觉抵制政府采购领域商业贿赂行为承诺书 信用查询承诺书 封面 商业信誉、财务会计制度、缴纳税收和社保的承诺函 环保类行政处罚记录声明函 具有独立承担民事责任的能力证明文件 供应商承诺函 诚信投标、诚信履约承诺书 其他材料 残疾人福利性单位声明函 供应商应提交的相关证明材料 无重大违法记录声明函 法定代表人资格证明书或法定代表人授权委托书 供应商类似项目业绩一览表 响应函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供应商承诺函 其他材料 供应商应提交的相关证明材料 响应函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供应商承诺函 供应商应提交的相关证明材料 响应函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供应商应提交的相关证明材料 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投标人参加本项目投标无串通投标行为的承诺函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技术部分62.00分</w:t>
            </w:r>
          </w:p>
          <w:p>
            <w:pPr>
              <w:pStyle w:val="null3"/>
              <w:jc w:val="left"/>
            </w:pPr>
            <w:r>
              <w:rPr>
                <w:rFonts w:ascii="仿宋_GB2312" w:hAnsi="仿宋_GB2312" w:cs="仿宋_GB2312" w:eastAsia="仿宋_GB2312"/>
              </w:rPr>
              <w:t>商务部分28.00分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整体服务方案</w:t>
            </w:r>
          </w:p>
        </w:tc>
        <w:tc>
          <w:tcPr>
            <w:tcW w:type="dxa" w:w="2492"/>
          </w:tcPr>
          <w:p>
            <w:pPr>
              <w:pStyle w:val="null3"/>
              <w:jc w:val="left"/>
            </w:pPr>
            <w:r>
              <w:rPr>
                <w:rFonts w:ascii="仿宋_GB2312" w:hAnsi="仿宋_GB2312" w:cs="仿宋_GB2312" w:eastAsia="仿宋_GB2312"/>
              </w:rPr>
              <w:t>根据供应商提供的整体服务方案，方案内容包括但不限于：①服务要求及标准、详细服务响应措施，服务质量控制标准；②服务流程和服务体系；③管理服务模式；④服务计划；⑤项目服务实施保障措施等内容。评委对其进行综合评议，满分13分，每有一项前述细化指标内容缺少的扣2.6分；在供应商已提供上述各项内容的基础上，每项存在一处内容不完整或有缺陷的扣1分，扣完为止；未提供不得分。 注：内容不完整或有缺陷是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技术响应表</w:t>
            </w:r>
          </w:p>
        </w:tc>
      </w:tr>
      <w:tr>
        <w:tc>
          <w:tcPr>
            <w:tcW w:type="dxa" w:w="831"/>
            <w:vMerge/>
          </w:tcPr>
          <w:p/>
        </w:tc>
        <w:tc>
          <w:tcPr>
            <w:tcW w:type="dxa" w:w="1661"/>
          </w:tcPr>
          <w:p>
            <w:pPr>
              <w:pStyle w:val="null3"/>
              <w:jc w:val="left"/>
            </w:pPr>
            <w:r>
              <w:rPr>
                <w:rFonts w:ascii="仿宋_GB2312" w:hAnsi="仿宋_GB2312" w:cs="仿宋_GB2312" w:eastAsia="仿宋_GB2312"/>
              </w:rPr>
              <w:t>人员培训方案</w:t>
            </w:r>
          </w:p>
        </w:tc>
        <w:tc>
          <w:tcPr>
            <w:tcW w:type="dxa" w:w="2492"/>
          </w:tcPr>
          <w:p>
            <w:pPr>
              <w:pStyle w:val="null3"/>
              <w:jc w:val="left"/>
            </w:pPr>
            <w:r>
              <w:rPr>
                <w:rFonts w:ascii="仿宋_GB2312" w:hAnsi="仿宋_GB2312" w:cs="仿宋_GB2312" w:eastAsia="仿宋_GB2312"/>
              </w:rPr>
              <w:t>根据供应商提供的人员培训方案，方案内容包括但不限于：①培训标准及目的；②人员培训计划③培训内容、培训时间及周期、师资力量；④专业培训人员配备；⑤人员培训流程；⑥人员培训管理制度等内容。评委对其进行综合评议，满分9分，每有一项前述细化指标内容缺少的扣1.5分；在供应商已提供上述各项内容的基础上，每项存在一处内容不完整或有缺陷的扣0.5分，扣完为止；未提供不得分。 注：内容不完整或有缺陷是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技术响应表</w:t>
            </w:r>
          </w:p>
        </w:tc>
      </w:tr>
      <w:tr>
        <w:tc>
          <w:tcPr>
            <w:tcW w:type="dxa" w:w="831"/>
            <w:vMerge/>
          </w:tcPr>
          <w:p/>
        </w:tc>
        <w:tc>
          <w:tcPr>
            <w:tcW w:type="dxa" w:w="1661"/>
          </w:tcPr>
          <w:p>
            <w:pPr>
              <w:pStyle w:val="null3"/>
              <w:jc w:val="left"/>
            </w:pPr>
            <w:r>
              <w:rPr>
                <w:rFonts w:ascii="仿宋_GB2312" w:hAnsi="仿宋_GB2312" w:cs="仿宋_GB2312" w:eastAsia="仿宋_GB2312"/>
              </w:rPr>
              <w:t>人员配置方案</w:t>
            </w:r>
          </w:p>
        </w:tc>
        <w:tc>
          <w:tcPr>
            <w:tcW w:type="dxa" w:w="2492"/>
          </w:tcPr>
          <w:p>
            <w:pPr>
              <w:pStyle w:val="null3"/>
              <w:jc w:val="left"/>
            </w:pPr>
            <w:r>
              <w:rPr>
                <w:rFonts w:ascii="仿宋_GB2312" w:hAnsi="仿宋_GB2312" w:cs="仿宋_GB2312" w:eastAsia="仿宋_GB2312"/>
              </w:rPr>
              <w:t>根据供应商提供的人员配置方案，，方案内容包括但不限于：①项目组织管理机构；②人员配置计划；③人员岗位职责分工；④根据人员配置安排制定的人员流动管理方案；⑤因人员离职、休假或其他原因的应对措施内容。评委对其进行综合评议，满分15分，每有一项前述细化指标内容缺少的扣3分；在供应商已提供上述各项内容的基础上，每项存在一处内容不完整或有缺陷的扣0.5分，扣完为止；未提供不得分。 注：内容不完整或有缺陷是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技术响应表</w:t>
            </w:r>
          </w:p>
        </w:tc>
      </w:tr>
      <w:tr>
        <w:tc>
          <w:tcPr>
            <w:tcW w:type="dxa" w:w="831"/>
            <w:vMerge/>
          </w:tcPr>
          <w:p/>
        </w:tc>
        <w:tc>
          <w:tcPr>
            <w:tcW w:type="dxa" w:w="1661"/>
          </w:tcPr>
          <w:p>
            <w:pPr>
              <w:pStyle w:val="null3"/>
              <w:jc w:val="left"/>
            </w:pPr>
            <w:r>
              <w:rPr>
                <w:rFonts w:ascii="仿宋_GB2312" w:hAnsi="仿宋_GB2312" w:cs="仿宋_GB2312" w:eastAsia="仿宋_GB2312"/>
              </w:rPr>
              <w:t>管理方案</w:t>
            </w:r>
          </w:p>
        </w:tc>
        <w:tc>
          <w:tcPr>
            <w:tcW w:type="dxa" w:w="2492"/>
          </w:tcPr>
          <w:p>
            <w:pPr>
              <w:pStyle w:val="null3"/>
              <w:jc w:val="left"/>
            </w:pPr>
            <w:r>
              <w:rPr>
                <w:rFonts w:ascii="仿宋_GB2312" w:hAnsi="仿宋_GB2312" w:cs="仿宋_GB2312" w:eastAsia="仿宋_GB2312"/>
              </w:rPr>
              <w:t>根据供应商提供的管理方案，方案内容包括但不限于：①岗位管理；②现场人员的储备管理；③劳动合同管理；④安全管理及安全保密制度；⑤社会保障管理及师资管理制度⑥薪酬管理制度⑦财务管理制度及档案管理⑧人力资源管理制度等内容。评委对其进行综合评议，满分16分，每有一项前述细化指标内容缺少的扣2分；在供应商已提供上述各项内容的基础上，每项存在一处内容不完整或有缺陷的扣1分，扣完为止；未提供不得分。 注：内容不完整或有缺陷是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法规、规范及标准错误（如违反项目地最低薪酬标准等）或存在与本项目无关的内容、不可能实现的夸大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技术响应表</w:t>
            </w:r>
          </w:p>
        </w:tc>
      </w:tr>
      <w:tr>
        <w:tc>
          <w:tcPr>
            <w:tcW w:type="dxa" w:w="831"/>
            <w:vMerge/>
          </w:tcPr>
          <w:p/>
        </w:tc>
        <w:tc>
          <w:tcPr>
            <w:tcW w:type="dxa" w:w="1661"/>
          </w:tcPr>
          <w:p>
            <w:pPr>
              <w:pStyle w:val="null3"/>
              <w:jc w:val="left"/>
            </w:pPr>
            <w:r>
              <w:rPr>
                <w:rFonts w:ascii="仿宋_GB2312" w:hAnsi="仿宋_GB2312" w:cs="仿宋_GB2312" w:eastAsia="仿宋_GB2312"/>
              </w:rPr>
              <w:t>应急响应处理方案</w:t>
            </w:r>
          </w:p>
        </w:tc>
        <w:tc>
          <w:tcPr>
            <w:tcW w:type="dxa" w:w="2492"/>
          </w:tcPr>
          <w:p>
            <w:pPr>
              <w:pStyle w:val="null3"/>
              <w:jc w:val="left"/>
            </w:pPr>
            <w:r>
              <w:rPr>
                <w:rFonts w:ascii="仿宋_GB2312" w:hAnsi="仿宋_GB2312" w:cs="仿宋_GB2312" w:eastAsia="仿宋_GB2312"/>
              </w:rPr>
              <w:t>根据供应商提供的应急响应处理方案，方案内容包括但不限于：①应急管理人员配备；②应急响应计划（如：发生台风、暴雨等灾害性天气、食物中毒及其他突发事件等具体的应急事故类型及处理方式）；③劳务纠纷应急预案④工伤处理应急预案；⑤突发性应急事件处理方案；⑥应急保障措施等内容。评委对其进行综合评议，满分9分，每有一项前述细化指标内容缺少的扣1.5分；在供应商已提供上述各项内容的基础上，每项存在一处内容不完整或有缺陷的扣0.5分，扣完为止；未提供不得分。 注：内容不完整或有缺陷是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技术响应表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供应商2022年1月1日（以合同签订的时间为准）至今承接过类似项目（包括交通疏导、安保服务、物业服务、人力服务等政府购买服务类），每提供一个合同得2分，本项满分10分。 注*需提供合同关键页（合同标的、服务期限、合同金额、签字盖章页）复印件加盖供应商单位公章。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w:t>
            </w:r>
          </w:p>
          <w:p>
            <w:pPr>
              <w:pStyle w:val="null3"/>
              <w:jc w:val="left"/>
            </w:pPr>
            <w:r>
              <w:rPr>
                <w:rFonts w:ascii="仿宋_GB2312" w:hAnsi="仿宋_GB2312" w:cs="仿宋_GB2312" w:eastAsia="仿宋_GB2312"/>
              </w:rPr>
              <w:t>商务响应表</w:t>
            </w:r>
          </w:p>
        </w:tc>
      </w:tr>
      <w:tr>
        <w:tc>
          <w:tcPr>
            <w:tcW w:type="dxa" w:w="831"/>
            <w:vMerge/>
          </w:tcPr>
          <w:p/>
        </w:tc>
        <w:tc>
          <w:tcPr>
            <w:tcW w:type="dxa" w:w="1661"/>
          </w:tcPr>
          <w:p>
            <w:pPr>
              <w:pStyle w:val="null3"/>
              <w:jc w:val="left"/>
            </w:pPr>
            <w:r>
              <w:rPr>
                <w:rFonts w:ascii="仿宋_GB2312" w:hAnsi="仿宋_GB2312" w:cs="仿宋_GB2312" w:eastAsia="仿宋_GB2312"/>
              </w:rPr>
              <w:t>人员实力</w:t>
            </w:r>
          </w:p>
        </w:tc>
        <w:tc>
          <w:tcPr>
            <w:tcW w:type="dxa" w:w="2492"/>
          </w:tcPr>
          <w:p>
            <w:pPr>
              <w:pStyle w:val="null3"/>
              <w:jc w:val="left"/>
            </w:pPr>
            <w:r>
              <w:rPr>
                <w:rFonts w:ascii="仿宋_GB2312" w:hAnsi="仿宋_GB2312" w:cs="仿宋_GB2312" w:eastAsia="仿宋_GB2312"/>
              </w:rPr>
              <w:t>1、本项目团队负责人具有大专及以上学历且具有人社部门颁发的企业人力资源管理师（二级/技师）或以上资格证证书得5分； 2、投标人单位中（项目负责人除外）： 具有企业人力资源管理师（二级/技师）或以上资格证证书，每个证书得1分，具有公安、政法类院校毕业生每个得1分，具有中文、法律、计算机相关专业每个得1分，具有退伍军人的，每个得2分。本小项满分10分。 注*（须提供有效期内的相关证书复印件、身份证复印件及与供应商签订的劳动合同复印件并加盖供应商单位公章）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商务响应表</w:t>
            </w:r>
          </w:p>
        </w:tc>
      </w:tr>
      <w:tr>
        <w:tc>
          <w:tcPr>
            <w:tcW w:type="dxa" w:w="831"/>
            <w:vMerge/>
          </w:tcPr>
          <w:p/>
        </w:tc>
        <w:tc>
          <w:tcPr>
            <w:tcW w:type="dxa" w:w="1661"/>
          </w:tcPr>
          <w:p>
            <w:pPr>
              <w:pStyle w:val="null3"/>
              <w:jc w:val="left"/>
            </w:pPr>
            <w:r>
              <w:rPr>
                <w:rFonts w:ascii="仿宋_GB2312" w:hAnsi="仿宋_GB2312" w:cs="仿宋_GB2312" w:eastAsia="仿宋_GB2312"/>
              </w:rPr>
              <w:t>售后服务承诺</w:t>
            </w:r>
          </w:p>
        </w:tc>
        <w:tc>
          <w:tcPr>
            <w:tcW w:type="dxa" w:w="2492"/>
          </w:tcPr>
          <w:p>
            <w:pPr>
              <w:pStyle w:val="null3"/>
              <w:jc w:val="left"/>
            </w:pPr>
            <w:r>
              <w:rPr>
                <w:rFonts w:ascii="仿宋_GB2312" w:hAnsi="仿宋_GB2312" w:cs="仿宋_GB2312" w:eastAsia="仿宋_GB2312"/>
              </w:rPr>
              <w:t>1、针对时间紧急事务以及采购人紧急需要，供应商承诺应有专人对接，保障0.5-1（含）小时内能到现场，并按时按质要求做好安排的工作任务及服务；得3分； 2、针对时间紧急事务以及采购人紧急需要，供应商承诺应有专人对接，保障1（不含）-2（含）小时内能到现场响应，并按时按质要求做好安排的工作任务及服务；得2分； 3、针对时间紧急事务以及采购人紧急需要，供应商承诺应有专人对接，保障2（不含）小时以上能到现场响应，并按时按质要求做好安排的工作任务及服务；得1分； 4、未提供承诺函的不得分。 注*（提供承诺函并加盖供应商单位公章，格式自拟，同时提供对接人身份证和住址、联系方式等信息资料）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[HFGC]20250200001[CS]-1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2025年度交通运输综合管理辅助服务项目(二次)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2025年度交通运输综合管理辅助服务项目（二次）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2025年度交通运输综合管理辅助服务项目（二次）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详见附件：信用查询承诺书</w:t>
      </w:r>
    </w:p>
    <w:p>
      <w:pPr>
        <w:pStyle w:val="null3"/>
        <w:ind w:firstLine="960"/>
        <w:jc w:val="left"/>
      </w:pPr>
      <w:r>
        <w:rPr>
          <w:rFonts w:ascii="仿宋_GB2312" w:hAnsi="仿宋_GB2312" w:cs="仿宋_GB2312" w:eastAsia="仿宋_GB2312"/>
        </w:rPr>
        <w:t>详见附件：投标人参加本项目投标无串通投标行为的承诺函</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详见附件：技术响应表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