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9B870D">
      <w:pPr>
        <w:jc w:val="center"/>
        <w:rPr>
          <w:rFonts w:hint="eastAsia"/>
          <w:b/>
          <w:bCs/>
          <w:color w:val="auto"/>
          <w:sz w:val="24"/>
          <w:highlight w:val="none"/>
        </w:rPr>
      </w:pPr>
      <w:r>
        <w:rPr>
          <w:rFonts w:hint="eastAsia"/>
          <w:b/>
          <w:color w:val="auto"/>
          <w:sz w:val="48"/>
          <w:szCs w:val="48"/>
        </w:rPr>
        <w:t>合同条款（参考</w:t>
      </w:r>
      <w:r>
        <w:rPr>
          <w:rFonts w:hint="eastAsia"/>
          <w:b/>
          <w:color w:val="auto"/>
          <w:sz w:val="48"/>
          <w:szCs w:val="48"/>
          <w:lang w:val="en-US" w:eastAsia="zh-CN"/>
        </w:rPr>
        <w:t>）</w:t>
      </w:r>
    </w:p>
    <w:p w14:paraId="01CFA2BC">
      <w:pPr>
        <w:jc w:val="center"/>
        <w:rPr>
          <w:rFonts w:hint="eastAsia"/>
          <w:b/>
          <w:bCs/>
          <w:color w:val="auto"/>
          <w:sz w:val="24"/>
          <w:highlight w:val="none"/>
        </w:rPr>
      </w:pPr>
    </w:p>
    <w:p w14:paraId="3CB956BC">
      <w:pPr>
        <w:jc w:val="center"/>
        <w:rPr>
          <w:color w:val="auto"/>
          <w:sz w:val="24"/>
          <w:highlight w:val="none"/>
        </w:rPr>
      </w:pPr>
      <w:r>
        <w:rPr>
          <w:rFonts w:hint="eastAsia"/>
          <w:b/>
          <w:bCs/>
          <w:color w:val="auto"/>
          <w:sz w:val="24"/>
          <w:highlight w:val="none"/>
        </w:rPr>
        <w:t>（本合同协议书中合同条款甲乙双方可根据实际情况协商进行修改调整）</w:t>
      </w:r>
    </w:p>
    <w:p w14:paraId="42C682BE">
      <w:pPr>
        <w:rPr>
          <w:b/>
          <w:bCs/>
          <w:color w:val="auto"/>
          <w:sz w:val="24"/>
          <w:highlight w:val="none"/>
        </w:rPr>
      </w:pPr>
    </w:p>
    <w:p w14:paraId="4C97CE4A">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b/>
          <w:bCs/>
          <w:color w:val="auto"/>
          <w:sz w:val="24"/>
          <w:szCs w:val="24"/>
          <w:lang w:eastAsia="zh-CN"/>
        </w:rPr>
      </w:pPr>
      <w:r>
        <w:rPr>
          <w:rFonts w:hint="eastAsia"/>
          <w:b/>
          <w:bCs/>
          <w:color w:val="auto"/>
          <w:sz w:val="24"/>
          <w:szCs w:val="24"/>
        </w:rPr>
        <w:t>说明：本</w:t>
      </w:r>
      <w:r>
        <w:rPr>
          <w:rFonts w:hint="eastAsia"/>
          <w:b/>
          <w:bCs/>
          <w:color w:val="auto"/>
          <w:sz w:val="24"/>
          <w:szCs w:val="24"/>
          <w:lang w:val="en-US" w:eastAsia="zh-CN"/>
        </w:rPr>
        <w:t>第五章采购</w:t>
      </w:r>
      <w:r>
        <w:rPr>
          <w:rFonts w:hint="eastAsia"/>
          <w:b/>
          <w:bCs/>
          <w:color w:val="auto"/>
          <w:sz w:val="24"/>
          <w:szCs w:val="24"/>
        </w:rPr>
        <w:t>合同文本约定的条款如与“第三</w:t>
      </w:r>
      <w:r>
        <w:rPr>
          <w:rFonts w:hint="eastAsia"/>
          <w:b/>
          <w:bCs/>
          <w:color w:val="auto"/>
          <w:sz w:val="24"/>
          <w:szCs w:val="24"/>
          <w:lang w:val="en-US" w:eastAsia="zh-CN"/>
        </w:rPr>
        <w:t>章</w:t>
      </w:r>
      <w:r>
        <w:rPr>
          <w:rFonts w:hint="eastAsia"/>
          <w:b/>
          <w:bCs/>
          <w:color w:val="auto"/>
          <w:sz w:val="24"/>
          <w:szCs w:val="24"/>
        </w:rPr>
        <w:t xml:space="preserve"> 采购需求”的有关内容存在冲突的，以“第三</w:t>
      </w:r>
      <w:r>
        <w:rPr>
          <w:rFonts w:hint="eastAsia"/>
          <w:b/>
          <w:bCs/>
          <w:color w:val="auto"/>
          <w:sz w:val="24"/>
          <w:szCs w:val="24"/>
          <w:lang w:val="en-US" w:eastAsia="zh-CN"/>
        </w:rPr>
        <w:t>章</w:t>
      </w:r>
      <w:r>
        <w:rPr>
          <w:rFonts w:hint="eastAsia"/>
          <w:b/>
          <w:bCs/>
          <w:color w:val="auto"/>
          <w:sz w:val="24"/>
          <w:szCs w:val="24"/>
        </w:rPr>
        <w:t xml:space="preserve"> 采购需求”要求的内容为准。中标通知书下发后，由中标人按照采购文件及采购人的要求进行拟定，经采购人审查修改后最后确定具体合同条款。（以最终签订的合同条款为准</w:t>
      </w:r>
      <w:r>
        <w:rPr>
          <w:rFonts w:hint="eastAsia"/>
          <w:b/>
          <w:bCs/>
          <w:color w:val="auto"/>
          <w:sz w:val="24"/>
          <w:szCs w:val="24"/>
          <w:lang w:eastAsia="zh-CN"/>
        </w:rPr>
        <w:t>）</w:t>
      </w:r>
      <w:bookmarkStart w:id="0" w:name="_GoBack"/>
      <w:bookmarkEnd w:id="0"/>
    </w:p>
    <w:p w14:paraId="680A3805">
      <w:pPr>
        <w:rPr>
          <w:color w:val="auto"/>
          <w:sz w:val="24"/>
        </w:rPr>
      </w:pPr>
    </w:p>
    <w:p w14:paraId="59230C0C">
      <w:pPr>
        <w:rPr>
          <w:color w:val="auto"/>
          <w:sz w:val="24"/>
        </w:rPr>
      </w:pPr>
    </w:p>
    <w:p w14:paraId="0E328022">
      <w:pPr>
        <w:spacing w:before="156" w:beforeLines="50" w:line="360" w:lineRule="auto"/>
        <w:rPr>
          <w:rFonts w:hint="eastAsia"/>
          <w:color w:val="auto"/>
          <w:sz w:val="24"/>
        </w:rPr>
      </w:pPr>
      <w:r>
        <w:rPr>
          <w:rFonts w:hint="eastAsia"/>
          <w:color w:val="auto"/>
          <w:sz w:val="24"/>
        </w:rPr>
        <w:t>甲  方：</w:t>
      </w:r>
      <w:r>
        <w:rPr>
          <w:rFonts w:hint="eastAsia"/>
          <w:color w:val="auto"/>
          <w:sz w:val="24"/>
          <w:u w:val="single"/>
        </w:rPr>
        <w:t xml:space="preserve">                               </w:t>
      </w:r>
    </w:p>
    <w:p w14:paraId="7FA0941B">
      <w:pPr>
        <w:spacing w:before="156" w:beforeLines="50" w:line="360" w:lineRule="auto"/>
        <w:rPr>
          <w:rFonts w:hint="eastAsia"/>
          <w:color w:val="auto"/>
          <w:sz w:val="24"/>
        </w:rPr>
      </w:pPr>
      <w:r>
        <w:rPr>
          <w:rFonts w:hint="eastAsia"/>
          <w:color w:val="auto"/>
          <w:sz w:val="24"/>
        </w:rPr>
        <w:t>乙  方：</w:t>
      </w:r>
      <w:r>
        <w:rPr>
          <w:rFonts w:hint="eastAsia"/>
          <w:color w:val="auto"/>
          <w:sz w:val="24"/>
          <w:u w:val="single"/>
        </w:rPr>
        <w:t xml:space="preserve">                               </w:t>
      </w:r>
    </w:p>
    <w:p w14:paraId="686334C5">
      <w:pPr>
        <w:spacing w:line="360" w:lineRule="auto"/>
        <w:ind w:firstLine="480" w:firstLineChars="200"/>
        <w:rPr>
          <w:rFonts w:hint="eastAsia"/>
          <w:color w:val="auto"/>
          <w:sz w:val="24"/>
        </w:rPr>
      </w:pPr>
      <w:r>
        <w:rPr>
          <w:rFonts w:hint="eastAsia"/>
          <w:color w:val="auto"/>
          <w:sz w:val="24"/>
        </w:rPr>
        <w:t>依据《中华人民共和国政府采购法》、《中华人民共和国政府采购法实施条例》、《政府采购竞争性磋商采购方式管理暂行办法》和《中华人民共和国</w:t>
      </w:r>
      <w:r>
        <w:rPr>
          <w:rFonts w:hint="eastAsia"/>
          <w:color w:val="auto"/>
          <w:sz w:val="24"/>
          <w:lang w:val="en-US" w:eastAsia="zh-CN"/>
        </w:rPr>
        <w:t>民法典</w:t>
      </w:r>
      <w:r>
        <w:rPr>
          <w:rFonts w:hint="eastAsia"/>
          <w:color w:val="auto"/>
          <w:sz w:val="24"/>
        </w:rPr>
        <w:t>》，经过双方友好协商，双方同意签订以下合同条款，以便双方共同遵守、履行合同。</w:t>
      </w:r>
    </w:p>
    <w:p w14:paraId="31994548">
      <w:pPr>
        <w:numPr>
          <w:ilvl w:val="0"/>
          <w:numId w:val="0"/>
        </w:numPr>
        <w:spacing w:line="360" w:lineRule="auto"/>
        <w:ind w:firstLine="482" w:firstLineChars="200"/>
        <w:rPr>
          <w:rFonts w:hint="eastAsia"/>
          <w:b/>
          <w:bCs/>
          <w:color w:val="auto"/>
          <w:sz w:val="24"/>
        </w:rPr>
      </w:pPr>
      <w:r>
        <w:rPr>
          <w:rFonts w:hint="eastAsia"/>
          <w:b/>
          <w:bCs/>
          <w:color w:val="auto"/>
          <w:kern w:val="2"/>
          <w:sz w:val="24"/>
          <w:szCs w:val="24"/>
          <w:lang w:val="en-US" w:eastAsia="zh-CN" w:bidi="ar-SA"/>
        </w:rPr>
        <w:t>一、</w:t>
      </w:r>
      <w:r>
        <w:rPr>
          <w:rFonts w:hint="eastAsia"/>
          <w:b/>
          <w:bCs/>
          <w:color w:val="auto"/>
          <w:sz w:val="24"/>
        </w:rPr>
        <w:t>合同内容</w:t>
      </w:r>
    </w:p>
    <w:p w14:paraId="01454B0A">
      <w:pPr>
        <w:spacing w:line="360" w:lineRule="auto"/>
        <w:ind w:firstLine="480" w:firstLineChars="200"/>
        <w:rPr>
          <w:rFonts w:hint="eastAsia"/>
          <w:color w:val="auto"/>
        </w:rPr>
      </w:pPr>
      <w:r>
        <w:rPr>
          <w:rFonts w:hint="eastAsia"/>
          <w:color w:val="auto"/>
          <w:sz w:val="24"/>
        </w:rPr>
        <w:t>1、采购内容</w:t>
      </w:r>
    </w:p>
    <w:p w14:paraId="405BEEA4">
      <w:pPr>
        <w:spacing w:line="360" w:lineRule="auto"/>
        <w:ind w:firstLine="480" w:firstLineChars="200"/>
        <w:rPr>
          <w:rFonts w:hint="eastAsia"/>
          <w:color w:val="auto"/>
          <w:sz w:val="24"/>
        </w:rPr>
      </w:pPr>
      <w:r>
        <w:rPr>
          <w:rFonts w:hint="eastAsia"/>
          <w:color w:val="auto"/>
          <w:sz w:val="24"/>
        </w:rPr>
        <w:t>2、下列文件为本合同不可分割部分：</w:t>
      </w:r>
    </w:p>
    <w:p w14:paraId="603761D4">
      <w:pPr>
        <w:spacing w:line="360" w:lineRule="auto"/>
        <w:ind w:firstLine="720" w:firstLineChars="300"/>
        <w:rPr>
          <w:rFonts w:hint="eastAsia"/>
          <w:color w:val="auto"/>
          <w:sz w:val="24"/>
        </w:rPr>
      </w:pPr>
      <w:r>
        <w:rPr>
          <w:rFonts w:hint="eastAsia"/>
          <w:color w:val="auto"/>
          <w:sz w:val="24"/>
        </w:rPr>
        <w:t>① 成交通知书；</w:t>
      </w:r>
    </w:p>
    <w:p w14:paraId="703BA5A9">
      <w:pPr>
        <w:spacing w:line="360" w:lineRule="auto"/>
        <w:ind w:firstLine="720" w:firstLineChars="300"/>
        <w:rPr>
          <w:rFonts w:hint="eastAsia"/>
          <w:color w:val="auto"/>
          <w:sz w:val="24"/>
        </w:rPr>
      </w:pPr>
      <w:r>
        <w:rPr>
          <w:rFonts w:hint="eastAsia"/>
          <w:color w:val="auto"/>
          <w:sz w:val="24"/>
        </w:rPr>
        <w:t>② 磋商文件；</w:t>
      </w:r>
    </w:p>
    <w:p w14:paraId="1C8B5830">
      <w:pPr>
        <w:spacing w:line="360" w:lineRule="auto"/>
        <w:ind w:firstLine="720" w:firstLineChars="300"/>
        <w:rPr>
          <w:rFonts w:hint="eastAsia"/>
          <w:color w:val="auto"/>
          <w:sz w:val="24"/>
        </w:rPr>
      </w:pPr>
      <w:r>
        <w:rPr>
          <w:rFonts w:hint="eastAsia"/>
          <w:color w:val="auto"/>
          <w:sz w:val="24"/>
        </w:rPr>
        <w:t>③ 乙方的响应文件；</w:t>
      </w:r>
    </w:p>
    <w:p w14:paraId="0941D9CE">
      <w:pPr>
        <w:spacing w:line="360" w:lineRule="auto"/>
        <w:ind w:firstLine="720" w:firstLineChars="300"/>
        <w:rPr>
          <w:rFonts w:hint="eastAsia"/>
          <w:color w:val="auto"/>
          <w:sz w:val="24"/>
        </w:rPr>
      </w:pPr>
      <w:r>
        <w:rPr>
          <w:rFonts w:hint="eastAsia"/>
          <w:color w:val="auto"/>
          <w:sz w:val="24"/>
        </w:rPr>
        <w:t>④ 乙方在磋商过程中所作的其它承诺、声明、书面澄清等。</w:t>
      </w:r>
    </w:p>
    <w:p w14:paraId="4BC120B8">
      <w:pPr>
        <w:spacing w:line="360" w:lineRule="auto"/>
        <w:ind w:firstLine="480" w:firstLineChars="200"/>
        <w:rPr>
          <w:rFonts w:hint="eastAsia"/>
          <w:color w:val="auto"/>
          <w:sz w:val="24"/>
        </w:rPr>
      </w:pPr>
      <w:r>
        <w:rPr>
          <w:rFonts w:hint="eastAsia"/>
          <w:color w:val="auto"/>
          <w:sz w:val="24"/>
        </w:rPr>
        <w:t>3、服务期限：</w:t>
      </w:r>
    </w:p>
    <w:p w14:paraId="24A5F9F4">
      <w:pPr>
        <w:spacing w:line="360" w:lineRule="auto"/>
        <w:ind w:firstLine="720" w:firstLineChars="300"/>
        <w:rPr>
          <w:rFonts w:hint="eastAsia"/>
          <w:color w:val="auto"/>
          <w:sz w:val="24"/>
        </w:rPr>
      </w:pPr>
      <w:r>
        <w:rPr>
          <w:rFonts w:hint="eastAsia"/>
          <w:color w:val="auto"/>
          <w:sz w:val="24"/>
        </w:rPr>
        <w:t>服务期限为    年  月  日至    年  月  日。</w:t>
      </w:r>
    </w:p>
    <w:p w14:paraId="3C9CAD75">
      <w:pPr>
        <w:numPr>
          <w:ilvl w:val="0"/>
          <w:numId w:val="0"/>
        </w:numPr>
        <w:spacing w:line="360" w:lineRule="auto"/>
        <w:ind w:firstLine="482" w:firstLineChars="200"/>
        <w:rPr>
          <w:rFonts w:hint="eastAsia"/>
          <w:b/>
          <w:bCs/>
          <w:color w:val="auto"/>
          <w:sz w:val="24"/>
        </w:rPr>
      </w:pPr>
      <w:r>
        <w:rPr>
          <w:rFonts w:hint="eastAsia"/>
          <w:b/>
          <w:bCs/>
          <w:color w:val="auto"/>
          <w:kern w:val="2"/>
          <w:sz w:val="24"/>
          <w:szCs w:val="24"/>
          <w:lang w:val="en-US" w:eastAsia="zh-CN" w:bidi="ar-SA"/>
        </w:rPr>
        <w:t>二、</w:t>
      </w:r>
      <w:r>
        <w:rPr>
          <w:rFonts w:hint="eastAsia"/>
          <w:b/>
          <w:bCs/>
          <w:color w:val="auto"/>
          <w:sz w:val="24"/>
        </w:rPr>
        <w:t>价格与支付：</w:t>
      </w:r>
    </w:p>
    <w:p w14:paraId="2490D517">
      <w:pPr>
        <w:spacing w:line="360" w:lineRule="auto"/>
        <w:ind w:firstLine="480" w:firstLineChars="200"/>
        <w:rPr>
          <w:rFonts w:hint="eastAsia"/>
          <w:color w:val="auto"/>
          <w:sz w:val="24"/>
        </w:rPr>
      </w:pPr>
      <w:r>
        <w:rPr>
          <w:rFonts w:hint="eastAsia"/>
          <w:color w:val="auto"/>
          <w:sz w:val="24"/>
        </w:rPr>
        <w:t>1、合同价格按此次成交价格执行，合同总金额为人民币</w:t>
      </w:r>
      <w:r>
        <w:rPr>
          <w:rFonts w:hint="eastAsia"/>
          <w:color w:val="auto"/>
          <w:sz w:val="24"/>
          <w:u w:val="single"/>
        </w:rPr>
        <w:t xml:space="preserve">        </w:t>
      </w:r>
      <w:r>
        <w:rPr>
          <w:rFonts w:hint="eastAsia"/>
          <w:color w:val="auto"/>
          <w:sz w:val="24"/>
        </w:rPr>
        <w:t>元，磋商总价一次报定，包括完成该标的物的全部服务、国家有关部门检测、强制性认证等费用，以及人工、机械、保险、运费、各种税费、劳保、专利技术及质保期间等一切费用。</w:t>
      </w:r>
    </w:p>
    <w:p w14:paraId="48BEC1A7">
      <w:pPr>
        <w:spacing w:line="360" w:lineRule="auto"/>
        <w:ind w:firstLine="480" w:firstLineChars="200"/>
        <w:rPr>
          <w:rFonts w:hint="eastAsia"/>
          <w:color w:val="auto"/>
          <w:sz w:val="24"/>
        </w:rPr>
      </w:pPr>
      <w:r>
        <w:rPr>
          <w:rFonts w:hint="eastAsia"/>
          <w:color w:val="auto"/>
          <w:sz w:val="24"/>
        </w:rPr>
        <w:t>2、付款方式与步骤：</w:t>
      </w:r>
    </w:p>
    <w:p w14:paraId="1C9DFD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color w:val="auto"/>
          <w:sz w:val="24"/>
          <w:lang w:val="en-US" w:eastAsia="zh-CN"/>
        </w:rPr>
      </w:pPr>
      <w:r>
        <w:rPr>
          <w:rFonts w:hint="eastAsia" w:ascii="Times New Roman" w:hAnsi="Times New Roman" w:eastAsia="宋体" w:cs="Times New Roman"/>
          <w:color w:val="auto"/>
          <w:sz w:val="24"/>
          <w:lang w:val="en-US" w:eastAsia="zh-CN"/>
        </w:rPr>
        <w:t>采购人每月自收到供应商正规发票和有关佐证资料之日起，经核查无误后，5个工作日内</w:t>
      </w:r>
      <w:r>
        <w:rPr>
          <w:rFonts w:hint="eastAsia" w:cs="Times New Roman"/>
          <w:color w:val="auto"/>
          <w:sz w:val="24"/>
          <w:lang w:val="en-US" w:eastAsia="zh-CN"/>
        </w:rPr>
        <w:t>给</w:t>
      </w:r>
      <w:r>
        <w:rPr>
          <w:rFonts w:hint="eastAsia" w:ascii="Times New Roman" w:hAnsi="Times New Roman" w:eastAsia="宋体" w:cs="Times New Roman"/>
          <w:color w:val="auto"/>
          <w:sz w:val="24"/>
          <w:lang w:val="en-US" w:eastAsia="zh-CN"/>
        </w:rPr>
        <w:t>付上月费用。因海口市财政部门支付障碍、封账等客观原因或不可抗力导致未能按时付款情形出现的，为保障社保的正常缴纳，中标供应商应先行垫付相关费用，采购人后续再及时给付，不视为采购人违约，采购人不承担任何逾期付款违约责任以及利息，供应商不得单方面解除合同。</w:t>
      </w:r>
    </w:p>
    <w:p w14:paraId="32AFB40F">
      <w:pPr>
        <w:numPr>
          <w:ilvl w:val="0"/>
          <w:numId w:val="0"/>
        </w:numPr>
        <w:spacing w:line="360" w:lineRule="auto"/>
        <w:ind w:firstLine="482" w:firstLineChars="200"/>
        <w:rPr>
          <w:rFonts w:hint="eastAsia"/>
          <w:b/>
          <w:bCs/>
          <w:color w:val="auto"/>
          <w:sz w:val="24"/>
        </w:rPr>
      </w:pPr>
      <w:r>
        <w:rPr>
          <w:rFonts w:hint="eastAsia"/>
          <w:b/>
          <w:bCs/>
          <w:color w:val="auto"/>
          <w:kern w:val="2"/>
          <w:sz w:val="24"/>
          <w:szCs w:val="24"/>
          <w:lang w:val="en-US" w:eastAsia="zh-CN" w:bidi="ar-SA"/>
        </w:rPr>
        <w:t>三、</w:t>
      </w:r>
      <w:r>
        <w:rPr>
          <w:rFonts w:hint="eastAsia"/>
          <w:b/>
          <w:bCs/>
          <w:color w:val="auto"/>
          <w:sz w:val="24"/>
          <w:lang w:val="en-US" w:eastAsia="zh-CN"/>
        </w:rPr>
        <w:t>服务内容：</w:t>
      </w:r>
    </w:p>
    <w:p w14:paraId="19CA8028">
      <w:pPr>
        <w:keepNext w:val="0"/>
        <w:keepLines w:val="0"/>
        <w:pageBreakBefore w:val="0"/>
        <w:widowControl w:val="0"/>
        <w:kinsoku/>
        <w:wordWrap/>
        <w:overflowPunct/>
        <w:topLinePunct w:val="0"/>
        <w:autoSpaceDE/>
        <w:autoSpaceDN/>
        <w:bidi w:val="0"/>
        <w:adjustRightInd/>
        <w:snapToGrid/>
        <w:spacing w:line="360" w:lineRule="auto"/>
        <w:ind w:leftChars="100" w:firstLine="561"/>
        <w:textAlignment w:val="auto"/>
        <w:outlineLvl w:val="9"/>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（一）岗位需求</w:t>
      </w:r>
    </w:p>
    <w:p w14:paraId="014A1ABE">
      <w:pPr>
        <w:keepNext w:val="0"/>
        <w:keepLines w:val="0"/>
        <w:pageBreakBefore w:val="0"/>
        <w:widowControl w:val="0"/>
        <w:kinsoku/>
        <w:wordWrap/>
        <w:overflowPunct/>
        <w:topLinePunct w:val="0"/>
        <w:autoSpaceDE/>
        <w:autoSpaceDN/>
        <w:bidi w:val="0"/>
        <w:adjustRightInd/>
        <w:snapToGrid/>
        <w:spacing w:line="360" w:lineRule="auto"/>
        <w:ind w:leftChars="100" w:firstLine="561"/>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根据实际业务量、业务特点进行流程优化、人员配置和管理，为采购人提供综合辅助性服务，并对服务质量、工作结果负责。服务内容包括但不限于:违章处理窗口服务、各交通枢纽辅助性服务、社会信用修复服务、数据统计服务、12345热线办理促进与投诉受理服务、信息化建设和辅助服务及采购人提出的与交通行政执法辅助服务相关的其他工作。</w:t>
      </w:r>
    </w:p>
    <w:p w14:paraId="6DF3C2E8">
      <w:pPr>
        <w:keepNext w:val="0"/>
        <w:keepLines w:val="0"/>
        <w:pageBreakBefore w:val="0"/>
        <w:widowControl w:val="0"/>
        <w:kinsoku/>
        <w:wordWrap/>
        <w:overflowPunct/>
        <w:topLinePunct w:val="0"/>
        <w:autoSpaceDE/>
        <w:autoSpaceDN/>
        <w:bidi w:val="0"/>
        <w:adjustRightInd/>
        <w:snapToGrid/>
        <w:spacing w:line="360" w:lineRule="auto"/>
        <w:ind w:leftChars="100" w:firstLine="561"/>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2、为本单位提供的辅助服务岗位数量控制在60个。</w:t>
      </w:r>
    </w:p>
    <w:p w14:paraId="6C3865B0">
      <w:pPr>
        <w:spacing w:line="360" w:lineRule="auto"/>
        <w:ind w:firstLine="480" w:firstLineChars="200"/>
        <w:jc w:val="center"/>
        <w:rPr>
          <w:rFonts w:hint="eastAsia" w:ascii="宋体" w:hAnsi="宋体" w:eastAsia="宋体" w:cs="宋体"/>
          <w:color w:val="auto"/>
          <w:kern w:val="0"/>
          <w:sz w:val="24"/>
          <w:szCs w:val="24"/>
          <w:shd w:val="clear" w:color="auto" w:fill="FFFFFF"/>
          <w:lang w:eastAsia="zh-CN"/>
        </w:rPr>
      </w:pPr>
      <w:r>
        <w:rPr>
          <w:rFonts w:hint="eastAsia" w:ascii="宋体" w:hAnsi="宋体" w:eastAsia="宋体" w:cs="宋体"/>
          <w:color w:val="auto"/>
          <w:kern w:val="0"/>
          <w:sz w:val="24"/>
          <w:szCs w:val="24"/>
          <w:shd w:val="clear" w:color="auto" w:fill="FFFFFF"/>
        </w:rPr>
        <w:t>岗位配置</w:t>
      </w:r>
      <w:r>
        <w:rPr>
          <w:rFonts w:hint="eastAsia" w:ascii="宋体" w:hAnsi="宋体" w:eastAsia="宋体" w:cs="宋体"/>
          <w:color w:val="auto"/>
          <w:kern w:val="0"/>
          <w:sz w:val="24"/>
          <w:szCs w:val="24"/>
          <w:shd w:val="clear" w:color="auto" w:fill="FFFFFF"/>
          <w:lang w:eastAsia="zh-CN"/>
        </w:rPr>
        <w:t>表</w:t>
      </w:r>
    </w:p>
    <w:tbl>
      <w:tblPr>
        <w:tblStyle w:val="4"/>
        <w:tblW w:w="84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78"/>
        <w:gridCol w:w="3486"/>
        <w:gridCol w:w="1324"/>
        <w:gridCol w:w="1028"/>
        <w:gridCol w:w="1876"/>
      </w:tblGrid>
      <w:tr w14:paraId="06526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78" w:type="dxa"/>
            <w:vAlign w:val="center"/>
          </w:tcPr>
          <w:p w14:paraId="384806C8">
            <w:pPr>
              <w:spacing w:line="360" w:lineRule="auto"/>
              <w:jc w:val="center"/>
              <w:rPr>
                <w:rFonts w:hint="eastAsia" w:ascii="宋体" w:hAnsi="宋体" w:eastAsia="宋体" w:cs="宋体"/>
                <w:b/>
                <w:bCs/>
                <w:color w:val="auto"/>
                <w:kern w:val="0"/>
                <w:sz w:val="24"/>
                <w:szCs w:val="24"/>
                <w:shd w:val="clear" w:color="auto" w:fill="FFFFFF"/>
              </w:rPr>
            </w:pPr>
            <w:r>
              <w:rPr>
                <w:rFonts w:hint="eastAsia" w:ascii="宋体" w:hAnsi="宋体" w:eastAsia="宋体" w:cs="宋体"/>
                <w:b/>
                <w:bCs/>
                <w:color w:val="auto"/>
                <w:kern w:val="0"/>
                <w:sz w:val="24"/>
                <w:szCs w:val="24"/>
                <w:shd w:val="clear" w:color="auto" w:fill="FFFFFF"/>
              </w:rPr>
              <w:t>序号</w:t>
            </w:r>
          </w:p>
        </w:tc>
        <w:tc>
          <w:tcPr>
            <w:tcW w:w="3486" w:type="dxa"/>
            <w:vAlign w:val="center"/>
          </w:tcPr>
          <w:p w14:paraId="0DA6FD1B">
            <w:pPr>
              <w:spacing w:line="360" w:lineRule="auto"/>
              <w:jc w:val="center"/>
              <w:rPr>
                <w:rFonts w:hint="eastAsia" w:ascii="宋体" w:hAnsi="宋体" w:eastAsia="宋体" w:cs="宋体"/>
                <w:b/>
                <w:bCs/>
                <w:color w:val="auto"/>
                <w:kern w:val="0"/>
                <w:sz w:val="24"/>
                <w:szCs w:val="24"/>
                <w:shd w:val="clear" w:color="auto" w:fill="FFFFFF"/>
              </w:rPr>
            </w:pPr>
            <w:r>
              <w:rPr>
                <w:rFonts w:hint="eastAsia" w:ascii="宋体" w:hAnsi="宋体" w:eastAsia="宋体" w:cs="宋体"/>
                <w:b/>
                <w:bCs/>
                <w:color w:val="auto"/>
                <w:kern w:val="0"/>
                <w:sz w:val="24"/>
                <w:szCs w:val="24"/>
                <w:shd w:val="clear" w:color="auto" w:fill="FFFFFF"/>
              </w:rPr>
              <w:t>岗位</w:t>
            </w:r>
          </w:p>
        </w:tc>
        <w:tc>
          <w:tcPr>
            <w:tcW w:w="1324" w:type="dxa"/>
            <w:vAlign w:val="center"/>
          </w:tcPr>
          <w:p w14:paraId="30326629">
            <w:pPr>
              <w:spacing w:line="360" w:lineRule="auto"/>
              <w:jc w:val="center"/>
              <w:rPr>
                <w:rFonts w:hint="eastAsia" w:ascii="宋体" w:hAnsi="宋体" w:eastAsia="宋体" w:cs="宋体"/>
                <w:b/>
                <w:bCs/>
                <w:color w:val="auto"/>
                <w:kern w:val="0"/>
                <w:sz w:val="24"/>
                <w:szCs w:val="24"/>
                <w:shd w:val="clear" w:color="auto" w:fill="FFFFFF"/>
                <w:lang w:eastAsia="zh-CN"/>
              </w:rPr>
            </w:pPr>
            <w:r>
              <w:rPr>
                <w:rFonts w:hint="eastAsia" w:ascii="宋体" w:hAnsi="宋体" w:eastAsia="宋体" w:cs="宋体"/>
                <w:b/>
                <w:bCs/>
                <w:color w:val="auto"/>
                <w:kern w:val="0"/>
                <w:sz w:val="24"/>
                <w:szCs w:val="24"/>
                <w:shd w:val="clear" w:color="auto" w:fill="FFFFFF"/>
                <w:lang w:val="en-US" w:eastAsia="zh-CN"/>
              </w:rPr>
              <w:t>数量</w:t>
            </w:r>
          </w:p>
        </w:tc>
        <w:tc>
          <w:tcPr>
            <w:tcW w:w="1028" w:type="dxa"/>
            <w:vAlign w:val="center"/>
          </w:tcPr>
          <w:p w14:paraId="63E1B8D9">
            <w:pPr>
              <w:spacing w:line="360" w:lineRule="auto"/>
              <w:jc w:val="center"/>
              <w:rPr>
                <w:rFonts w:hint="default" w:ascii="宋体" w:hAnsi="宋体" w:eastAsia="宋体" w:cs="宋体"/>
                <w:b/>
                <w:bCs/>
                <w:color w:val="auto"/>
                <w:kern w:val="0"/>
                <w:sz w:val="24"/>
                <w:szCs w:val="24"/>
                <w:shd w:val="clear" w:color="auto" w:fill="FFFFFF"/>
                <w:lang w:val="en-US" w:eastAsia="zh-CN"/>
              </w:rPr>
            </w:pPr>
            <w:r>
              <w:rPr>
                <w:rFonts w:hint="eastAsia" w:ascii="宋体" w:hAnsi="宋体" w:eastAsia="宋体" w:cs="宋体"/>
                <w:b/>
                <w:bCs/>
                <w:color w:val="auto"/>
                <w:kern w:val="0"/>
                <w:sz w:val="24"/>
                <w:szCs w:val="24"/>
                <w:shd w:val="clear" w:color="auto" w:fill="FFFFFF"/>
                <w:lang w:val="en-US" w:eastAsia="zh-CN"/>
              </w:rPr>
              <w:t>单位</w:t>
            </w:r>
          </w:p>
        </w:tc>
        <w:tc>
          <w:tcPr>
            <w:tcW w:w="1876" w:type="dxa"/>
            <w:vAlign w:val="center"/>
          </w:tcPr>
          <w:p w14:paraId="4B55B205">
            <w:pPr>
              <w:spacing w:line="360" w:lineRule="auto"/>
              <w:jc w:val="center"/>
              <w:rPr>
                <w:rFonts w:hint="eastAsia" w:ascii="宋体" w:hAnsi="宋体" w:eastAsia="宋体" w:cs="宋体"/>
                <w:b/>
                <w:bCs/>
                <w:color w:val="auto"/>
                <w:kern w:val="0"/>
                <w:sz w:val="24"/>
                <w:szCs w:val="24"/>
                <w:shd w:val="clear" w:color="auto" w:fill="FFFFFF"/>
                <w:lang w:eastAsia="zh-CN"/>
              </w:rPr>
            </w:pPr>
            <w:r>
              <w:rPr>
                <w:rFonts w:hint="eastAsia" w:ascii="宋体" w:hAnsi="宋体" w:eastAsia="宋体" w:cs="宋体"/>
                <w:b/>
                <w:bCs/>
                <w:color w:val="auto"/>
                <w:kern w:val="0"/>
                <w:sz w:val="24"/>
                <w:szCs w:val="24"/>
                <w:shd w:val="clear" w:color="auto" w:fill="FFFFFF"/>
              </w:rPr>
              <w:t>备注</w:t>
            </w:r>
          </w:p>
        </w:tc>
      </w:tr>
      <w:tr w14:paraId="22F03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78" w:type="dxa"/>
            <w:vAlign w:val="center"/>
          </w:tcPr>
          <w:p w14:paraId="279DB304">
            <w:pPr>
              <w:spacing w:line="360" w:lineRule="auto"/>
              <w:jc w:val="center"/>
              <w:rPr>
                <w:rFonts w:hint="eastAsia" w:ascii="宋体" w:hAnsi="宋体" w:eastAsia="宋体" w:cs="宋体"/>
                <w:color w:val="auto"/>
                <w:kern w:val="0"/>
                <w:sz w:val="24"/>
                <w:szCs w:val="24"/>
                <w:shd w:val="clear" w:color="auto" w:fill="FFFFFF"/>
                <w:lang w:eastAsia="zh-CN"/>
              </w:rPr>
            </w:pPr>
            <w:r>
              <w:rPr>
                <w:rFonts w:hint="eastAsia" w:ascii="宋体" w:hAnsi="宋体" w:eastAsia="宋体" w:cs="宋体"/>
                <w:color w:val="auto"/>
                <w:kern w:val="0"/>
                <w:sz w:val="24"/>
                <w:szCs w:val="24"/>
                <w:shd w:val="clear" w:color="auto" w:fill="FFFFFF"/>
                <w:lang w:val="en-US" w:eastAsia="zh-CN"/>
              </w:rPr>
              <w:t>1</w:t>
            </w:r>
          </w:p>
        </w:tc>
        <w:tc>
          <w:tcPr>
            <w:tcW w:w="3486" w:type="dxa"/>
            <w:vAlign w:val="center"/>
          </w:tcPr>
          <w:p w14:paraId="151A8CD1">
            <w:pPr>
              <w:keepNext w:val="0"/>
              <w:keepLines w:val="0"/>
              <w:pageBreakBefore w:val="0"/>
              <w:widowControl/>
              <w:kinsoku w:val="0"/>
              <w:wordWrap/>
              <w:overflowPunct/>
              <w:topLinePunct w:val="0"/>
              <w:autoSpaceDE w:val="0"/>
              <w:autoSpaceDN w:val="0"/>
              <w:bidi w:val="0"/>
              <w:adjustRightInd w:val="0"/>
              <w:snapToGrid w:val="0"/>
              <w:spacing w:line="336" w:lineRule="auto"/>
              <w:jc w:val="center"/>
              <w:textAlignment w:val="baseline"/>
              <w:rPr>
                <w:rFonts w:hint="default" w:ascii="宋体" w:hAnsi="宋体" w:eastAsia="宋体" w:cs="宋体"/>
                <w:color w:val="auto"/>
                <w:kern w:val="0"/>
                <w:sz w:val="24"/>
                <w:szCs w:val="24"/>
                <w:shd w:val="clear" w:color="auto" w:fill="FFFFFF"/>
                <w:lang w:val="en-US" w:eastAsia="zh-CN"/>
              </w:rPr>
            </w:pPr>
            <w:r>
              <w:rPr>
                <w:rFonts w:hint="eastAsia" w:ascii="宋体" w:hAnsi="宋体" w:eastAsia="宋体" w:cs="宋体"/>
                <w:color w:val="auto"/>
                <w:kern w:val="0"/>
                <w:sz w:val="24"/>
                <w:szCs w:val="24"/>
                <w:shd w:val="clear" w:color="auto" w:fill="FFFFFF"/>
                <w:lang w:eastAsia="zh-CN"/>
              </w:rPr>
              <w:t>违章处理窗口服务</w:t>
            </w:r>
            <w:r>
              <w:rPr>
                <w:rFonts w:hint="eastAsia" w:ascii="宋体" w:hAnsi="宋体" w:eastAsia="宋体" w:cs="宋体"/>
                <w:color w:val="auto"/>
                <w:kern w:val="0"/>
                <w:sz w:val="24"/>
                <w:szCs w:val="24"/>
                <w:shd w:val="clear" w:color="auto" w:fill="FFFFFF"/>
                <w:lang w:val="en-US" w:eastAsia="zh-CN"/>
              </w:rPr>
              <w:t>岗</w:t>
            </w:r>
          </w:p>
        </w:tc>
        <w:tc>
          <w:tcPr>
            <w:tcW w:w="1324" w:type="dxa"/>
            <w:vAlign w:val="center"/>
          </w:tcPr>
          <w:p w14:paraId="50E57DAC">
            <w:pPr>
              <w:keepNext w:val="0"/>
              <w:keepLines w:val="0"/>
              <w:pageBreakBefore w:val="0"/>
              <w:widowControl/>
              <w:kinsoku w:val="0"/>
              <w:wordWrap/>
              <w:overflowPunct/>
              <w:topLinePunct w:val="0"/>
              <w:autoSpaceDE w:val="0"/>
              <w:autoSpaceDN w:val="0"/>
              <w:bidi w:val="0"/>
              <w:adjustRightInd w:val="0"/>
              <w:snapToGrid w:val="0"/>
              <w:spacing w:line="336" w:lineRule="auto"/>
              <w:jc w:val="center"/>
              <w:textAlignment w:val="baseline"/>
              <w:rPr>
                <w:rFonts w:hint="default" w:ascii="宋体" w:hAnsi="宋体" w:eastAsia="宋体" w:cs="宋体"/>
                <w:color w:val="auto"/>
                <w:kern w:val="0"/>
                <w:sz w:val="24"/>
                <w:szCs w:val="24"/>
                <w:shd w:val="clear" w:color="auto" w:fill="FFFFFF"/>
                <w:lang w:val="en-US"/>
              </w:rPr>
            </w:pPr>
            <w:r>
              <w:rPr>
                <w:rFonts w:hint="eastAsia" w:ascii="宋体" w:hAnsi="宋体" w:eastAsia="宋体" w:cs="宋体"/>
                <w:color w:val="auto"/>
                <w:kern w:val="0"/>
                <w:sz w:val="24"/>
                <w:szCs w:val="24"/>
                <w:shd w:val="clear" w:color="auto" w:fill="FFFFFF"/>
                <w:lang w:val="en-US" w:eastAsia="zh-CN"/>
              </w:rPr>
              <w:t>1</w:t>
            </w:r>
          </w:p>
        </w:tc>
        <w:tc>
          <w:tcPr>
            <w:tcW w:w="1028" w:type="dxa"/>
            <w:vAlign w:val="center"/>
          </w:tcPr>
          <w:p w14:paraId="1D81F3EC">
            <w:pPr>
              <w:keepNext w:val="0"/>
              <w:keepLines w:val="0"/>
              <w:pageBreakBefore w:val="0"/>
              <w:widowControl/>
              <w:kinsoku w:val="0"/>
              <w:wordWrap/>
              <w:overflowPunct/>
              <w:topLinePunct w:val="0"/>
              <w:autoSpaceDE w:val="0"/>
              <w:autoSpaceDN w:val="0"/>
              <w:bidi w:val="0"/>
              <w:adjustRightInd w:val="0"/>
              <w:snapToGrid w:val="0"/>
              <w:spacing w:line="336" w:lineRule="auto"/>
              <w:jc w:val="center"/>
              <w:textAlignment w:val="baseline"/>
              <w:rPr>
                <w:rFonts w:hint="eastAsia" w:ascii="宋体" w:hAnsi="宋体" w:eastAsia="宋体" w:cs="宋体"/>
                <w:color w:val="auto"/>
                <w:kern w:val="0"/>
                <w:sz w:val="24"/>
                <w:szCs w:val="24"/>
                <w:shd w:val="clear" w:color="auto" w:fill="FFFFFF"/>
                <w:lang w:val="en-US" w:eastAsia="zh-CN"/>
              </w:rPr>
            </w:pPr>
            <w:r>
              <w:rPr>
                <w:rFonts w:hint="eastAsia" w:ascii="宋体" w:hAnsi="宋体" w:eastAsia="宋体" w:cs="宋体"/>
                <w:color w:val="auto"/>
                <w:kern w:val="0"/>
                <w:sz w:val="24"/>
                <w:szCs w:val="24"/>
                <w:shd w:val="clear" w:color="auto" w:fill="FFFFFF"/>
                <w:lang w:val="en-US" w:eastAsia="zh-CN"/>
              </w:rPr>
              <w:t>个</w:t>
            </w:r>
          </w:p>
        </w:tc>
        <w:tc>
          <w:tcPr>
            <w:tcW w:w="1876" w:type="dxa"/>
            <w:vMerge w:val="restart"/>
            <w:vAlign w:val="center"/>
          </w:tcPr>
          <w:p w14:paraId="150C2F53">
            <w:pPr>
              <w:keepNext w:val="0"/>
              <w:keepLines w:val="0"/>
              <w:pageBreakBefore w:val="0"/>
              <w:widowControl/>
              <w:kinsoku w:val="0"/>
              <w:wordWrap/>
              <w:overflowPunct/>
              <w:topLinePunct w:val="0"/>
              <w:autoSpaceDE w:val="0"/>
              <w:autoSpaceDN w:val="0"/>
              <w:bidi w:val="0"/>
              <w:adjustRightInd w:val="0"/>
              <w:snapToGrid w:val="0"/>
              <w:spacing w:line="336" w:lineRule="auto"/>
              <w:jc w:val="center"/>
              <w:textAlignment w:val="baseline"/>
              <w:rPr>
                <w:rFonts w:hint="default" w:ascii="宋体" w:hAnsi="宋体" w:eastAsia="宋体" w:cs="宋体"/>
                <w:color w:val="auto"/>
                <w:kern w:val="0"/>
                <w:sz w:val="24"/>
                <w:szCs w:val="24"/>
                <w:shd w:val="clear" w:color="auto" w:fill="FFFFFF"/>
                <w:lang w:val="en-US" w:eastAsia="zh-CN"/>
              </w:rPr>
            </w:pPr>
            <w:r>
              <w:rPr>
                <w:rFonts w:hint="eastAsia" w:ascii="宋体" w:hAnsi="宋体" w:eastAsia="宋体" w:cs="宋体"/>
                <w:color w:val="auto"/>
                <w:kern w:val="0"/>
                <w:sz w:val="24"/>
                <w:szCs w:val="24"/>
                <w:shd w:val="clear" w:color="auto" w:fill="FFFFFF"/>
                <w:lang w:val="en-US" w:eastAsia="zh-CN"/>
              </w:rPr>
              <w:t>采购人根据适配需要安排具体岗位，各岗位薪酬均等。</w:t>
            </w:r>
          </w:p>
        </w:tc>
      </w:tr>
      <w:tr w14:paraId="1613F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78" w:type="dxa"/>
            <w:vAlign w:val="center"/>
          </w:tcPr>
          <w:p w14:paraId="19E9F74D">
            <w:pPr>
              <w:spacing w:line="360" w:lineRule="auto"/>
              <w:jc w:val="center"/>
              <w:rPr>
                <w:rFonts w:hint="eastAsia" w:ascii="宋体" w:hAnsi="宋体" w:eastAsia="宋体" w:cs="宋体"/>
                <w:color w:val="auto"/>
                <w:kern w:val="0"/>
                <w:sz w:val="24"/>
                <w:szCs w:val="24"/>
                <w:shd w:val="clear" w:color="auto" w:fill="FFFFFF"/>
                <w:lang w:eastAsia="zh-CN"/>
              </w:rPr>
            </w:pPr>
            <w:r>
              <w:rPr>
                <w:rFonts w:hint="eastAsia" w:ascii="宋体" w:hAnsi="宋体" w:eastAsia="宋体" w:cs="宋体"/>
                <w:color w:val="auto"/>
                <w:kern w:val="0"/>
                <w:sz w:val="24"/>
                <w:szCs w:val="24"/>
                <w:shd w:val="clear" w:color="auto" w:fill="FFFFFF"/>
                <w:lang w:val="en-US" w:eastAsia="zh-CN"/>
              </w:rPr>
              <w:t>2</w:t>
            </w:r>
          </w:p>
        </w:tc>
        <w:tc>
          <w:tcPr>
            <w:tcW w:w="3486" w:type="dxa"/>
            <w:vAlign w:val="center"/>
          </w:tcPr>
          <w:p w14:paraId="296B80A3">
            <w:pPr>
              <w:keepNext w:val="0"/>
              <w:keepLines w:val="0"/>
              <w:pageBreakBefore w:val="0"/>
              <w:widowControl/>
              <w:kinsoku w:val="0"/>
              <w:wordWrap/>
              <w:overflowPunct/>
              <w:topLinePunct w:val="0"/>
              <w:autoSpaceDE w:val="0"/>
              <w:autoSpaceDN w:val="0"/>
              <w:bidi w:val="0"/>
              <w:adjustRightInd w:val="0"/>
              <w:snapToGrid w:val="0"/>
              <w:spacing w:line="336" w:lineRule="auto"/>
              <w:jc w:val="center"/>
              <w:textAlignment w:val="baseline"/>
              <w:rPr>
                <w:rFonts w:hint="eastAsia" w:ascii="宋体" w:hAnsi="宋体" w:eastAsia="宋体" w:cs="宋体"/>
                <w:color w:val="auto"/>
                <w:kern w:val="0"/>
                <w:sz w:val="24"/>
                <w:szCs w:val="24"/>
                <w:shd w:val="clear" w:color="auto" w:fill="FFFFFF"/>
                <w:lang w:val="en-US" w:eastAsia="zh-CN"/>
              </w:rPr>
            </w:pPr>
            <w:r>
              <w:rPr>
                <w:rFonts w:hint="eastAsia" w:ascii="宋体" w:hAnsi="宋体" w:eastAsia="宋体" w:cs="宋体"/>
                <w:color w:val="auto"/>
                <w:kern w:val="0"/>
                <w:sz w:val="24"/>
                <w:szCs w:val="24"/>
                <w:shd w:val="clear" w:color="auto" w:fill="FFFFFF"/>
              </w:rPr>
              <w:t>各交通枢纽辅助性服务</w:t>
            </w:r>
            <w:r>
              <w:rPr>
                <w:rFonts w:hint="eastAsia" w:ascii="宋体" w:hAnsi="宋体" w:eastAsia="宋体" w:cs="宋体"/>
                <w:color w:val="auto"/>
                <w:kern w:val="0"/>
                <w:sz w:val="24"/>
                <w:szCs w:val="24"/>
                <w:shd w:val="clear" w:color="auto" w:fill="FFFFFF"/>
                <w:lang w:val="en-US" w:eastAsia="zh-CN"/>
              </w:rPr>
              <w:t>岗</w:t>
            </w:r>
          </w:p>
        </w:tc>
        <w:tc>
          <w:tcPr>
            <w:tcW w:w="1324" w:type="dxa"/>
            <w:vAlign w:val="center"/>
          </w:tcPr>
          <w:p w14:paraId="2DB8B9F3">
            <w:pPr>
              <w:keepNext w:val="0"/>
              <w:keepLines w:val="0"/>
              <w:pageBreakBefore w:val="0"/>
              <w:widowControl/>
              <w:kinsoku w:val="0"/>
              <w:wordWrap/>
              <w:overflowPunct/>
              <w:topLinePunct w:val="0"/>
              <w:autoSpaceDE w:val="0"/>
              <w:autoSpaceDN w:val="0"/>
              <w:bidi w:val="0"/>
              <w:adjustRightInd w:val="0"/>
              <w:snapToGrid w:val="0"/>
              <w:spacing w:line="336" w:lineRule="auto"/>
              <w:jc w:val="center"/>
              <w:textAlignment w:val="baseline"/>
              <w:rPr>
                <w:rFonts w:hint="eastAsia" w:ascii="宋体" w:hAnsi="宋体" w:eastAsia="宋体" w:cs="宋体"/>
                <w:color w:val="auto"/>
                <w:kern w:val="0"/>
                <w:sz w:val="24"/>
                <w:szCs w:val="24"/>
                <w:shd w:val="clear" w:color="auto" w:fill="FFFFFF"/>
              </w:rPr>
            </w:pPr>
            <w:r>
              <w:rPr>
                <w:rFonts w:hint="eastAsia" w:ascii="宋体" w:hAnsi="宋体" w:eastAsia="宋体" w:cs="宋体"/>
                <w:color w:val="auto"/>
                <w:kern w:val="0"/>
                <w:sz w:val="24"/>
                <w:szCs w:val="24"/>
                <w:shd w:val="clear" w:color="auto" w:fill="FFFFFF"/>
                <w:lang w:val="en-US" w:eastAsia="zh-CN"/>
              </w:rPr>
              <w:t>46</w:t>
            </w:r>
          </w:p>
        </w:tc>
        <w:tc>
          <w:tcPr>
            <w:tcW w:w="1028" w:type="dxa"/>
            <w:vAlign w:val="center"/>
          </w:tcPr>
          <w:p w14:paraId="4D2A31FD">
            <w:pPr>
              <w:keepNext w:val="0"/>
              <w:keepLines w:val="0"/>
              <w:pageBreakBefore w:val="0"/>
              <w:widowControl/>
              <w:kinsoku w:val="0"/>
              <w:wordWrap/>
              <w:overflowPunct/>
              <w:topLinePunct w:val="0"/>
              <w:autoSpaceDE w:val="0"/>
              <w:autoSpaceDN w:val="0"/>
              <w:bidi w:val="0"/>
              <w:adjustRightInd w:val="0"/>
              <w:snapToGrid w:val="0"/>
              <w:spacing w:line="336" w:lineRule="auto"/>
              <w:jc w:val="center"/>
              <w:textAlignment w:val="baseline"/>
              <w:rPr>
                <w:rFonts w:hint="eastAsia" w:ascii="宋体" w:hAnsi="宋体" w:eastAsia="宋体" w:cs="宋体"/>
                <w:color w:val="auto"/>
                <w:kern w:val="0"/>
                <w:sz w:val="24"/>
                <w:szCs w:val="24"/>
                <w:shd w:val="clear" w:color="auto" w:fill="FFFFFF"/>
                <w:lang w:val="en-US" w:eastAsia="zh-CN"/>
              </w:rPr>
            </w:pPr>
            <w:r>
              <w:rPr>
                <w:rFonts w:hint="eastAsia" w:ascii="宋体" w:hAnsi="宋体" w:eastAsia="宋体" w:cs="宋体"/>
                <w:color w:val="auto"/>
                <w:kern w:val="0"/>
                <w:sz w:val="24"/>
                <w:szCs w:val="24"/>
                <w:shd w:val="clear" w:color="auto" w:fill="FFFFFF"/>
                <w:lang w:val="en-US" w:eastAsia="zh-CN"/>
              </w:rPr>
              <w:t>个</w:t>
            </w:r>
          </w:p>
        </w:tc>
        <w:tc>
          <w:tcPr>
            <w:tcW w:w="1876" w:type="dxa"/>
            <w:vMerge w:val="continue"/>
            <w:vAlign w:val="center"/>
          </w:tcPr>
          <w:p w14:paraId="45CA7A6C">
            <w:pPr>
              <w:keepNext w:val="0"/>
              <w:keepLines w:val="0"/>
              <w:pageBreakBefore w:val="0"/>
              <w:widowControl/>
              <w:kinsoku w:val="0"/>
              <w:wordWrap/>
              <w:overflowPunct/>
              <w:topLinePunct w:val="0"/>
              <w:autoSpaceDE w:val="0"/>
              <w:autoSpaceDN w:val="0"/>
              <w:bidi w:val="0"/>
              <w:adjustRightInd w:val="0"/>
              <w:snapToGrid w:val="0"/>
              <w:spacing w:line="336" w:lineRule="auto"/>
              <w:jc w:val="center"/>
              <w:textAlignment w:val="baseline"/>
              <w:rPr>
                <w:rFonts w:hint="eastAsia" w:ascii="宋体" w:hAnsi="宋体" w:eastAsia="宋体" w:cs="宋体"/>
                <w:color w:val="auto"/>
                <w:kern w:val="0"/>
                <w:sz w:val="24"/>
                <w:szCs w:val="24"/>
                <w:shd w:val="clear" w:color="auto" w:fill="FFFFFF"/>
              </w:rPr>
            </w:pPr>
          </w:p>
        </w:tc>
      </w:tr>
      <w:tr w14:paraId="24519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78" w:type="dxa"/>
            <w:vAlign w:val="center"/>
          </w:tcPr>
          <w:p w14:paraId="33471507">
            <w:pPr>
              <w:spacing w:line="360" w:lineRule="auto"/>
              <w:jc w:val="center"/>
              <w:rPr>
                <w:rFonts w:hint="eastAsia" w:ascii="宋体" w:hAnsi="宋体" w:eastAsia="宋体" w:cs="宋体"/>
                <w:color w:val="auto"/>
                <w:kern w:val="0"/>
                <w:sz w:val="24"/>
                <w:szCs w:val="24"/>
                <w:shd w:val="clear" w:color="auto" w:fill="FFFFFF"/>
                <w:lang w:eastAsia="zh-CN"/>
              </w:rPr>
            </w:pPr>
            <w:r>
              <w:rPr>
                <w:rFonts w:hint="eastAsia" w:ascii="宋体" w:hAnsi="宋体" w:eastAsia="宋体" w:cs="宋体"/>
                <w:color w:val="auto"/>
                <w:kern w:val="0"/>
                <w:sz w:val="24"/>
                <w:szCs w:val="24"/>
                <w:shd w:val="clear" w:color="auto" w:fill="FFFFFF"/>
                <w:lang w:val="en-US" w:eastAsia="zh-CN"/>
              </w:rPr>
              <w:t>3</w:t>
            </w:r>
          </w:p>
        </w:tc>
        <w:tc>
          <w:tcPr>
            <w:tcW w:w="3486" w:type="dxa"/>
            <w:vAlign w:val="center"/>
          </w:tcPr>
          <w:p w14:paraId="51388D30">
            <w:pPr>
              <w:keepNext w:val="0"/>
              <w:keepLines w:val="0"/>
              <w:pageBreakBefore w:val="0"/>
              <w:widowControl/>
              <w:kinsoku w:val="0"/>
              <w:wordWrap/>
              <w:overflowPunct/>
              <w:topLinePunct w:val="0"/>
              <w:autoSpaceDE w:val="0"/>
              <w:autoSpaceDN w:val="0"/>
              <w:bidi w:val="0"/>
              <w:adjustRightInd w:val="0"/>
              <w:snapToGrid w:val="0"/>
              <w:spacing w:line="336" w:lineRule="auto"/>
              <w:jc w:val="center"/>
              <w:textAlignment w:val="baseline"/>
              <w:rPr>
                <w:rFonts w:hint="eastAsia" w:ascii="宋体" w:hAnsi="宋体" w:eastAsia="宋体" w:cs="宋体"/>
                <w:color w:val="auto"/>
                <w:kern w:val="0"/>
                <w:sz w:val="24"/>
                <w:szCs w:val="24"/>
                <w:shd w:val="clear" w:color="auto" w:fill="FFFFFF"/>
              </w:rPr>
            </w:pPr>
            <w:r>
              <w:rPr>
                <w:rFonts w:hint="eastAsia" w:ascii="宋体" w:hAnsi="宋体" w:eastAsia="宋体" w:cs="宋体"/>
                <w:color w:val="auto"/>
                <w:kern w:val="0"/>
                <w:sz w:val="24"/>
                <w:szCs w:val="24"/>
                <w:shd w:val="clear" w:color="auto" w:fill="FFFFFF"/>
              </w:rPr>
              <w:t>社会信用修复服务</w:t>
            </w:r>
            <w:r>
              <w:rPr>
                <w:rFonts w:hint="eastAsia" w:ascii="宋体" w:hAnsi="宋体" w:eastAsia="宋体" w:cs="宋体"/>
                <w:color w:val="auto"/>
                <w:kern w:val="0"/>
                <w:sz w:val="24"/>
                <w:szCs w:val="24"/>
                <w:shd w:val="clear" w:color="auto" w:fill="FFFFFF"/>
                <w:lang w:val="en-US" w:eastAsia="zh-CN"/>
              </w:rPr>
              <w:t>岗</w:t>
            </w:r>
          </w:p>
        </w:tc>
        <w:tc>
          <w:tcPr>
            <w:tcW w:w="1324" w:type="dxa"/>
            <w:vAlign w:val="center"/>
          </w:tcPr>
          <w:p w14:paraId="5F1EC94E">
            <w:pPr>
              <w:keepNext w:val="0"/>
              <w:keepLines w:val="0"/>
              <w:pageBreakBefore w:val="0"/>
              <w:widowControl/>
              <w:kinsoku w:val="0"/>
              <w:wordWrap/>
              <w:overflowPunct/>
              <w:topLinePunct w:val="0"/>
              <w:autoSpaceDE w:val="0"/>
              <w:autoSpaceDN w:val="0"/>
              <w:bidi w:val="0"/>
              <w:adjustRightInd w:val="0"/>
              <w:snapToGrid w:val="0"/>
              <w:spacing w:line="336" w:lineRule="auto"/>
              <w:jc w:val="center"/>
              <w:textAlignment w:val="baseline"/>
              <w:rPr>
                <w:rFonts w:hint="eastAsia" w:ascii="宋体" w:hAnsi="宋体" w:eastAsia="宋体" w:cs="宋体"/>
                <w:color w:val="auto"/>
                <w:kern w:val="0"/>
                <w:sz w:val="24"/>
                <w:szCs w:val="24"/>
                <w:shd w:val="clear" w:color="auto" w:fill="FFFFFF"/>
              </w:rPr>
            </w:pPr>
            <w:r>
              <w:rPr>
                <w:rFonts w:hint="eastAsia" w:ascii="宋体" w:hAnsi="宋体" w:eastAsia="宋体" w:cs="宋体"/>
                <w:color w:val="auto"/>
                <w:kern w:val="0"/>
                <w:sz w:val="24"/>
                <w:szCs w:val="24"/>
                <w:shd w:val="clear" w:color="auto" w:fill="FFFFFF"/>
                <w:lang w:val="en-US" w:eastAsia="zh-CN"/>
              </w:rPr>
              <w:t>1</w:t>
            </w:r>
          </w:p>
        </w:tc>
        <w:tc>
          <w:tcPr>
            <w:tcW w:w="1028" w:type="dxa"/>
            <w:vAlign w:val="center"/>
          </w:tcPr>
          <w:p w14:paraId="29B226D6">
            <w:pPr>
              <w:keepNext w:val="0"/>
              <w:keepLines w:val="0"/>
              <w:pageBreakBefore w:val="0"/>
              <w:widowControl/>
              <w:kinsoku w:val="0"/>
              <w:wordWrap/>
              <w:overflowPunct/>
              <w:topLinePunct w:val="0"/>
              <w:autoSpaceDE w:val="0"/>
              <w:autoSpaceDN w:val="0"/>
              <w:bidi w:val="0"/>
              <w:adjustRightInd w:val="0"/>
              <w:snapToGrid w:val="0"/>
              <w:spacing w:line="336" w:lineRule="auto"/>
              <w:jc w:val="center"/>
              <w:textAlignment w:val="baseline"/>
              <w:rPr>
                <w:rFonts w:hint="eastAsia" w:ascii="宋体" w:hAnsi="宋体" w:eastAsia="宋体" w:cs="宋体"/>
                <w:color w:val="auto"/>
                <w:kern w:val="0"/>
                <w:sz w:val="24"/>
                <w:szCs w:val="24"/>
                <w:shd w:val="clear" w:color="auto" w:fill="FFFFFF"/>
                <w:lang w:val="en-US" w:eastAsia="zh-CN"/>
              </w:rPr>
            </w:pPr>
            <w:r>
              <w:rPr>
                <w:rFonts w:hint="eastAsia" w:ascii="宋体" w:hAnsi="宋体" w:eastAsia="宋体" w:cs="宋体"/>
                <w:color w:val="auto"/>
                <w:kern w:val="0"/>
                <w:sz w:val="24"/>
                <w:szCs w:val="24"/>
                <w:shd w:val="clear" w:color="auto" w:fill="FFFFFF"/>
                <w:lang w:val="en-US" w:eastAsia="zh-CN"/>
              </w:rPr>
              <w:t>个</w:t>
            </w:r>
          </w:p>
        </w:tc>
        <w:tc>
          <w:tcPr>
            <w:tcW w:w="1876" w:type="dxa"/>
            <w:vMerge w:val="continue"/>
            <w:vAlign w:val="center"/>
          </w:tcPr>
          <w:p w14:paraId="4E1FFA99">
            <w:pPr>
              <w:keepNext w:val="0"/>
              <w:keepLines w:val="0"/>
              <w:pageBreakBefore w:val="0"/>
              <w:widowControl/>
              <w:kinsoku w:val="0"/>
              <w:wordWrap/>
              <w:overflowPunct/>
              <w:topLinePunct w:val="0"/>
              <w:autoSpaceDE w:val="0"/>
              <w:autoSpaceDN w:val="0"/>
              <w:bidi w:val="0"/>
              <w:adjustRightInd w:val="0"/>
              <w:snapToGrid w:val="0"/>
              <w:spacing w:line="336" w:lineRule="auto"/>
              <w:jc w:val="center"/>
              <w:textAlignment w:val="baseline"/>
              <w:rPr>
                <w:rFonts w:hint="eastAsia" w:ascii="宋体" w:hAnsi="宋体" w:eastAsia="宋体" w:cs="宋体"/>
                <w:color w:val="auto"/>
                <w:kern w:val="0"/>
                <w:sz w:val="24"/>
                <w:szCs w:val="24"/>
                <w:shd w:val="clear" w:color="auto" w:fill="FFFFFF"/>
              </w:rPr>
            </w:pPr>
          </w:p>
        </w:tc>
      </w:tr>
      <w:tr w14:paraId="2A717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78" w:type="dxa"/>
            <w:vAlign w:val="center"/>
          </w:tcPr>
          <w:p w14:paraId="4552E707">
            <w:pPr>
              <w:spacing w:line="360" w:lineRule="auto"/>
              <w:jc w:val="center"/>
              <w:rPr>
                <w:rFonts w:hint="eastAsia" w:ascii="宋体" w:hAnsi="宋体" w:eastAsia="宋体" w:cs="宋体"/>
                <w:color w:val="auto"/>
                <w:kern w:val="0"/>
                <w:sz w:val="24"/>
                <w:szCs w:val="24"/>
                <w:shd w:val="clear" w:color="auto" w:fill="FFFFFF"/>
                <w:lang w:val="en-US" w:eastAsia="zh-CN"/>
              </w:rPr>
            </w:pPr>
            <w:r>
              <w:rPr>
                <w:rFonts w:hint="eastAsia" w:ascii="宋体" w:hAnsi="宋体" w:eastAsia="宋体" w:cs="宋体"/>
                <w:color w:val="auto"/>
                <w:kern w:val="0"/>
                <w:sz w:val="24"/>
                <w:szCs w:val="24"/>
                <w:shd w:val="clear" w:color="auto" w:fill="FFFFFF"/>
                <w:lang w:val="en-US" w:eastAsia="zh-CN"/>
              </w:rPr>
              <w:t>4</w:t>
            </w:r>
          </w:p>
        </w:tc>
        <w:tc>
          <w:tcPr>
            <w:tcW w:w="3486" w:type="dxa"/>
            <w:vAlign w:val="center"/>
          </w:tcPr>
          <w:p w14:paraId="7E50A14B">
            <w:pPr>
              <w:keepNext w:val="0"/>
              <w:keepLines w:val="0"/>
              <w:pageBreakBefore w:val="0"/>
              <w:widowControl/>
              <w:kinsoku w:val="0"/>
              <w:wordWrap/>
              <w:overflowPunct/>
              <w:topLinePunct w:val="0"/>
              <w:autoSpaceDE w:val="0"/>
              <w:autoSpaceDN w:val="0"/>
              <w:bidi w:val="0"/>
              <w:adjustRightInd w:val="0"/>
              <w:snapToGrid w:val="0"/>
              <w:spacing w:line="336" w:lineRule="auto"/>
              <w:jc w:val="center"/>
              <w:textAlignment w:val="baseline"/>
              <w:rPr>
                <w:rFonts w:hint="default" w:ascii="宋体" w:hAnsi="宋体" w:eastAsia="宋体" w:cs="宋体"/>
                <w:color w:val="auto"/>
                <w:kern w:val="0"/>
                <w:sz w:val="24"/>
                <w:szCs w:val="24"/>
                <w:shd w:val="clear" w:color="auto" w:fill="FFFFFF"/>
                <w:lang w:val="en-US" w:eastAsia="zh-CN"/>
              </w:rPr>
            </w:pPr>
            <w:r>
              <w:rPr>
                <w:rFonts w:hint="eastAsia" w:ascii="宋体" w:hAnsi="宋体" w:eastAsia="宋体" w:cs="宋体"/>
                <w:color w:val="auto"/>
                <w:kern w:val="0"/>
                <w:sz w:val="24"/>
                <w:szCs w:val="24"/>
                <w:shd w:val="clear" w:color="auto" w:fill="FFFFFF"/>
                <w:lang w:eastAsia="zh-CN"/>
              </w:rPr>
              <w:t>数据统计服务</w:t>
            </w:r>
            <w:r>
              <w:rPr>
                <w:rFonts w:hint="eastAsia" w:ascii="宋体" w:hAnsi="宋体" w:eastAsia="宋体" w:cs="宋体"/>
                <w:color w:val="auto"/>
                <w:kern w:val="0"/>
                <w:sz w:val="24"/>
                <w:szCs w:val="24"/>
                <w:shd w:val="clear" w:color="auto" w:fill="FFFFFF"/>
                <w:lang w:val="en-US" w:eastAsia="zh-CN"/>
              </w:rPr>
              <w:t>岗</w:t>
            </w:r>
          </w:p>
        </w:tc>
        <w:tc>
          <w:tcPr>
            <w:tcW w:w="1324" w:type="dxa"/>
            <w:vAlign w:val="center"/>
          </w:tcPr>
          <w:p w14:paraId="646E046E">
            <w:pPr>
              <w:keepNext w:val="0"/>
              <w:keepLines w:val="0"/>
              <w:pageBreakBefore w:val="0"/>
              <w:widowControl/>
              <w:kinsoku w:val="0"/>
              <w:wordWrap/>
              <w:overflowPunct/>
              <w:topLinePunct w:val="0"/>
              <w:autoSpaceDE w:val="0"/>
              <w:autoSpaceDN w:val="0"/>
              <w:bidi w:val="0"/>
              <w:adjustRightInd w:val="0"/>
              <w:snapToGrid w:val="0"/>
              <w:spacing w:line="336" w:lineRule="auto"/>
              <w:jc w:val="center"/>
              <w:textAlignment w:val="baseline"/>
              <w:rPr>
                <w:rFonts w:hint="eastAsia" w:ascii="宋体" w:hAnsi="宋体" w:eastAsia="宋体" w:cs="宋体"/>
                <w:color w:val="auto"/>
                <w:kern w:val="0"/>
                <w:sz w:val="24"/>
                <w:szCs w:val="24"/>
                <w:shd w:val="clear" w:color="auto" w:fill="FFFFFF"/>
              </w:rPr>
            </w:pPr>
            <w:r>
              <w:rPr>
                <w:rFonts w:hint="eastAsia" w:ascii="宋体" w:hAnsi="宋体" w:eastAsia="宋体" w:cs="宋体"/>
                <w:color w:val="auto"/>
                <w:kern w:val="0"/>
                <w:sz w:val="24"/>
                <w:szCs w:val="24"/>
                <w:shd w:val="clear" w:color="auto" w:fill="FFFFFF"/>
                <w:lang w:val="en-US" w:eastAsia="zh-CN"/>
              </w:rPr>
              <w:t>1</w:t>
            </w:r>
          </w:p>
        </w:tc>
        <w:tc>
          <w:tcPr>
            <w:tcW w:w="1028" w:type="dxa"/>
            <w:vAlign w:val="center"/>
          </w:tcPr>
          <w:p w14:paraId="7FF75729">
            <w:pPr>
              <w:keepNext w:val="0"/>
              <w:keepLines w:val="0"/>
              <w:pageBreakBefore w:val="0"/>
              <w:widowControl/>
              <w:kinsoku w:val="0"/>
              <w:wordWrap/>
              <w:overflowPunct/>
              <w:topLinePunct w:val="0"/>
              <w:autoSpaceDE w:val="0"/>
              <w:autoSpaceDN w:val="0"/>
              <w:bidi w:val="0"/>
              <w:adjustRightInd w:val="0"/>
              <w:snapToGrid w:val="0"/>
              <w:spacing w:line="336" w:lineRule="auto"/>
              <w:jc w:val="center"/>
              <w:textAlignment w:val="baseline"/>
              <w:rPr>
                <w:rFonts w:hint="eastAsia" w:ascii="宋体" w:hAnsi="宋体" w:eastAsia="宋体" w:cs="宋体"/>
                <w:color w:val="auto"/>
                <w:kern w:val="0"/>
                <w:sz w:val="24"/>
                <w:szCs w:val="24"/>
                <w:shd w:val="clear" w:color="auto" w:fill="FFFFFF"/>
                <w:lang w:val="en-US" w:eastAsia="zh-CN"/>
              </w:rPr>
            </w:pPr>
            <w:r>
              <w:rPr>
                <w:rFonts w:hint="eastAsia" w:ascii="宋体" w:hAnsi="宋体" w:eastAsia="宋体" w:cs="宋体"/>
                <w:color w:val="auto"/>
                <w:kern w:val="0"/>
                <w:sz w:val="24"/>
                <w:szCs w:val="24"/>
                <w:shd w:val="clear" w:color="auto" w:fill="FFFFFF"/>
                <w:lang w:val="en-US" w:eastAsia="zh-CN"/>
              </w:rPr>
              <w:t>个</w:t>
            </w:r>
          </w:p>
        </w:tc>
        <w:tc>
          <w:tcPr>
            <w:tcW w:w="1876" w:type="dxa"/>
            <w:vMerge w:val="continue"/>
            <w:vAlign w:val="center"/>
          </w:tcPr>
          <w:p w14:paraId="68014584">
            <w:pPr>
              <w:keepNext w:val="0"/>
              <w:keepLines w:val="0"/>
              <w:pageBreakBefore w:val="0"/>
              <w:widowControl/>
              <w:kinsoku w:val="0"/>
              <w:wordWrap/>
              <w:overflowPunct/>
              <w:topLinePunct w:val="0"/>
              <w:autoSpaceDE w:val="0"/>
              <w:autoSpaceDN w:val="0"/>
              <w:bidi w:val="0"/>
              <w:adjustRightInd w:val="0"/>
              <w:snapToGrid w:val="0"/>
              <w:spacing w:line="336" w:lineRule="auto"/>
              <w:jc w:val="center"/>
              <w:textAlignment w:val="baseline"/>
              <w:rPr>
                <w:rFonts w:hint="eastAsia" w:ascii="宋体" w:hAnsi="宋体" w:eastAsia="宋体" w:cs="宋体"/>
                <w:color w:val="auto"/>
                <w:kern w:val="0"/>
                <w:sz w:val="24"/>
                <w:szCs w:val="24"/>
                <w:shd w:val="clear" w:color="auto" w:fill="FFFFFF"/>
                <w:lang w:eastAsia="zh-CN"/>
              </w:rPr>
            </w:pPr>
          </w:p>
        </w:tc>
      </w:tr>
      <w:tr w14:paraId="285BA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78" w:type="dxa"/>
            <w:vAlign w:val="center"/>
          </w:tcPr>
          <w:p w14:paraId="490BFD2A">
            <w:pPr>
              <w:spacing w:line="360" w:lineRule="auto"/>
              <w:jc w:val="center"/>
              <w:rPr>
                <w:rFonts w:hint="eastAsia" w:ascii="宋体" w:hAnsi="宋体" w:eastAsia="宋体" w:cs="宋体"/>
                <w:color w:val="auto"/>
                <w:kern w:val="0"/>
                <w:sz w:val="24"/>
                <w:szCs w:val="24"/>
                <w:shd w:val="clear" w:color="auto" w:fill="FFFFFF"/>
                <w:lang w:val="en-US" w:eastAsia="zh-CN"/>
              </w:rPr>
            </w:pPr>
            <w:r>
              <w:rPr>
                <w:rFonts w:hint="eastAsia" w:ascii="宋体" w:hAnsi="宋体" w:eastAsia="宋体" w:cs="宋体"/>
                <w:color w:val="auto"/>
                <w:kern w:val="0"/>
                <w:sz w:val="24"/>
                <w:szCs w:val="24"/>
                <w:shd w:val="clear" w:color="auto" w:fill="FFFFFF"/>
                <w:lang w:val="en-US" w:eastAsia="zh-CN"/>
              </w:rPr>
              <w:t>5</w:t>
            </w:r>
          </w:p>
        </w:tc>
        <w:tc>
          <w:tcPr>
            <w:tcW w:w="3486" w:type="dxa"/>
            <w:vAlign w:val="center"/>
          </w:tcPr>
          <w:p w14:paraId="29C84BEF">
            <w:pPr>
              <w:keepNext w:val="0"/>
              <w:keepLines w:val="0"/>
              <w:pageBreakBefore w:val="0"/>
              <w:widowControl/>
              <w:kinsoku w:val="0"/>
              <w:wordWrap/>
              <w:overflowPunct/>
              <w:topLinePunct w:val="0"/>
              <w:autoSpaceDE w:val="0"/>
              <w:autoSpaceDN w:val="0"/>
              <w:bidi w:val="0"/>
              <w:adjustRightInd w:val="0"/>
              <w:snapToGrid w:val="0"/>
              <w:spacing w:line="336" w:lineRule="auto"/>
              <w:jc w:val="center"/>
              <w:textAlignment w:val="baseline"/>
              <w:rPr>
                <w:rFonts w:hint="eastAsia" w:ascii="宋体" w:hAnsi="宋体" w:eastAsia="宋体" w:cs="宋体"/>
                <w:color w:val="auto"/>
                <w:kern w:val="0"/>
                <w:sz w:val="24"/>
                <w:szCs w:val="24"/>
                <w:shd w:val="clear" w:color="auto" w:fill="FFFFFF"/>
                <w:lang w:val="en-US" w:eastAsia="zh-CN"/>
              </w:rPr>
            </w:pPr>
            <w:r>
              <w:rPr>
                <w:rFonts w:hint="eastAsia" w:ascii="宋体" w:hAnsi="宋体" w:eastAsia="宋体" w:cs="宋体"/>
                <w:color w:val="auto"/>
                <w:kern w:val="0"/>
                <w:sz w:val="24"/>
                <w:szCs w:val="24"/>
                <w:shd w:val="clear" w:color="auto" w:fill="FFFFFF"/>
              </w:rPr>
              <w:t>12345热线办理促进与投诉受理服务</w:t>
            </w:r>
            <w:r>
              <w:rPr>
                <w:rFonts w:hint="eastAsia" w:ascii="宋体" w:hAnsi="宋体" w:eastAsia="宋体" w:cs="宋体"/>
                <w:color w:val="auto"/>
                <w:kern w:val="0"/>
                <w:sz w:val="24"/>
                <w:szCs w:val="24"/>
                <w:shd w:val="clear" w:color="auto" w:fill="FFFFFF"/>
                <w:lang w:val="en-US" w:eastAsia="zh-CN"/>
              </w:rPr>
              <w:t>岗</w:t>
            </w:r>
          </w:p>
        </w:tc>
        <w:tc>
          <w:tcPr>
            <w:tcW w:w="1324" w:type="dxa"/>
            <w:vAlign w:val="center"/>
          </w:tcPr>
          <w:p w14:paraId="7B0475FA">
            <w:pPr>
              <w:keepNext w:val="0"/>
              <w:keepLines w:val="0"/>
              <w:pageBreakBefore w:val="0"/>
              <w:widowControl/>
              <w:kinsoku w:val="0"/>
              <w:wordWrap/>
              <w:overflowPunct/>
              <w:topLinePunct w:val="0"/>
              <w:autoSpaceDE w:val="0"/>
              <w:autoSpaceDN w:val="0"/>
              <w:bidi w:val="0"/>
              <w:adjustRightInd w:val="0"/>
              <w:snapToGrid w:val="0"/>
              <w:spacing w:line="336" w:lineRule="auto"/>
              <w:jc w:val="center"/>
              <w:textAlignment w:val="baseline"/>
              <w:rPr>
                <w:rFonts w:hint="eastAsia" w:ascii="宋体" w:hAnsi="宋体" w:eastAsia="宋体" w:cs="宋体"/>
                <w:color w:val="auto"/>
                <w:kern w:val="0"/>
                <w:sz w:val="24"/>
                <w:szCs w:val="24"/>
                <w:shd w:val="clear" w:color="auto" w:fill="FFFFFF"/>
              </w:rPr>
            </w:pPr>
            <w:r>
              <w:rPr>
                <w:rFonts w:hint="eastAsia" w:ascii="宋体" w:hAnsi="宋体" w:eastAsia="宋体" w:cs="宋体"/>
                <w:color w:val="auto"/>
                <w:kern w:val="0"/>
                <w:sz w:val="24"/>
                <w:szCs w:val="24"/>
                <w:shd w:val="clear" w:color="auto" w:fill="FFFFFF"/>
                <w:lang w:val="en-US" w:eastAsia="zh-CN"/>
              </w:rPr>
              <w:t>9</w:t>
            </w:r>
          </w:p>
        </w:tc>
        <w:tc>
          <w:tcPr>
            <w:tcW w:w="1028" w:type="dxa"/>
            <w:vAlign w:val="center"/>
          </w:tcPr>
          <w:p w14:paraId="09CDC5B1">
            <w:pPr>
              <w:keepNext w:val="0"/>
              <w:keepLines w:val="0"/>
              <w:pageBreakBefore w:val="0"/>
              <w:widowControl/>
              <w:kinsoku w:val="0"/>
              <w:wordWrap/>
              <w:overflowPunct/>
              <w:topLinePunct w:val="0"/>
              <w:autoSpaceDE w:val="0"/>
              <w:autoSpaceDN w:val="0"/>
              <w:bidi w:val="0"/>
              <w:adjustRightInd w:val="0"/>
              <w:snapToGrid w:val="0"/>
              <w:spacing w:line="336" w:lineRule="auto"/>
              <w:jc w:val="center"/>
              <w:textAlignment w:val="baseline"/>
              <w:rPr>
                <w:rFonts w:hint="eastAsia" w:ascii="宋体" w:hAnsi="宋体" w:eastAsia="宋体" w:cs="宋体"/>
                <w:color w:val="auto"/>
                <w:kern w:val="0"/>
                <w:sz w:val="24"/>
                <w:szCs w:val="24"/>
                <w:shd w:val="clear" w:color="auto" w:fill="FFFFFF"/>
                <w:lang w:val="en-US" w:eastAsia="zh-CN"/>
              </w:rPr>
            </w:pPr>
            <w:r>
              <w:rPr>
                <w:rFonts w:hint="eastAsia" w:ascii="宋体" w:hAnsi="宋体" w:eastAsia="宋体" w:cs="宋体"/>
                <w:color w:val="auto"/>
                <w:kern w:val="0"/>
                <w:sz w:val="24"/>
                <w:szCs w:val="24"/>
                <w:shd w:val="clear" w:color="auto" w:fill="FFFFFF"/>
                <w:lang w:val="en-US" w:eastAsia="zh-CN"/>
              </w:rPr>
              <w:t>个</w:t>
            </w:r>
          </w:p>
        </w:tc>
        <w:tc>
          <w:tcPr>
            <w:tcW w:w="1876" w:type="dxa"/>
            <w:vMerge w:val="continue"/>
            <w:vAlign w:val="center"/>
          </w:tcPr>
          <w:p w14:paraId="4226F3DD">
            <w:pPr>
              <w:keepNext w:val="0"/>
              <w:keepLines w:val="0"/>
              <w:pageBreakBefore w:val="0"/>
              <w:widowControl/>
              <w:kinsoku w:val="0"/>
              <w:wordWrap/>
              <w:overflowPunct/>
              <w:topLinePunct w:val="0"/>
              <w:autoSpaceDE w:val="0"/>
              <w:autoSpaceDN w:val="0"/>
              <w:bidi w:val="0"/>
              <w:adjustRightInd w:val="0"/>
              <w:snapToGrid w:val="0"/>
              <w:spacing w:line="336" w:lineRule="auto"/>
              <w:jc w:val="center"/>
              <w:textAlignment w:val="baseline"/>
              <w:rPr>
                <w:rFonts w:hint="eastAsia" w:ascii="宋体" w:hAnsi="宋体" w:eastAsia="宋体" w:cs="宋体"/>
                <w:color w:val="auto"/>
                <w:kern w:val="0"/>
                <w:sz w:val="24"/>
                <w:szCs w:val="24"/>
                <w:shd w:val="clear" w:color="auto" w:fill="FFFFFF"/>
              </w:rPr>
            </w:pPr>
          </w:p>
        </w:tc>
      </w:tr>
      <w:tr w14:paraId="1450D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78" w:type="dxa"/>
            <w:vAlign w:val="center"/>
          </w:tcPr>
          <w:p w14:paraId="5746BE10">
            <w:pPr>
              <w:spacing w:line="360" w:lineRule="auto"/>
              <w:jc w:val="center"/>
              <w:rPr>
                <w:rFonts w:hint="eastAsia" w:ascii="宋体" w:hAnsi="宋体" w:eastAsia="宋体" w:cs="宋体"/>
                <w:color w:val="auto"/>
                <w:kern w:val="0"/>
                <w:sz w:val="24"/>
                <w:szCs w:val="24"/>
                <w:shd w:val="clear" w:color="auto" w:fill="FFFFFF"/>
                <w:lang w:val="en-US" w:eastAsia="zh-CN"/>
              </w:rPr>
            </w:pPr>
            <w:r>
              <w:rPr>
                <w:rFonts w:hint="eastAsia" w:ascii="宋体" w:hAnsi="宋体" w:eastAsia="宋体" w:cs="宋体"/>
                <w:color w:val="auto"/>
                <w:kern w:val="0"/>
                <w:sz w:val="24"/>
                <w:szCs w:val="24"/>
                <w:shd w:val="clear" w:color="auto" w:fill="FFFFFF"/>
                <w:lang w:val="en-US" w:eastAsia="zh-CN"/>
              </w:rPr>
              <w:t>6</w:t>
            </w:r>
          </w:p>
        </w:tc>
        <w:tc>
          <w:tcPr>
            <w:tcW w:w="3486" w:type="dxa"/>
            <w:vAlign w:val="center"/>
          </w:tcPr>
          <w:p w14:paraId="3C903989">
            <w:pPr>
              <w:keepNext w:val="0"/>
              <w:keepLines w:val="0"/>
              <w:pageBreakBefore w:val="0"/>
              <w:widowControl/>
              <w:kinsoku w:val="0"/>
              <w:wordWrap/>
              <w:overflowPunct/>
              <w:topLinePunct w:val="0"/>
              <w:autoSpaceDE w:val="0"/>
              <w:autoSpaceDN w:val="0"/>
              <w:bidi w:val="0"/>
              <w:adjustRightInd w:val="0"/>
              <w:snapToGrid w:val="0"/>
              <w:spacing w:line="336" w:lineRule="auto"/>
              <w:jc w:val="center"/>
              <w:textAlignment w:val="baseline"/>
              <w:rPr>
                <w:rFonts w:hint="eastAsia" w:ascii="宋体" w:hAnsi="宋体" w:eastAsia="宋体" w:cs="宋体"/>
                <w:color w:val="auto"/>
                <w:kern w:val="0"/>
                <w:sz w:val="24"/>
                <w:szCs w:val="24"/>
                <w:shd w:val="clear" w:color="auto" w:fill="FFFFFF"/>
                <w:lang w:val="en-US" w:eastAsia="zh-CN"/>
              </w:rPr>
            </w:pPr>
            <w:r>
              <w:rPr>
                <w:rFonts w:hint="eastAsia" w:ascii="宋体" w:hAnsi="宋体" w:eastAsia="宋体" w:cs="宋体"/>
                <w:color w:val="auto"/>
                <w:kern w:val="0"/>
                <w:sz w:val="24"/>
                <w:szCs w:val="24"/>
                <w:shd w:val="clear" w:color="auto" w:fill="FFFFFF"/>
              </w:rPr>
              <w:t>信息化建设和辅助服务</w:t>
            </w:r>
            <w:r>
              <w:rPr>
                <w:rFonts w:hint="eastAsia" w:ascii="宋体" w:hAnsi="宋体" w:eastAsia="宋体" w:cs="宋体"/>
                <w:color w:val="auto"/>
                <w:kern w:val="0"/>
                <w:sz w:val="24"/>
                <w:szCs w:val="24"/>
                <w:shd w:val="clear" w:color="auto" w:fill="FFFFFF"/>
                <w:lang w:val="en-US" w:eastAsia="zh-CN"/>
              </w:rPr>
              <w:t>岗</w:t>
            </w:r>
          </w:p>
        </w:tc>
        <w:tc>
          <w:tcPr>
            <w:tcW w:w="1324" w:type="dxa"/>
            <w:vAlign w:val="center"/>
          </w:tcPr>
          <w:p w14:paraId="2B9FDD42">
            <w:pPr>
              <w:keepNext w:val="0"/>
              <w:keepLines w:val="0"/>
              <w:pageBreakBefore w:val="0"/>
              <w:widowControl/>
              <w:kinsoku w:val="0"/>
              <w:wordWrap/>
              <w:overflowPunct/>
              <w:topLinePunct w:val="0"/>
              <w:autoSpaceDE w:val="0"/>
              <w:autoSpaceDN w:val="0"/>
              <w:bidi w:val="0"/>
              <w:adjustRightInd w:val="0"/>
              <w:snapToGrid w:val="0"/>
              <w:spacing w:line="336" w:lineRule="auto"/>
              <w:jc w:val="center"/>
              <w:textAlignment w:val="baseline"/>
              <w:rPr>
                <w:rFonts w:hint="eastAsia" w:ascii="宋体" w:hAnsi="宋体" w:eastAsia="宋体" w:cs="宋体"/>
                <w:color w:val="auto"/>
                <w:kern w:val="0"/>
                <w:sz w:val="24"/>
                <w:szCs w:val="24"/>
                <w:shd w:val="clear" w:color="auto" w:fill="FFFFFF"/>
              </w:rPr>
            </w:pPr>
            <w:r>
              <w:rPr>
                <w:rFonts w:hint="eastAsia" w:ascii="宋体" w:hAnsi="宋体" w:eastAsia="宋体" w:cs="宋体"/>
                <w:color w:val="auto"/>
                <w:kern w:val="0"/>
                <w:sz w:val="24"/>
                <w:szCs w:val="24"/>
                <w:shd w:val="clear" w:color="auto" w:fill="FFFFFF"/>
                <w:lang w:val="en-US" w:eastAsia="zh-CN"/>
              </w:rPr>
              <w:t>1</w:t>
            </w:r>
          </w:p>
        </w:tc>
        <w:tc>
          <w:tcPr>
            <w:tcW w:w="1028" w:type="dxa"/>
            <w:vAlign w:val="center"/>
          </w:tcPr>
          <w:p w14:paraId="123E7002">
            <w:pPr>
              <w:keepNext w:val="0"/>
              <w:keepLines w:val="0"/>
              <w:pageBreakBefore w:val="0"/>
              <w:widowControl/>
              <w:kinsoku w:val="0"/>
              <w:wordWrap/>
              <w:overflowPunct/>
              <w:topLinePunct w:val="0"/>
              <w:autoSpaceDE w:val="0"/>
              <w:autoSpaceDN w:val="0"/>
              <w:bidi w:val="0"/>
              <w:adjustRightInd w:val="0"/>
              <w:snapToGrid w:val="0"/>
              <w:spacing w:line="336" w:lineRule="auto"/>
              <w:jc w:val="center"/>
              <w:textAlignment w:val="baseline"/>
              <w:rPr>
                <w:rFonts w:hint="eastAsia" w:ascii="宋体" w:hAnsi="宋体" w:eastAsia="宋体" w:cs="宋体"/>
                <w:color w:val="auto"/>
                <w:kern w:val="0"/>
                <w:sz w:val="24"/>
                <w:szCs w:val="24"/>
                <w:shd w:val="clear" w:color="auto" w:fill="FFFFFF"/>
                <w:lang w:val="en-US" w:eastAsia="zh-CN"/>
              </w:rPr>
            </w:pPr>
            <w:r>
              <w:rPr>
                <w:rFonts w:hint="eastAsia" w:ascii="宋体" w:hAnsi="宋体" w:eastAsia="宋体" w:cs="宋体"/>
                <w:color w:val="auto"/>
                <w:kern w:val="0"/>
                <w:sz w:val="24"/>
                <w:szCs w:val="24"/>
                <w:shd w:val="clear" w:color="auto" w:fill="FFFFFF"/>
                <w:lang w:val="en-US" w:eastAsia="zh-CN"/>
              </w:rPr>
              <w:t>个</w:t>
            </w:r>
          </w:p>
        </w:tc>
        <w:tc>
          <w:tcPr>
            <w:tcW w:w="1876" w:type="dxa"/>
            <w:vMerge w:val="continue"/>
            <w:vAlign w:val="center"/>
          </w:tcPr>
          <w:p w14:paraId="105C0E36">
            <w:pPr>
              <w:keepNext w:val="0"/>
              <w:keepLines w:val="0"/>
              <w:pageBreakBefore w:val="0"/>
              <w:widowControl/>
              <w:kinsoku w:val="0"/>
              <w:wordWrap/>
              <w:overflowPunct/>
              <w:topLinePunct w:val="0"/>
              <w:autoSpaceDE w:val="0"/>
              <w:autoSpaceDN w:val="0"/>
              <w:bidi w:val="0"/>
              <w:adjustRightInd w:val="0"/>
              <w:snapToGrid w:val="0"/>
              <w:spacing w:line="336" w:lineRule="auto"/>
              <w:jc w:val="center"/>
              <w:textAlignment w:val="baseline"/>
              <w:rPr>
                <w:rFonts w:hint="eastAsia" w:ascii="宋体" w:hAnsi="宋体" w:eastAsia="宋体" w:cs="宋体"/>
                <w:color w:val="auto"/>
                <w:kern w:val="0"/>
                <w:sz w:val="24"/>
                <w:szCs w:val="24"/>
                <w:shd w:val="clear" w:color="auto" w:fill="FFFFFF"/>
              </w:rPr>
            </w:pPr>
          </w:p>
        </w:tc>
      </w:tr>
      <w:tr w14:paraId="13E64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78" w:type="dxa"/>
            <w:vAlign w:val="center"/>
          </w:tcPr>
          <w:p w14:paraId="45EE906B">
            <w:pPr>
              <w:spacing w:line="360" w:lineRule="auto"/>
              <w:jc w:val="center"/>
              <w:rPr>
                <w:rFonts w:hint="default" w:ascii="宋体" w:hAnsi="宋体" w:eastAsia="宋体" w:cs="宋体"/>
                <w:color w:val="auto"/>
                <w:kern w:val="0"/>
                <w:sz w:val="24"/>
                <w:szCs w:val="24"/>
                <w:shd w:val="clear" w:color="auto" w:fill="FFFFFF"/>
                <w:lang w:val="en-US" w:eastAsia="zh-CN"/>
              </w:rPr>
            </w:pPr>
            <w:r>
              <w:rPr>
                <w:rFonts w:hint="eastAsia" w:ascii="宋体" w:hAnsi="宋体" w:eastAsia="宋体" w:cs="宋体"/>
                <w:color w:val="auto"/>
                <w:kern w:val="0"/>
                <w:sz w:val="24"/>
                <w:szCs w:val="24"/>
                <w:shd w:val="clear" w:color="auto" w:fill="FFFFFF"/>
                <w:lang w:val="en-US" w:eastAsia="zh-CN"/>
              </w:rPr>
              <w:t>7</w:t>
            </w:r>
          </w:p>
        </w:tc>
        <w:tc>
          <w:tcPr>
            <w:tcW w:w="3486" w:type="dxa"/>
            <w:vAlign w:val="center"/>
          </w:tcPr>
          <w:p w14:paraId="698A36EA">
            <w:pPr>
              <w:keepNext w:val="0"/>
              <w:keepLines w:val="0"/>
              <w:pageBreakBefore w:val="0"/>
              <w:widowControl/>
              <w:kinsoku w:val="0"/>
              <w:wordWrap/>
              <w:overflowPunct/>
              <w:topLinePunct w:val="0"/>
              <w:autoSpaceDE w:val="0"/>
              <w:autoSpaceDN w:val="0"/>
              <w:bidi w:val="0"/>
              <w:adjustRightInd w:val="0"/>
              <w:snapToGrid w:val="0"/>
              <w:spacing w:line="336" w:lineRule="auto"/>
              <w:jc w:val="center"/>
              <w:textAlignment w:val="baseline"/>
              <w:rPr>
                <w:rFonts w:hint="default" w:ascii="宋体" w:hAnsi="宋体" w:eastAsia="宋体" w:cs="宋体"/>
                <w:color w:val="auto"/>
                <w:kern w:val="0"/>
                <w:sz w:val="24"/>
                <w:szCs w:val="24"/>
                <w:shd w:val="clear" w:color="auto" w:fill="FFFFFF"/>
                <w:lang w:val="en-US" w:eastAsia="zh-CN"/>
              </w:rPr>
            </w:pPr>
            <w:r>
              <w:rPr>
                <w:rFonts w:hint="eastAsia" w:ascii="宋体" w:hAnsi="宋体" w:eastAsia="宋体" w:cs="宋体"/>
                <w:color w:val="auto"/>
                <w:kern w:val="0"/>
                <w:sz w:val="24"/>
                <w:szCs w:val="24"/>
                <w:shd w:val="clear" w:color="auto" w:fill="FFFFFF"/>
                <w:lang w:val="en-US" w:eastAsia="zh-CN"/>
              </w:rPr>
              <w:t>其他岗</w:t>
            </w:r>
          </w:p>
        </w:tc>
        <w:tc>
          <w:tcPr>
            <w:tcW w:w="1324" w:type="dxa"/>
            <w:vAlign w:val="center"/>
          </w:tcPr>
          <w:p w14:paraId="150CC86C">
            <w:pPr>
              <w:keepNext w:val="0"/>
              <w:keepLines w:val="0"/>
              <w:pageBreakBefore w:val="0"/>
              <w:widowControl/>
              <w:kinsoku w:val="0"/>
              <w:wordWrap/>
              <w:overflowPunct/>
              <w:topLinePunct w:val="0"/>
              <w:autoSpaceDE w:val="0"/>
              <w:autoSpaceDN w:val="0"/>
              <w:bidi w:val="0"/>
              <w:adjustRightInd w:val="0"/>
              <w:snapToGrid w:val="0"/>
              <w:spacing w:line="336" w:lineRule="auto"/>
              <w:jc w:val="center"/>
              <w:textAlignment w:val="baseline"/>
              <w:rPr>
                <w:rFonts w:hint="eastAsia" w:ascii="宋体" w:hAnsi="宋体" w:eastAsia="宋体" w:cs="宋体"/>
                <w:color w:val="auto"/>
                <w:kern w:val="0"/>
                <w:sz w:val="24"/>
                <w:szCs w:val="24"/>
                <w:shd w:val="clear" w:color="auto" w:fill="FFFFFF"/>
              </w:rPr>
            </w:pPr>
            <w:r>
              <w:rPr>
                <w:rFonts w:hint="eastAsia" w:ascii="宋体" w:hAnsi="宋体" w:eastAsia="宋体" w:cs="宋体"/>
                <w:color w:val="auto"/>
                <w:kern w:val="0"/>
                <w:sz w:val="24"/>
                <w:szCs w:val="24"/>
                <w:shd w:val="clear" w:color="auto" w:fill="FFFFFF"/>
                <w:lang w:val="en-US" w:eastAsia="zh-CN"/>
              </w:rPr>
              <w:t>1</w:t>
            </w:r>
          </w:p>
        </w:tc>
        <w:tc>
          <w:tcPr>
            <w:tcW w:w="1028" w:type="dxa"/>
            <w:vAlign w:val="center"/>
          </w:tcPr>
          <w:p w14:paraId="3DCB0532">
            <w:pPr>
              <w:keepNext w:val="0"/>
              <w:keepLines w:val="0"/>
              <w:pageBreakBefore w:val="0"/>
              <w:widowControl/>
              <w:kinsoku w:val="0"/>
              <w:wordWrap/>
              <w:overflowPunct/>
              <w:topLinePunct w:val="0"/>
              <w:autoSpaceDE w:val="0"/>
              <w:autoSpaceDN w:val="0"/>
              <w:bidi w:val="0"/>
              <w:adjustRightInd w:val="0"/>
              <w:snapToGrid w:val="0"/>
              <w:spacing w:line="336" w:lineRule="auto"/>
              <w:jc w:val="center"/>
              <w:textAlignment w:val="baseline"/>
              <w:rPr>
                <w:rFonts w:hint="eastAsia" w:ascii="宋体" w:hAnsi="宋体" w:eastAsia="宋体" w:cs="宋体"/>
                <w:color w:val="auto"/>
                <w:kern w:val="0"/>
                <w:sz w:val="24"/>
                <w:szCs w:val="24"/>
                <w:shd w:val="clear" w:color="auto" w:fill="FFFFFF"/>
                <w:lang w:val="en-US" w:eastAsia="zh-CN"/>
              </w:rPr>
            </w:pPr>
            <w:r>
              <w:rPr>
                <w:rFonts w:hint="eastAsia" w:ascii="宋体" w:hAnsi="宋体" w:eastAsia="宋体" w:cs="宋体"/>
                <w:color w:val="auto"/>
                <w:kern w:val="0"/>
                <w:sz w:val="24"/>
                <w:szCs w:val="24"/>
                <w:shd w:val="clear" w:color="auto" w:fill="FFFFFF"/>
                <w:lang w:val="en-US" w:eastAsia="zh-CN"/>
              </w:rPr>
              <w:t>个</w:t>
            </w:r>
          </w:p>
        </w:tc>
        <w:tc>
          <w:tcPr>
            <w:tcW w:w="1876" w:type="dxa"/>
            <w:vMerge w:val="continue"/>
            <w:vAlign w:val="center"/>
          </w:tcPr>
          <w:p w14:paraId="0A1EC624">
            <w:pPr>
              <w:keepNext w:val="0"/>
              <w:keepLines w:val="0"/>
              <w:pageBreakBefore w:val="0"/>
              <w:widowControl/>
              <w:kinsoku w:val="0"/>
              <w:wordWrap/>
              <w:overflowPunct/>
              <w:topLinePunct w:val="0"/>
              <w:autoSpaceDE w:val="0"/>
              <w:autoSpaceDN w:val="0"/>
              <w:bidi w:val="0"/>
              <w:adjustRightInd w:val="0"/>
              <w:snapToGrid w:val="0"/>
              <w:spacing w:line="336" w:lineRule="auto"/>
              <w:jc w:val="center"/>
              <w:textAlignment w:val="baseline"/>
              <w:rPr>
                <w:rFonts w:hint="eastAsia" w:ascii="宋体" w:hAnsi="宋体" w:eastAsia="宋体" w:cs="宋体"/>
                <w:color w:val="auto"/>
                <w:kern w:val="0"/>
                <w:sz w:val="24"/>
                <w:szCs w:val="24"/>
                <w:shd w:val="clear" w:color="auto" w:fill="FFFFFF"/>
              </w:rPr>
            </w:pPr>
          </w:p>
        </w:tc>
      </w:tr>
      <w:tr w14:paraId="04BAD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264" w:type="dxa"/>
            <w:gridSpan w:val="2"/>
            <w:vAlign w:val="center"/>
          </w:tcPr>
          <w:p w14:paraId="13DAC2A4">
            <w:pPr>
              <w:spacing w:line="360" w:lineRule="auto"/>
              <w:ind w:firstLine="480" w:firstLineChars="200"/>
              <w:jc w:val="center"/>
              <w:rPr>
                <w:rFonts w:hint="eastAsia" w:ascii="宋体" w:hAnsi="宋体" w:eastAsia="宋体" w:cs="宋体"/>
                <w:color w:val="auto"/>
                <w:kern w:val="0"/>
                <w:sz w:val="24"/>
                <w:szCs w:val="24"/>
                <w:shd w:val="clear" w:color="auto" w:fill="FFFFFF"/>
              </w:rPr>
            </w:pPr>
            <w:r>
              <w:rPr>
                <w:rFonts w:hint="eastAsia" w:ascii="宋体" w:hAnsi="宋体" w:eastAsia="宋体" w:cs="宋体"/>
                <w:color w:val="auto"/>
                <w:kern w:val="0"/>
                <w:sz w:val="24"/>
                <w:szCs w:val="24"/>
                <w:shd w:val="clear" w:color="auto" w:fill="FFFFFF"/>
              </w:rPr>
              <w:t>合计</w:t>
            </w:r>
          </w:p>
        </w:tc>
        <w:tc>
          <w:tcPr>
            <w:tcW w:w="1324" w:type="dxa"/>
            <w:vAlign w:val="center"/>
          </w:tcPr>
          <w:p w14:paraId="02E66639">
            <w:pPr>
              <w:spacing w:line="360" w:lineRule="auto"/>
              <w:ind w:firstLine="480" w:firstLineChars="200"/>
              <w:jc w:val="left"/>
              <w:rPr>
                <w:rFonts w:hint="eastAsia" w:ascii="宋体" w:hAnsi="宋体" w:eastAsia="宋体" w:cs="宋体"/>
                <w:color w:val="auto"/>
                <w:kern w:val="0"/>
                <w:sz w:val="24"/>
                <w:szCs w:val="24"/>
                <w:shd w:val="clear" w:color="auto" w:fill="FFFFFF"/>
                <w:lang w:val="en-US" w:eastAsia="zh-CN"/>
              </w:rPr>
            </w:pPr>
            <w:r>
              <w:rPr>
                <w:rFonts w:hint="eastAsia" w:ascii="宋体" w:hAnsi="宋体" w:eastAsia="宋体" w:cs="宋体"/>
                <w:color w:val="auto"/>
                <w:kern w:val="0"/>
                <w:sz w:val="24"/>
                <w:szCs w:val="24"/>
                <w:shd w:val="clear" w:color="auto" w:fill="FFFFFF"/>
                <w:lang w:val="en-US" w:eastAsia="zh-CN"/>
              </w:rPr>
              <w:t>60</w:t>
            </w:r>
          </w:p>
        </w:tc>
        <w:tc>
          <w:tcPr>
            <w:tcW w:w="1028" w:type="dxa"/>
            <w:vAlign w:val="center"/>
          </w:tcPr>
          <w:p w14:paraId="2DCD84A5">
            <w:pPr>
              <w:spacing w:line="240" w:lineRule="auto"/>
              <w:jc w:val="both"/>
              <w:rPr>
                <w:rFonts w:hint="default" w:ascii="宋体" w:hAnsi="宋体" w:eastAsia="宋体" w:cs="宋体"/>
                <w:color w:val="auto"/>
                <w:kern w:val="0"/>
                <w:sz w:val="24"/>
                <w:szCs w:val="24"/>
                <w:shd w:val="clear" w:color="auto" w:fill="FFFFFF"/>
                <w:lang w:val="en-US" w:eastAsia="zh-CN"/>
              </w:rPr>
            </w:pPr>
            <w:r>
              <w:rPr>
                <w:rFonts w:hint="eastAsia" w:ascii="宋体" w:hAnsi="宋体" w:eastAsia="宋体" w:cs="宋体"/>
                <w:color w:val="auto"/>
                <w:kern w:val="0"/>
                <w:sz w:val="24"/>
                <w:szCs w:val="24"/>
                <w:shd w:val="clear" w:color="auto" w:fill="FFFFFF"/>
                <w:lang w:val="en-US" w:eastAsia="zh-CN"/>
              </w:rPr>
              <w:t xml:space="preserve">   个</w:t>
            </w:r>
          </w:p>
        </w:tc>
        <w:tc>
          <w:tcPr>
            <w:tcW w:w="1876" w:type="dxa"/>
            <w:vMerge w:val="continue"/>
            <w:vAlign w:val="center"/>
          </w:tcPr>
          <w:p w14:paraId="516BB7CA">
            <w:pPr>
              <w:spacing w:line="360" w:lineRule="auto"/>
              <w:ind w:firstLine="480" w:firstLineChars="200"/>
              <w:jc w:val="left"/>
              <w:rPr>
                <w:rFonts w:hint="eastAsia" w:ascii="宋体" w:hAnsi="宋体" w:eastAsia="宋体" w:cs="宋体"/>
                <w:color w:val="auto"/>
                <w:kern w:val="0"/>
                <w:sz w:val="24"/>
                <w:szCs w:val="24"/>
                <w:shd w:val="clear" w:color="auto" w:fill="FFFFFF"/>
                <w:lang w:val="en-US" w:eastAsia="zh-CN"/>
              </w:rPr>
            </w:pPr>
          </w:p>
        </w:tc>
      </w:tr>
    </w:tbl>
    <w:p w14:paraId="49DF60C8">
      <w:pPr>
        <w:keepNext w:val="0"/>
        <w:keepLines w:val="0"/>
        <w:pageBreakBefore w:val="0"/>
        <w:widowControl w:val="0"/>
        <w:kinsoku/>
        <w:wordWrap/>
        <w:overflowPunct/>
        <w:topLinePunct w:val="0"/>
        <w:autoSpaceDE/>
        <w:autoSpaceDN/>
        <w:bidi w:val="0"/>
        <w:adjustRightInd/>
        <w:snapToGrid/>
        <w:spacing w:line="360" w:lineRule="auto"/>
        <w:ind w:leftChars="100" w:firstLine="561"/>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 xml:space="preserve">3、如国家或者省市政府相关政策发生变化导致服务工作终止的，采购人有权终止服务合同且不承担任何违约责任。 </w:t>
      </w:r>
    </w:p>
    <w:p w14:paraId="099A1074">
      <w:pPr>
        <w:keepNext w:val="0"/>
        <w:keepLines w:val="0"/>
        <w:pageBreakBefore w:val="0"/>
        <w:widowControl w:val="0"/>
        <w:kinsoku/>
        <w:wordWrap/>
        <w:overflowPunct/>
        <w:topLinePunct w:val="0"/>
        <w:autoSpaceDE/>
        <w:autoSpaceDN/>
        <w:bidi w:val="0"/>
        <w:adjustRightInd/>
        <w:snapToGrid/>
        <w:spacing w:line="360" w:lineRule="auto"/>
        <w:ind w:leftChars="100" w:firstLine="561"/>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 xml:space="preserve">4、供应商应按上述岗位配备相应人员，中标供应商对所配岗位人员的相关证明材料（身份证、学历学位证、劳动合同、政审材料等）进行报采购人备案。 </w:t>
      </w:r>
    </w:p>
    <w:p w14:paraId="5101E5DE">
      <w:pPr>
        <w:keepNext w:val="0"/>
        <w:keepLines w:val="0"/>
        <w:pageBreakBefore w:val="0"/>
        <w:widowControl w:val="0"/>
        <w:kinsoku/>
        <w:wordWrap/>
        <w:overflowPunct/>
        <w:topLinePunct w:val="0"/>
        <w:autoSpaceDE/>
        <w:autoSpaceDN/>
        <w:bidi w:val="0"/>
        <w:adjustRightInd/>
        <w:snapToGrid/>
        <w:spacing w:line="360" w:lineRule="auto"/>
        <w:ind w:leftChars="100" w:firstLine="561"/>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5、本项目的辅助服务岗位所需人员素质或者业务素质不符合工作岗位的，采购人可要求投标人撤换相应的人员，</w:t>
      </w:r>
      <w:r>
        <w:rPr>
          <w:rFonts w:hint="eastAsia" w:ascii="宋体" w:hAnsi="宋体" w:eastAsia="宋体" w:cs="宋体"/>
          <w:color w:val="auto"/>
          <w:sz w:val="24"/>
          <w:szCs w:val="24"/>
          <w:lang w:val="en-US" w:eastAsia="zh-CN"/>
        </w:rPr>
        <w:t>供应商</w:t>
      </w:r>
      <w:r>
        <w:rPr>
          <w:rFonts w:hint="eastAsia" w:ascii="宋体" w:hAnsi="宋体" w:eastAsia="宋体" w:cs="宋体"/>
          <w:b w:val="0"/>
          <w:color w:val="auto"/>
          <w:kern w:val="2"/>
          <w:sz w:val="24"/>
          <w:szCs w:val="24"/>
          <w:lang w:val="en-US" w:eastAsia="zh-CN" w:bidi="ar-SA"/>
        </w:rPr>
        <w:t>应无条件更换相关人员。非经采购人同意，不得无理由随意更换服务人员。</w:t>
      </w:r>
    </w:p>
    <w:p w14:paraId="379EDE69">
      <w:pPr>
        <w:keepNext w:val="0"/>
        <w:keepLines w:val="0"/>
        <w:pageBreakBefore w:val="0"/>
        <w:widowControl w:val="0"/>
        <w:kinsoku/>
        <w:wordWrap/>
        <w:overflowPunct/>
        <w:topLinePunct w:val="0"/>
        <w:autoSpaceDE/>
        <w:autoSpaceDN/>
        <w:bidi w:val="0"/>
        <w:adjustRightInd/>
        <w:snapToGrid/>
        <w:spacing w:line="360" w:lineRule="auto"/>
        <w:ind w:leftChars="100" w:firstLine="561"/>
        <w:textAlignment w:val="auto"/>
        <w:outlineLvl w:val="9"/>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 xml:space="preserve">（二）岗位所需人员条件 </w:t>
      </w:r>
    </w:p>
    <w:p w14:paraId="0CC80298">
      <w:pPr>
        <w:keepNext w:val="0"/>
        <w:keepLines w:val="0"/>
        <w:pageBreakBefore w:val="0"/>
        <w:widowControl w:val="0"/>
        <w:kinsoku/>
        <w:wordWrap/>
        <w:overflowPunct/>
        <w:topLinePunct w:val="0"/>
        <w:autoSpaceDE/>
        <w:autoSpaceDN/>
        <w:bidi w:val="0"/>
        <w:adjustRightInd/>
        <w:snapToGrid/>
        <w:spacing w:line="360" w:lineRule="auto"/>
        <w:ind w:leftChars="100" w:firstLine="561"/>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1、遵守国家法律，品行端正，身体健康，热爱城市管理工作，具有全面履行本岗位职责的能力。</w:t>
      </w:r>
    </w:p>
    <w:p w14:paraId="43E19D7F">
      <w:pPr>
        <w:keepNext w:val="0"/>
        <w:keepLines w:val="0"/>
        <w:pageBreakBefore w:val="0"/>
        <w:widowControl w:val="0"/>
        <w:kinsoku/>
        <w:wordWrap/>
        <w:overflowPunct/>
        <w:topLinePunct w:val="0"/>
        <w:autoSpaceDE/>
        <w:autoSpaceDN/>
        <w:bidi w:val="0"/>
        <w:adjustRightInd/>
        <w:snapToGrid/>
        <w:spacing w:line="360" w:lineRule="auto"/>
        <w:ind w:leftChars="100" w:firstLine="561"/>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 xml:space="preserve">2、中专、高中及以上学历；全日制大专（高职）及以上学历、退伍军人优先。 </w:t>
      </w:r>
    </w:p>
    <w:p w14:paraId="368AC1E6">
      <w:pPr>
        <w:keepNext w:val="0"/>
        <w:keepLines w:val="0"/>
        <w:pageBreakBefore w:val="0"/>
        <w:widowControl w:val="0"/>
        <w:kinsoku/>
        <w:wordWrap/>
        <w:overflowPunct/>
        <w:topLinePunct w:val="0"/>
        <w:autoSpaceDE/>
        <w:autoSpaceDN/>
        <w:bidi w:val="0"/>
        <w:adjustRightInd/>
        <w:snapToGrid/>
        <w:spacing w:line="360" w:lineRule="auto"/>
        <w:ind w:leftChars="100" w:firstLine="561"/>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 xml:space="preserve">3、不限户籍。 </w:t>
      </w:r>
    </w:p>
    <w:p w14:paraId="1F418C26">
      <w:pPr>
        <w:keepNext w:val="0"/>
        <w:keepLines w:val="0"/>
        <w:pageBreakBefore w:val="0"/>
        <w:widowControl w:val="0"/>
        <w:kinsoku/>
        <w:wordWrap/>
        <w:overflowPunct/>
        <w:topLinePunct w:val="0"/>
        <w:autoSpaceDE/>
        <w:autoSpaceDN/>
        <w:bidi w:val="0"/>
        <w:adjustRightInd/>
        <w:snapToGrid/>
        <w:spacing w:line="360" w:lineRule="auto"/>
        <w:ind w:leftChars="100" w:firstLine="561"/>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 xml:space="preserve">4、年龄18周岁至40周岁；退伍军人、研究生年龄可放宽至40岁及以上。此前有类似交通辅助性工作经验的，经采购人同意，可视实际情况适度放宽年龄条件。 </w:t>
      </w:r>
    </w:p>
    <w:p w14:paraId="4CF7B9AA">
      <w:pPr>
        <w:keepNext w:val="0"/>
        <w:keepLines w:val="0"/>
        <w:pageBreakBefore w:val="0"/>
        <w:widowControl w:val="0"/>
        <w:kinsoku/>
        <w:wordWrap/>
        <w:overflowPunct/>
        <w:topLinePunct w:val="0"/>
        <w:autoSpaceDE/>
        <w:autoSpaceDN/>
        <w:bidi w:val="0"/>
        <w:adjustRightInd/>
        <w:snapToGrid/>
        <w:spacing w:line="360" w:lineRule="auto"/>
        <w:ind w:leftChars="100" w:firstLine="561"/>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5、具备正常履行职责的身体条件，体形端正，无色觉异常，无纹身，无肢体功能障碍；男性身高不低于168CM，女性身高不低于158CM。</w:t>
      </w:r>
    </w:p>
    <w:p w14:paraId="04CBD8ED">
      <w:pPr>
        <w:keepNext w:val="0"/>
        <w:keepLines w:val="0"/>
        <w:pageBreakBefore w:val="0"/>
        <w:widowControl w:val="0"/>
        <w:kinsoku/>
        <w:wordWrap/>
        <w:overflowPunct/>
        <w:topLinePunct w:val="0"/>
        <w:autoSpaceDE/>
        <w:autoSpaceDN/>
        <w:bidi w:val="0"/>
        <w:adjustRightInd/>
        <w:snapToGrid/>
        <w:spacing w:line="360" w:lineRule="auto"/>
        <w:ind w:leftChars="100" w:firstLine="561"/>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6、同等条件下，公安、政法类院校毕业生、公文写作专业人才以及退伍军人，或本科以上汉语言文学、法律、记算机等专业且符合以上条件的人员优先安排使用。</w:t>
      </w:r>
    </w:p>
    <w:p w14:paraId="60C57D3F">
      <w:pPr>
        <w:keepNext w:val="0"/>
        <w:keepLines w:val="0"/>
        <w:pageBreakBefore w:val="0"/>
        <w:widowControl w:val="0"/>
        <w:kinsoku/>
        <w:wordWrap/>
        <w:overflowPunct/>
        <w:topLinePunct w:val="0"/>
        <w:autoSpaceDE/>
        <w:autoSpaceDN/>
        <w:bidi w:val="0"/>
        <w:adjustRightInd/>
        <w:snapToGrid/>
        <w:spacing w:line="360" w:lineRule="auto"/>
        <w:ind w:leftChars="100" w:firstLine="561"/>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7、具有以下情形人员不得参加本项目的服务内容：</w:t>
      </w:r>
    </w:p>
    <w:p w14:paraId="0AC7E8D3">
      <w:pPr>
        <w:keepNext w:val="0"/>
        <w:keepLines w:val="0"/>
        <w:pageBreakBefore w:val="0"/>
        <w:widowControl w:val="0"/>
        <w:kinsoku/>
        <w:wordWrap/>
        <w:overflowPunct/>
        <w:topLinePunct w:val="0"/>
        <w:autoSpaceDE/>
        <w:autoSpaceDN/>
        <w:bidi w:val="0"/>
        <w:adjustRightInd/>
        <w:snapToGrid/>
        <w:spacing w:line="360" w:lineRule="auto"/>
        <w:ind w:leftChars="100" w:firstLine="561"/>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 xml:space="preserve">（1）有吸毒史、曾因犯罪受过刑事处罚、曾受过行政拘留、司法拘留、强制戒毒、管教的人员。 </w:t>
      </w:r>
    </w:p>
    <w:p w14:paraId="70DD7B1A">
      <w:pPr>
        <w:keepNext w:val="0"/>
        <w:keepLines w:val="0"/>
        <w:pageBreakBefore w:val="0"/>
        <w:widowControl w:val="0"/>
        <w:kinsoku/>
        <w:wordWrap/>
        <w:overflowPunct/>
        <w:topLinePunct w:val="0"/>
        <w:autoSpaceDE/>
        <w:autoSpaceDN/>
        <w:bidi w:val="0"/>
        <w:adjustRightInd/>
        <w:snapToGrid/>
        <w:spacing w:line="360" w:lineRule="auto"/>
        <w:ind w:leftChars="100" w:firstLine="561"/>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 xml:space="preserve">（2）因违纪违规被用人单位开除辞退解聘的人员、曾受记过以上行政处分或受警告处分尚未解除的人员。 </w:t>
      </w:r>
    </w:p>
    <w:p w14:paraId="2B550CE4">
      <w:pPr>
        <w:keepNext w:val="0"/>
        <w:keepLines w:val="0"/>
        <w:pageBreakBefore w:val="0"/>
        <w:widowControl w:val="0"/>
        <w:kinsoku/>
        <w:wordWrap/>
        <w:overflowPunct/>
        <w:topLinePunct w:val="0"/>
        <w:autoSpaceDE/>
        <w:autoSpaceDN/>
        <w:bidi w:val="0"/>
        <w:adjustRightInd/>
        <w:snapToGrid/>
        <w:spacing w:line="360" w:lineRule="auto"/>
        <w:ind w:leftChars="100" w:firstLine="561"/>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 xml:space="preserve">（3）司法失信被执行人等有较为严重的个人不良信用记录的人员。 </w:t>
      </w:r>
    </w:p>
    <w:p w14:paraId="3F0CF754">
      <w:pPr>
        <w:keepNext w:val="0"/>
        <w:keepLines w:val="0"/>
        <w:pageBreakBefore w:val="0"/>
        <w:widowControl w:val="0"/>
        <w:kinsoku/>
        <w:wordWrap/>
        <w:overflowPunct/>
        <w:topLinePunct w:val="0"/>
        <w:autoSpaceDE/>
        <w:autoSpaceDN/>
        <w:bidi w:val="0"/>
        <w:adjustRightInd/>
        <w:snapToGrid/>
        <w:spacing w:line="360" w:lineRule="auto"/>
        <w:ind w:leftChars="100" w:firstLine="561"/>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 xml:space="preserve">（4）曾在各级公务员招考、政府雇员招考或其它国家级考试中被认定有舞弊等严重违反诚信及招考录用纪律的人员。 </w:t>
      </w:r>
    </w:p>
    <w:p w14:paraId="4BD47D0E">
      <w:pPr>
        <w:keepNext w:val="0"/>
        <w:keepLines w:val="0"/>
        <w:pageBreakBefore w:val="0"/>
        <w:widowControl w:val="0"/>
        <w:kinsoku/>
        <w:wordWrap/>
        <w:overflowPunct/>
        <w:topLinePunct w:val="0"/>
        <w:autoSpaceDE/>
        <w:autoSpaceDN/>
        <w:bidi w:val="0"/>
        <w:adjustRightInd/>
        <w:snapToGrid/>
        <w:spacing w:line="360" w:lineRule="auto"/>
        <w:ind w:leftChars="100" w:firstLine="561"/>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（5）其它原因不适合从事所招聘职位工作的人员。</w:t>
      </w:r>
    </w:p>
    <w:p w14:paraId="392D5EF0">
      <w:pPr>
        <w:keepNext w:val="0"/>
        <w:keepLines w:val="0"/>
        <w:pageBreakBefore w:val="0"/>
        <w:widowControl w:val="0"/>
        <w:kinsoku/>
        <w:wordWrap/>
        <w:overflowPunct/>
        <w:topLinePunct w:val="0"/>
        <w:autoSpaceDE/>
        <w:autoSpaceDN/>
        <w:bidi w:val="0"/>
        <w:adjustRightInd/>
        <w:snapToGrid/>
        <w:spacing w:line="360" w:lineRule="auto"/>
        <w:ind w:leftChars="100" w:firstLine="561"/>
        <w:textAlignment w:val="auto"/>
        <w:outlineLvl w:val="9"/>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 xml:space="preserve">（三）岗位所需人员无条件退出机制 </w:t>
      </w:r>
    </w:p>
    <w:p w14:paraId="7A41121A">
      <w:pPr>
        <w:keepNext w:val="0"/>
        <w:keepLines w:val="0"/>
        <w:pageBreakBefore w:val="0"/>
        <w:widowControl w:val="0"/>
        <w:kinsoku/>
        <w:wordWrap/>
        <w:overflowPunct/>
        <w:topLinePunct w:val="0"/>
        <w:autoSpaceDE/>
        <w:autoSpaceDN/>
        <w:bidi w:val="0"/>
        <w:adjustRightInd/>
        <w:snapToGrid/>
        <w:spacing w:line="360" w:lineRule="auto"/>
        <w:ind w:leftChars="100" w:firstLine="561"/>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 xml:space="preserve">1、存在违法行为（前科）； </w:t>
      </w:r>
    </w:p>
    <w:p w14:paraId="3374CCA9">
      <w:pPr>
        <w:keepNext w:val="0"/>
        <w:keepLines w:val="0"/>
        <w:pageBreakBefore w:val="0"/>
        <w:widowControl w:val="0"/>
        <w:kinsoku/>
        <w:wordWrap/>
        <w:overflowPunct/>
        <w:topLinePunct w:val="0"/>
        <w:autoSpaceDE/>
        <w:autoSpaceDN/>
        <w:bidi w:val="0"/>
        <w:adjustRightInd/>
        <w:snapToGrid/>
        <w:spacing w:line="360" w:lineRule="auto"/>
        <w:ind w:leftChars="100" w:firstLine="561"/>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2、伪造或变造学历材料的；</w:t>
      </w:r>
    </w:p>
    <w:p w14:paraId="0F3412CD">
      <w:pPr>
        <w:keepNext w:val="0"/>
        <w:keepLines w:val="0"/>
        <w:pageBreakBefore w:val="0"/>
        <w:widowControl w:val="0"/>
        <w:kinsoku/>
        <w:wordWrap/>
        <w:overflowPunct/>
        <w:topLinePunct w:val="0"/>
        <w:autoSpaceDE/>
        <w:autoSpaceDN/>
        <w:bidi w:val="0"/>
        <w:adjustRightInd/>
        <w:snapToGrid/>
        <w:spacing w:line="360" w:lineRule="auto"/>
        <w:ind w:leftChars="100" w:firstLine="561"/>
        <w:textAlignment w:val="auto"/>
        <w:outlineLvl w:val="9"/>
        <w:rPr>
          <w:rFonts w:hint="eastAsia" w:ascii="宋体" w:hAnsi="宋体" w:eastAsia="宋体" w:cs="宋体"/>
          <w:b w:val="0"/>
          <w:color w:val="auto"/>
          <w:kern w:val="2"/>
          <w:sz w:val="28"/>
          <w:szCs w:val="24"/>
          <w:lang w:val="en-US" w:eastAsia="zh-CN" w:bidi="ar-SA"/>
        </w:rPr>
      </w:pPr>
      <w:r>
        <w:rPr>
          <w:rFonts w:hint="eastAsia" w:ascii="宋体" w:hAnsi="宋体" w:eastAsia="宋体" w:cs="宋体"/>
          <w:b w:val="0"/>
          <w:color w:val="auto"/>
          <w:kern w:val="2"/>
          <w:sz w:val="24"/>
          <w:szCs w:val="24"/>
          <w:lang w:val="en-US" w:eastAsia="zh-CN" w:bidi="ar-SA"/>
        </w:rPr>
        <w:t>3、违反用人单位规章制度、工作纪律。</w:t>
      </w:r>
    </w:p>
    <w:p w14:paraId="178E428B">
      <w:pPr>
        <w:keepNext w:val="0"/>
        <w:keepLines w:val="0"/>
        <w:pageBreakBefore w:val="0"/>
        <w:widowControl w:val="0"/>
        <w:kinsoku/>
        <w:wordWrap/>
        <w:overflowPunct/>
        <w:topLinePunct w:val="0"/>
        <w:autoSpaceDE/>
        <w:autoSpaceDN/>
        <w:bidi w:val="0"/>
        <w:adjustRightInd/>
        <w:snapToGrid/>
        <w:spacing w:line="360" w:lineRule="auto"/>
        <w:ind w:leftChars="100" w:firstLine="561"/>
        <w:textAlignment w:val="auto"/>
        <w:outlineLvl w:val="9"/>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（四）管理要求</w:t>
      </w:r>
    </w:p>
    <w:p w14:paraId="4BD1B93D">
      <w:pPr>
        <w:keepNext w:val="0"/>
        <w:keepLines w:val="0"/>
        <w:pageBreakBefore w:val="0"/>
        <w:widowControl w:val="0"/>
        <w:kinsoku/>
        <w:wordWrap/>
        <w:overflowPunct/>
        <w:topLinePunct w:val="0"/>
        <w:autoSpaceDE/>
        <w:autoSpaceDN/>
        <w:bidi w:val="0"/>
        <w:adjustRightInd/>
        <w:snapToGrid/>
        <w:spacing w:line="360" w:lineRule="auto"/>
        <w:ind w:leftChars="100" w:firstLine="561"/>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 xml:space="preserve">1、由供应商负责与辅助服务人员签订书面劳动合同，确立劳动关系；并负责劳动合同的变更、解除、终止和续订工作，以及承担相关的经济补偿金、赔偿金额等。采购人与辅助服务人员不构成任何劳动关系、劳务派遣关系、劳务关系等。 </w:t>
      </w:r>
    </w:p>
    <w:p w14:paraId="0B0D333A">
      <w:pPr>
        <w:keepNext w:val="0"/>
        <w:keepLines w:val="0"/>
        <w:pageBreakBefore w:val="0"/>
        <w:widowControl w:val="0"/>
        <w:kinsoku/>
        <w:wordWrap/>
        <w:overflowPunct/>
        <w:topLinePunct w:val="0"/>
        <w:autoSpaceDE/>
        <w:autoSpaceDN/>
        <w:bidi w:val="0"/>
        <w:adjustRightInd/>
        <w:snapToGrid/>
        <w:spacing w:line="360" w:lineRule="auto"/>
        <w:ind w:leftChars="100" w:firstLine="561"/>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2、由供应商负责包括但不限于辅助服务人员的薪酬管理、社保管理、个税代扣代缴、劳动关系维护、代办工作证件、定制制服、考勤、误餐审核支出、工会福利发放、法律法规咨询等；供应商应当按时足额发放辅助服务人员当月工资，代扣代缴个人所得税及个人负担的社会保险等费用。</w:t>
      </w:r>
    </w:p>
    <w:p w14:paraId="691A5196">
      <w:pPr>
        <w:keepNext w:val="0"/>
        <w:keepLines w:val="0"/>
        <w:pageBreakBefore w:val="0"/>
        <w:widowControl w:val="0"/>
        <w:kinsoku/>
        <w:wordWrap/>
        <w:overflowPunct/>
        <w:topLinePunct w:val="0"/>
        <w:autoSpaceDE/>
        <w:autoSpaceDN/>
        <w:bidi w:val="0"/>
        <w:adjustRightInd/>
        <w:snapToGrid/>
        <w:spacing w:line="360" w:lineRule="auto"/>
        <w:ind w:leftChars="100" w:firstLine="561"/>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 xml:space="preserve">3、由供应商负责处理辅助服务人员提出的劳动仲裁、诉讼等事宜。 </w:t>
      </w:r>
    </w:p>
    <w:p w14:paraId="16397649">
      <w:pPr>
        <w:keepNext w:val="0"/>
        <w:keepLines w:val="0"/>
        <w:pageBreakBefore w:val="0"/>
        <w:widowControl w:val="0"/>
        <w:kinsoku/>
        <w:wordWrap/>
        <w:overflowPunct/>
        <w:topLinePunct w:val="0"/>
        <w:autoSpaceDE/>
        <w:autoSpaceDN/>
        <w:bidi w:val="0"/>
        <w:adjustRightInd/>
        <w:snapToGrid/>
        <w:spacing w:line="360" w:lineRule="auto"/>
        <w:ind w:leftChars="100" w:firstLine="561"/>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 xml:space="preserve">4、由供应商负责辅助服务人员的档案管理、党团组织关系管理等人事工作。 </w:t>
      </w:r>
    </w:p>
    <w:p w14:paraId="3E700381">
      <w:pPr>
        <w:keepNext w:val="0"/>
        <w:keepLines w:val="0"/>
        <w:pageBreakBefore w:val="0"/>
        <w:widowControl w:val="0"/>
        <w:kinsoku/>
        <w:wordWrap/>
        <w:overflowPunct/>
        <w:topLinePunct w:val="0"/>
        <w:autoSpaceDE/>
        <w:autoSpaceDN/>
        <w:bidi w:val="0"/>
        <w:adjustRightInd/>
        <w:snapToGrid/>
        <w:spacing w:line="360" w:lineRule="auto"/>
        <w:ind w:leftChars="100" w:firstLine="561"/>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5、采购人有权依据国家有关法律法规制定针对服务岗位及其人员的考核标准及考核办法；有权依据采购人工作的需要及辅助服务人员的综合素质、业务水平等情况，调整辅助服务人员的具体岗位。</w:t>
      </w:r>
    </w:p>
    <w:p w14:paraId="5893BCA4">
      <w:pPr>
        <w:keepNext w:val="0"/>
        <w:keepLines w:val="0"/>
        <w:pageBreakBefore w:val="0"/>
        <w:widowControl w:val="0"/>
        <w:kinsoku/>
        <w:wordWrap/>
        <w:overflowPunct/>
        <w:topLinePunct w:val="0"/>
        <w:autoSpaceDE/>
        <w:autoSpaceDN/>
        <w:bidi w:val="0"/>
        <w:adjustRightInd/>
        <w:snapToGrid/>
        <w:spacing w:line="360" w:lineRule="auto"/>
        <w:ind w:leftChars="100" w:firstLine="561"/>
        <w:textAlignment w:val="auto"/>
        <w:outlineLvl w:val="9"/>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（五）服务质量要求</w:t>
      </w:r>
    </w:p>
    <w:p w14:paraId="5C0D0EF2">
      <w:pPr>
        <w:keepNext w:val="0"/>
        <w:keepLines w:val="0"/>
        <w:pageBreakBefore w:val="0"/>
        <w:widowControl w:val="0"/>
        <w:kinsoku/>
        <w:wordWrap/>
        <w:overflowPunct/>
        <w:topLinePunct w:val="0"/>
        <w:autoSpaceDE/>
        <w:autoSpaceDN/>
        <w:bidi w:val="0"/>
        <w:adjustRightInd/>
        <w:snapToGrid/>
        <w:spacing w:line="360" w:lineRule="auto"/>
        <w:ind w:left="210" w:leftChars="100" w:firstLine="717" w:firstLineChars="299"/>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1、服务时间要求：经采购人核对辅助岗位所需人员数量后，供应商应在3个工作日内办理完毕服务人员劳动合同签订手续，并对其进行岗前培训，及时向采购人反馈相关情况。</w:t>
      </w:r>
    </w:p>
    <w:p w14:paraId="06A3A0DD">
      <w:pPr>
        <w:keepNext w:val="0"/>
        <w:keepLines w:val="0"/>
        <w:pageBreakBefore w:val="0"/>
        <w:widowControl w:val="0"/>
        <w:kinsoku/>
        <w:wordWrap/>
        <w:overflowPunct/>
        <w:topLinePunct w:val="0"/>
        <w:autoSpaceDE/>
        <w:autoSpaceDN/>
        <w:bidi w:val="0"/>
        <w:adjustRightInd/>
        <w:snapToGrid/>
        <w:spacing w:line="360" w:lineRule="auto"/>
        <w:ind w:left="210" w:leftChars="100" w:firstLine="717" w:firstLineChars="299"/>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采购人与供应商每月底做当月工作验收确认，以此作为费用结算依据，项目费按月分期给付。如发现各工作地点有辅助服务人员违规操作或脱岗，采购人可根据实际情况对供应商安排的辅助服务人员第一次做口头警告，第二次做书面通报，第三次退回供应商；如出现涉及辅助服务人员的投诉事件，一经查出属辅助人员责任，扣除供应商当月项目费0.5%作为违约金；如出现重大过失或严重投诉事件，经传媒新闻曝光，扣除供应商当月项目费1%作为违约金；如涉事辅助服务人员行为对采购人声誉造成严重负面影响或经济损失的，扣除供应商当月项目费2%作为违约金，保留追诉权。</w:t>
      </w:r>
    </w:p>
    <w:p w14:paraId="5B330229">
      <w:pPr>
        <w:keepNext w:val="0"/>
        <w:keepLines w:val="0"/>
        <w:pageBreakBefore w:val="0"/>
        <w:widowControl w:val="0"/>
        <w:kinsoku/>
        <w:wordWrap/>
        <w:overflowPunct/>
        <w:topLinePunct w:val="0"/>
        <w:autoSpaceDE/>
        <w:autoSpaceDN/>
        <w:bidi w:val="0"/>
        <w:adjustRightInd/>
        <w:snapToGrid/>
        <w:spacing w:line="360" w:lineRule="auto"/>
        <w:ind w:left="210" w:leftChars="100" w:firstLine="717" w:firstLineChars="299"/>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3、供应商需保证服务人员的数量和服务质量，人员有离职无法上岗的，需反馈情况给采购人，并及时按采购人要求补充岗位所需人员，如无法补充人员，视具体情况，将原定支付给供应商的合同款金额按缺岗人数每人每日100元扣除给付金（每月2500元封顶）。</w:t>
      </w:r>
    </w:p>
    <w:p w14:paraId="0ADA4335">
      <w:pPr>
        <w:keepNext w:val="0"/>
        <w:keepLines w:val="0"/>
        <w:pageBreakBefore w:val="0"/>
        <w:widowControl w:val="0"/>
        <w:kinsoku/>
        <w:wordWrap/>
        <w:overflowPunct/>
        <w:topLinePunct w:val="0"/>
        <w:autoSpaceDE/>
        <w:autoSpaceDN/>
        <w:bidi w:val="0"/>
        <w:adjustRightInd/>
        <w:snapToGrid/>
        <w:spacing w:line="360" w:lineRule="auto"/>
        <w:ind w:left="210" w:leftChars="100" w:firstLine="717" w:firstLineChars="299"/>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4、供应商应确保及时、准确、妥善的处理服务人员的薪酬管理、社保办理、档案管理、党团组织关系等事宜，避免因资金发放不及时、不到位以及人员关系、档案问题而影响工作开展甚至发生劳动仲裁、诉讼事件。</w:t>
      </w:r>
    </w:p>
    <w:p w14:paraId="4819D301">
      <w:pPr>
        <w:keepNext w:val="0"/>
        <w:keepLines w:val="0"/>
        <w:pageBreakBefore w:val="0"/>
        <w:widowControl w:val="0"/>
        <w:kinsoku/>
        <w:wordWrap/>
        <w:overflowPunct/>
        <w:topLinePunct w:val="0"/>
        <w:autoSpaceDE/>
        <w:autoSpaceDN/>
        <w:bidi w:val="0"/>
        <w:adjustRightInd/>
        <w:snapToGrid/>
        <w:spacing w:line="360" w:lineRule="auto"/>
        <w:ind w:left="210" w:leftChars="100" w:firstLine="717" w:firstLineChars="299"/>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5、供应商应确保和谐、稳妥的处理服务人员的劳动仲裁、劳动诉讼及人事仲裁事件，避免妨碍采购人的正常工作或者给采购人带来不利社会影响。</w:t>
      </w:r>
    </w:p>
    <w:p w14:paraId="4C5F0184">
      <w:pPr>
        <w:keepNext w:val="0"/>
        <w:keepLines w:val="0"/>
        <w:pageBreakBefore w:val="0"/>
        <w:widowControl w:val="0"/>
        <w:kinsoku/>
        <w:wordWrap/>
        <w:overflowPunct/>
        <w:topLinePunct w:val="0"/>
        <w:autoSpaceDE/>
        <w:autoSpaceDN/>
        <w:bidi w:val="0"/>
        <w:adjustRightInd/>
        <w:snapToGrid/>
        <w:spacing w:line="360" w:lineRule="auto"/>
        <w:ind w:left="210" w:leftChars="100" w:firstLine="717" w:firstLineChars="299"/>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6、供应商应指定管理人员负责辅助服务人员的各项事务，协助采购人的相关工作。</w:t>
      </w:r>
    </w:p>
    <w:p w14:paraId="1D663E6E">
      <w:pPr>
        <w:keepNext w:val="0"/>
        <w:keepLines w:val="0"/>
        <w:pageBreakBefore w:val="0"/>
        <w:widowControl w:val="0"/>
        <w:kinsoku/>
        <w:wordWrap/>
        <w:overflowPunct/>
        <w:topLinePunct w:val="0"/>
        <w:autoSpaceDE/>
        <w:autoSpaceDN/>
        <w:bidi w:val="0"/>
        <w:adjustRightInd/>
        <w:snapToGrid/>
        <w:spacing w:line="360" w:lineRule="auto"/>
        <w:ind w:left="210" w:leftChars="100" w:firstLine="717" w:firstLineChars="299"/>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 xml:space="preserve">7、安全保密要求 </w:t>
      </w:r>
    </w:p>
    <w:p w14:paraId="089667A6">
      <w:pPr>
        <w:keepNext w:val="0"/>
        <w:keepLines w:val="0"/>
        <w:pageBreakBefore w:val="0"/>
        <w:widowControl w:val="0"/>
        <w:kinsoku/>
        <w:wordWrap/>
        <w:overflowPunct/>
        <w:topLinePunct w:val="0"/>
        <w:autoSpaceDE/>
        <w:autoSpaceDN/>
        <w:bidi w:val="0"/>
        <w:adjustRightInd/>
        <w:snapToGrid/>
        <w:spacing w:line="360" w:lineRule="auto"/>
        <w:ind w:left="210" w:leftChars="100" w:firstLine="237" w:firstLineChars="99"/>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 xml:space="preserve">要求供应商制定安全保密制度，确定项目保密责任人，同时要求： </w:t>
      </w:r>
    </w:p>
    <w:p w14:paraId="73A14774">
      <w:pPr>
        <w:keepNext w:val="0"/>
        <w:keepLines w:val="0"/>
        <w:pageBreakBefore w:val="0"/>
        <w:widowControl w:val="0"/>
        <w:kinsoku/>
        <w:wordWrap/>
        <w:overflowPunct/>
        <w:topLinePunct w:val="0"/>
        <w:autoSpaceDE/>
        <w:autoSpaceDN/>
        <w:bidi w:val="0"/>
        <w:adjustRightInd/>
        <w:snapToGrid/>
        <w:spacing w:line="360" w:lineRule="auto"/>
        <w:ind w:left="210" w:leftChars="100" w:firstLine="237" w:firstLineChars="99"/>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 xml:space="preserve">（1）按照国家和海南省有关保密规定，与采购单位签订保密协议，参与辅助服务的工作人员签订保密承诺函； </w:t>
      </w:r>
    </w:p>
    <w:p w14:paraId="31BE8C10">
      <w:pPr>
        <w:keepNext w:val="0"/>
        <w:keepLines w:val="0"/>
        <w:pageBreakBefore w:val="0"/>
        <w:widowControl w:val="0"/>
        <w:kinsoku/>
        <w:wordWrap/>
        <w:overflowPunct/>
        <w:topLinePunct w:val="0"/>
        <w:autoSpaceDE/>
        <w:autoSpaceDN/>
        <w:bidi w:val="0"/>
        <w:adjustRightInd/>
        <w:snapToGrid/>
        <w:spacing w:line="360" w:lineRule="auto"/>
        <w:ind w:left="210" w:leftChars="100" w:firstLine="237" w:firstLineChars="99"/>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 xml:space="preserve">（2）严格履行保密职责，按照保密规定开展相关服务工作。 </w:t>
      </w:r>
    </w:p>
    <w:p w14:paraId="20FBE5D8">
      <w:pPr>
        <w:pStyle w:val="2"/>
        <w:keepNext w:val="0"/>
        <w:keepLines w:val="0"/>
        <w:pageBreakBefore w:val="0"/>
        <w:widowControl w:val="0"/>
        <w:kinsoku/>
        <w:wordWrap/>
        <w:overflowPunct/>
        <w:topLinePunct w:val="0"/>
        <w:autoSpaceDE/>
        <w:autoSpaceDN/>
        <w:bidi w:val="0"/>
        <w:snapToGrid/>
        <w:spacing w:line="360" w:lineRule="auto"/>
        <w:rPr>
          <w:rFonts w:hint="eastAsia"/>
          <w:color w:val="auto"/>
          <w:lang w:val="en-US" w:eastAsia="zh-CN"/>
        </w:rPr>
      </w:pPr>
      <w:r>
        <w:rPr>
          <w:rFonts w:hint="eastAsia" w:ascii="宋体" w:hAnsi="宋体" w:eastAsia="宋体" w:cs="宋体"/>
          <w:b w:val="0"/>
          <w:color w:val="auto"/>
          <w:kern w:val="2"/>
          <w:sz w:val="24"/>
          <w:szCs w:val="24"/>
          <w:lang w:val="en-US" w:eastAsia="zh-CN" w:bidi="ar-SA"/>
        </w:rPr>
        <w:t>（3）保密期限具有永久性，不因本合同不成立、无效、解除、终止而免除。</w:t>
      </w:r>
    </w:p>
    <w:p w14:paraId="2F32674B">
      <w:pPr>
        <w:keepNext w:val="0"/>
        <w:keepLines w:val="0"/>
        <w:pageBreakBefore w:val="0"/>
        <w:widowControl w:val="0"/>
        <w:kinsoku/>
        <w:wordWrap/>
        <w:overflowPunct/>
        <w:topLinePunct w:val="0"/>
        <w:autoSpaceDE/>
        <w:autoSpaceDN/>
        <w:bidi w:val="0"/>
        <w:adjustRightInd/>
        <w:snapToGrid/>
        <w:spacing w:line="360" w:lineRule="auto"/>
        <w:ind w:left="210" w:leftChars="100" w:firstLine="717" w:firstLineChars="299"/>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8、成交供应商应根据采购人要求，对辅助服务人员的服务内容，制定详细的服务标准，并经采购人审核同意后，严格按照服务标准开展服务。</w:t>
      </w:r>
    </w:p>
    <w:p w14:paraId="71644731">
      <w:pPr>
        <w:keepNext/>
        <w:keepLines/>
        <w:pageBreakBefore w:val="0"/>
        <w:widowControl w:val="0"/>
        <w:numPr>
          <w:ilvl w:val="0"/>
          <w:numId w:val="0"/>
        </w:numPr>
        <w:tabs>
          <w:tab w:val="left" w:pos="454"/>
          <w:tab w:val="left" w:pos="992"/>
        </w:tabs>
        <w:kinsoku/>
        <w:wordWrap/>
        <w:overflowPunct/>
        <w:topLinePunct w:val="0"/>
        <w:autoSpaceDE/>
        <w:autoSpaceDN/>
        <w:bidi w:val="0"/>
        <w:adjustRightInd/>
        <w:snapToGrid/>
        <w:spacing w:line="360" w:lineRule="auto"/>
        <w:ind w:leftChars="0" w:firstLine="723" w:firstLineChars="300"/>
        <w:textAlignment w:val="auto"/>
        <w:outlineLvl w:val="9"/>
        <w:rPr>
          <w:rFonts w:hint="eastAsia" w:ascii="宋体" w:hAnsi="宋体" w:eastAsia="宋体" w:cs="宋体"/>
          <w:b/>
          <w:bCs w:val="0"/>
          <w:color w:val="auto"/>
          <w:kern w:val="2"/>
          <w:sz w:val="24"/>
          <w:szCs w:val="24"/>
          <w:lang w:val="en-US" w:eastAsia="zh-CN" w:bidi="ar-SA"/>
        </w:rPr>
      </w:pPr>
      <w:r>
        <w:rPr>
          <w:rFonts w:hint="eastAsia" w:ascii="宋体" w:hAnsi="宋体" w:eastAsia="宋体" w:cs="宋体"/>
          <w:b/>
          <w:bCs w:val="0"/>
          <w:color w:val="auto"/>
          <w:kern w:val="2"/>
          <w:sz w:val="24"/>
          <w:szCs w:val="24"/>
          <w:lang w:val="en-US" w:eastAsia="zh-CN" w:bidi="ar-SA"/>
        </w:rPr>
        <w:t>（六）责任认定</w:t>
      </w:r>
    </w:p>
    <w:p w14:paraId="2672470C">
      <w:pPr>
        <w:keepNext w:val="0"/>
        <w:keepLines w:val="0"/>
        <w:pageBreakBefore w:val="0"/>
        <w:widowControl w:val="0"/>
        <w:kinsoku/>
        <w:wordWrap/>
        <w:overflowPunct/>
        <w:topLinePunct w:val="0"/>
        <w:autoSpaceDE/>
        <w:autoSpaceDN/>
        <w:bidi w:val="0"/>
        <w:adjustRightInd/>
        <w:snapToGrid/>
        <w:spacing w:line="360" w:lineRule="auto"/>
        <w:ind w:left="210" w:leftChars="100" w:firstLine="561"/>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 xml:space="preserve">1、若服务人员给采购人造成直接的经济损失，采购人有权向辅助服务人员直接索赔，供应商应当予以协助，采购人也有权向供应商索赔。 </w:t>
      </w:r>
    </w:p>
    <w:p w14:paraId="448AA790">
      <w:pPr>
        <w:keepNext w:val="0"/>
        <w:keepLines w:val="0"/>
        <w:pageBreakBefore w:val="0"/>
        <w:widowControl w:val="0"/>
        <w:kinsoku/>
        <w:wordWrap/>
        <w:overflowPunct/>
        <w:topLinePunct w:val="0"/>
        <w:autoSpaceDE/>
        <w:autoSpaceDN/>
        <w:bidi w:val="0"/>
        <w:adjustRightInd/>
        <w:snapToGrid/>
        <w:spacing w:line="360" w:lineRule="auto"/>
        <w:ind w:left="210" w:leftChars="100" w:firstLine="561"/>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 xml:space="preserve">2、若服务人员在采购人提供劳务期间发生工伤事故，供应商负责按照规定办理申报工伤认定、工伤保险待遇有关手续，按照工伤保险条例由供应商承担，并与采购人配合做好工伤事故的直系亲属来访接待和善后工作。 </w:t>
      </w:r>
    </w:p>
    <w:p w14:paraId="211503DE">
      <w:pPr>
        <w:keepNext w:val="0"/>
        <w:keepLines w:val="0"/>
        <w:pageBreakBefore w:val="0"/>
        <w:widowControl w:val="0"/>
        <w:kinsoku/>
        <w:wordWrap/>
        <w:overflowPunct/>
        <w:topLinePunct w:val="0"/>
        <w:autoSpaceDE/>
        <w:autoSpaceDN/>
        <w:bidi w:val="0"/>
        <w:adjustRightInd/>
        <w:snapToGrid/>
        <w:spacing w:line="360" w:lineRule="auto"/>
        <w:ind w:left="210" w:leftChars="100" w:firstLine="561"/>
        <w:textAlignment w:val="auto"/>
        <w:outlineLvl w:val="9"/>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3、因服务人员个人原因造成他人或财物损害的，由服务人员个人以及供应商依法承担责任。</w:t>
      </w:r>
    </w:p>
    <w:p w14:paraId="283701DE">
      <w:pPr>
        <w:pStyle w:val="2"/>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 xml:space="preserve">   4、其他未尽事宜，采购人和供应商在签订合同时详细约定。</w:t>
      </w:r>
    </w:p>
    <w:p w14:paraId="1B34BA33">
      <w:pPr>
        <w:rPr>
          <w:rFonts w:hint="eastAsia"/>
          <w:color w:val="auto"/>
          <w:lang w:val="en-US" w:eastAsia="zh-CN"/>
        </w:rPr>
      </w:pPr>
      <w:r>
        <w:rPr>
          <w:rFonts w:hint="eastAsia" w:ascii="宋体" w:hAnsi="宋体" w:cs="宋体"/>
          <w:b w:val="0"/>
          <w:color w:val="auto"/>
          <w:kern w:val="2"/>
          <w:sz w:val="24"/>
          <w:szCs w:val="24"/>
          <w:lang w:val="en-US" w:eastAsia="zh-CN" w:bidi="ar-SA"/>
        </w:rPr>
        <w:t xml:space="preserve">     </w:t>
      </w:r>
      <w:r>
        <w:rPr>
          <w:rFonts w:hint="eastAsia" w:ascii="宋体" w:hAnsi="宋体" w:eastAsia="宋体" w:cs="宋体"/>
          <w:b/>
          <w:bCs w:val="0"/>
          <w:color w:val="auto"/>
          <w:kern w:val="2"/>
          <w:sz w:val="24"/>
          <w:szCs w:val="24"/>
          <w:lang w:val="en-US" w:eastAsia="zh-CN" w:bidi="ar-SA"/>
        </w:rPr>
        <w:t>（</w:t>
      </w:r>
      <w:r>
        <w:rPr>
          <w:rFonts w:hint="eastAsia" w:ascii="宋体" w:hAnsi="宋体" w:cs="宋体"/>
          <w:b/>
          <w:bCs w:val="0"/>
          <w:color w:val="auto"/>
          <w:kern w:val="2"/>
          <w:sz w:val="24"/>
          <w:szCs w:val="24"/>
          <w:lang w:val="en-US" w:eastAsia="zh-CN" w:bidi="ar-SA"/>
        </w:rPr>
        <w:t>七</w:t>
      </w:r>
      <w:r>
        <w:rPr>
          <w:rFonts w:hint="eastAsia" w:ascii="宋体" w:hAnsi="宋体" w:eastAsia="宋体" w:cs="宋体"/>
          <w:b/>
          <w:bCs w:val="0"/>
          <w:color w:val="auto"/>
          <w:kern w:val="2"/>
          <w:sz w:val="24"/>
          <w:szCs w:val="24"/>
          <w:lang w:val="en-US" w:eastAsia="zh-CN" w:bidi="ar-SA"/>
        </w:rPr>
        <w:t>）</w:t>
      </w:r>
      <w:r>
        <w:rPr>
          <w:rFonts w:hint="eastAsia" w:ascii="宋体" w:hAnsi="宋体" w:cs="宋体"/>
          <w:b/>
          <w:bCs w:val="0"/>
          <w:color w:val="auto"/>
          <w:kern w:val="2"/>
          <w:sz w:val="24"/>
          <w:szCs w:val="24"/>
          <w:lang w:val="en-US" w:eastAsia="zh-CN" w:bidi="ar-SA"/>
        </w:rPr>
        <w:t>其他</w:t>
      </w:r>
    </w:p>
    <w:p w14:paraId="55F1F206">
      <w:pPr>
        <w:pStyle w:val="2"/>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 xml:space="preserve">   1、乙方违约的，甲方有权视违约情况严重程度单方面解除合同且不承担任何责任。</w:t>
      </w:r>
    </w:p>
    <w:p w14:paraId="7F628338">
      <w:pPr>
        <w:rPr>
          <w:rFonts w:hint="eastAsia" w:ascii="宋体" w:hAnsi="宋体" w:eastAsia="宋体" w:cs="宋体"/>
          <w:b w:val="0"/>
          <w:color w:val="auto"/>
          <w:kern w:val="2"/>
          <w:sz w:val="24"/>
          <w:szCs w:val="24"/>
          <w:lang w:val="en-US" w:eastAsia="zh-CN" w:bidi="ar-SA"/>
        </w:rPr>
      </w:pPr>
      <w:r>
        <w:rPr>
          <w:rFonts w:hint="eastAsia" w:ascii="仿宋" w:hAnsi="仿宋" w:eastAsia="仿宋" w:cs="仿宋"/>
          <w:color w:val="auto"/>
          <w:sz w:val="28"/>
          <w:szCs w:val="28"/>
          <w:lang w:val="en-US" w:eastAsia="zh-CN"/>
        </w:rPr>
        <w:t xml:space="preserve">     2、</w:t>
      </w:r>
      <w:r>
        <w:rPr>
          <w:rFonts w:hint="eastAsia" w:ascii="宋体" w:hAnsi="宋体" w:eastAsia="宋体" w:cs="宋体"/>
          <w:b w:val="0"/>
          <w:color w:val="auto"/>
          <w:kern w:val="2"/>
          <w:sz w:val="24"/>
          <w:szCs w:val="24"/>
          <w:lang w:val="en-US" w:eastAsia="zh-CN" w:bidi="ar-SA"/>
        </w:rPr>
        <w:t>乙方违约的，除承担违约金外，还应当承担因此造成甲方的直接损失、间接损失以及因乙方违约导致其他主体向甲方主张的违约金、赔偿金、罚款等，并且乙方还应当承担甲方为维权支出的律师费、诉讼费、保全费、鉴定费、差旅费等合理维权费用等。本合同中约定乙方应承担的赔偿金、违约金以及其他费用等，甲方有权在尚未支付的费用或其他待支付款项中扣除或者抵扣</w:t>
      </w:r>
      <w:r>
        <w:rPr>
          <w:rFonts w:hint="eastAsia" w:ascii="宋体" w:hAnsi="宋体" w:cs="宋体"/>
          <w:b w:val="0"/>
          <w:color w:val="auto"/>
          <w:kern w:val="2"/>
          <w:sz w:val="24"/>
          <w:szCs w:val="24"/>
          <w:lang w:val="en-US" w:eastAsia="zh-CN" w:bidi="ar-SA"/>
        </w:rPr>
        <w:t>。</w:t>
      </w:r>
    </w:p>
    <w:p w14:paraId="1FF3298B">
      <w:pPr>
        <w:numPr>
          <w:ilvl w:val="0"/>
          <w:numId w:val="0"/>
        </w:numPr>
        <w:spacing w:line="360" w:lineRule="auto"/>
        <w:ind w:firstLine="482" w:firstLineChars="200"/>
        <w:rPr>
          <w:rFonts w:hint="eastAsia" w:ascii="Times New Roman" w:hAnsi="Times New Roman" w:cs="Times New Roman"/>
          <w:color w:val="auto"/>
          <w:sz w:val="24"/>
        </w:rPr>
      </w:pPr>
      <w:r>
        <w:rPr>
          <w:rFonts w:hint="eastAsia"/>
          <w:b/>
          <w:bCs/>
          <w:color w:val="auto"/>
          <w:kern w:val="2"/>
          <w:sz w:val="24"/>
          <w:szCs w:val="24"/>
          <w:lang w:val="en-US" w:eastAsia="zh-CN" w:bidi="ar-SA"/>
        </w:rPr>
        <w:t>四、合同争议及其他：</w:t>
      </w:r>
      <w:r>
        <w:rPr>
          <w:rFonts w:hint="eastAsia" w:ascii="Times New Roman" w:hAnsi="Times New Roman" w:cs="Times New Roman"/>
          <w:color w:val="auto"/>
          <w:sz w:val="24"/>
          <w:lang w:val="en-US" w:eastAsia="zh-CN"/>
        </w:rPr>
        <w:t>本合同发生争议产生的诉讼，由甲方（采购人）所在地人民法院管辖。</w:t>
      </w:r>
    </w:p>
    <w:p w14:paraId="1766F70A">
      <w:pPr>
        <w:numPr>
          <w:ilvl w:val="0"/>
          <w:numId w:val="0"/>
        </w:numPr>
        <w:spacing w:line="360" w:lineRule="auto"/>
        <w:ind w:firstLine="482" w:firstLineChars="200"/>
        <w:rPr>
          <w:rFonts w:hint="eastAsia"/>
          <w:b/>
          <w:bCs/>
          <w:color w:val="auto"/>
          <w:sz w:val="24"/>
        </w:rPr>
      </w:pPr>
      <w:r>
        <w:rPr>
          <w:rFonts w:hint="eastAsia"/>
          <w:b/>
          <w:bCs/>
          <w:color w:val="auto"/>
          <w:kern w:val="2"/>
          <w:sz w:val="24"/>
          <w:szCs w:val="24"/>
          <w:lang w:val="en-US" w:eastAsia="zh-CN" w:bidi="ar-SA"/>
        </w:rPr>
        <w:t>五、</w:t>
      </w:r>
      <w:r>
        <w:rPr>
          <w:rFonts w:hint="eastAsia"/>
          <w:b/>
          <w:bCs/>
          <w:color w:val="auto"/>
          <w:sz w:val="24"/>
        </w:rPr>
        <w:t>合同生效及其它：</w:t>
      </w:r>
    </w:p>
    <w:p w14:paraId="67D93D87">
      <w:pPr>
        <w:spacing w:line="360" w:lineRule="auto"/>
        <w:ind w:firstLine="480" w:firstLineChars="200"/>
        <w:rPr>
          <w:rFonts w:hint="eastAsia"/>
          <w:color w:val="auto"/>
          <w:sz w:val="24"/>
        </w:rPr>
      </w:pPr>
      <w:r>
        <w:rPr>
          <w:rFonts w:hint="eastAsia"/>
          <w:color w:val="auto"/>
          <w:sz w:val="24"/>
          <w:lang w:val="en-US" w:eastAsia="zh-CN"/>
        </w:rPr>
        <w:t>本合同经双方法定代表人或授权代表签字并加盖公章或合同章后生效</w:t>
      </w:r>
      <w:r>
        <w:rPr>
          <w:rFonts w:hint="eastAsia"/>
          <w:color w:val="auto"/>
          <w:sz w:val="24"/>
        </w:rPr>
        <w:t>。本合同正本一式六份，甲方留存二份，乙方留存二份，报财政主管部门一份，送采购代理机构一份。</w:t>
      </w:r>
    </w:p>
    <w:p w14:paraId="04730D5F">
      <w:pPr>
        <w:numPr>
          <w:ilvl w:val="0"/>
          <w:numId w:val="0"/>
        </w:numPr>
        <w:spacing w:line="360" w:lineRule="auto"/>
        <w:ind w:firstLine="482" w:firstLineChars="200"/>
        <w:rPr>
          <w:rFonts w:hint="eastAsia"/>
          <w:b/>
          <w:bCs/>
          <w:color w:val="auto"/>
          <w:sz w:val="24"/>
        </w:rPr>
      </w:pPr>
      <w:r>
        <w:rPr>
          <w:rFonts w:hint="eastAsia"/>
          <w:b/>
          <w:bCs/>
          <w:color w:val="auto"/>
          <w:kern w:val="2"/>
          <w:sz w:val="24"/>
          <w:szCs w:val="24"/>
          <w:lang w:val="en-US" w:eastAsia="zh-CN" w:bidi="ar-SA"/>
        </w:rPr>
        <w:t>六、</w:t>
      </w:r>
      <w:r>
        <w:rPr>
          <w:rFonts w:hint="eastAsia"/>
          <w:b/>
          <w:bCs/>
          <w:color w:val="auto"/>
          <w:sz w:val="24"/>
        </w:rPr>
        <w:t>不可抗力</w:t>
      </w:r>
    </w:p>
    <w:p w14:paraId="5386BE1C">
      <w:pPr>
        <w:spacing w:line="360" w:lineRule="auto"/>
        <w:ind w:firstLine="480" w:firstLineChars="200"/>
        <w:rPr>
          <w:rFonts w:hint="eastAsia"/>
          <w:color w:val="auto"/>
          <w:sz w:val="24"/>
        </w:rPr>
      </w:pPr>
      <w:r>
        <w:rPr>
          <w:rFonts w:hint="eastAsia"/>
          <w:color w:val="auto"/>
          <w:sz w:val="24"/>
        </w:rPr>
        <w:t>在合同规定的履行期限内，由于受不可抗力事件影响而不能履行合同时，受阻一方在提供合法证明后可免予承担违约责任，本合同自行终止。不可抗力事件系指供、需双方在缔结合同时所不能预见的，并且它的发生及其后果是无法避免和无法克服的事件。</w:t>
      </w:r>
    </w:p>
    <w:p w14:paraId="6B57A0DD">
      <w:pPr>
        <w:numPr>
          <w:ilvl w:val="0"/>
          <w:numId w:val="0"/>
        </w:numPr>
        <w:spacing w:line="360" w:lineRule="auto"/>
        <w:ind w:firstLine="482" w:firstLineChars="200"/>
        <w:rPr>
          <w:rFonts w:hint="eastAsia"/>
          <w:b/>
          <w:bCs/>
          <w:color w:val="auto"/>
          <w:sz w:val="24"/>
        </w:rPr>
      </w:pPr>
      <w:r>
        <w:rPr>
          <w:rFonts w:hint="eastAsia"/>
          <w:b/>
          <w:bCs/>
          <w:color w:val="auto"/>
          <w:kern w:val="2"/>
          <w:sz w:val="24"/>
          <w:szCs w:val="24"/>
          <w:lang w:val="en-US" w:eastAsia="zh-CN" w:bidi="ar-SA"/>
        </w:rPr>
        <w:t>七、</w:t>
      </w:r>
      <w:r>
        <w:rPr>
          <w:rFonts w:hint="eastAsia"/>
          <w:b/>
          <w:bCs/>
          <w:color w:val="auto"/>
          <w:sz w:val="24"/>
        </w:rPr>
        <w:t>纠纷处理</w:t>
      </w:r>
    </w:p>
    <w:p w14:paraId="14A2DFE2">
      <w:pPr>
        <w:spacing w:line="360" w:lineRule="auto"/>
        <w:ind w:firstLine="480" w:firstLineChars="200"/>
        <w:rPr>
          <w:rFonts w:hint="eastAsia" w:ascii="Times New Roman" w:hAnsi="Times New Roman" w:cs="Times New Roman"/>
          <w:color w:val="auto"/>
          <w:sz w:val="24"/>
          <w:lang w:val="en-US" w:eastAsia="zh-CN"/>
        </w:rPr>
      </w:pPr>
      <w:r>
        <w:rPr>
          <w:rFonts w:hint="eastAsia" w:ascii="Times New Roman" w:hAnsi="Times New Roman" w:cs="Times New Roman"/>
          <w:color w:val="auto"/>
          <w:sz w:val="24"/>
          <w:lang w:val="en-US" w:eastAsia="zh-CN"/>
        </w:rPr>
        <w:t>在合同执行过程中发生的与本合同有关的争议，双方应通过友好协商解决。经协商在60天内不能解决时，按照《中华人民共和国民法典》有关条款执行。</w:t>
      </w:r>
    </w:p>
    <w:p w14:paraId="3C1FFEFC">
      <w:pPr>
        <w:numPr>
          <w:ilvl w:val="0"/>
          <w:numId w:val="0"/>
        </w:numPr>
        <w:spacing w:line="360" w:lineRule="auto"/>
        <w:ind w:firstLine="482" w:firstLineChars="200"/>
        <w:rPr>
          <w:rFonts w:hint="eastAsia"/>
          <w:b/>
          <w:bCs/>
          <w:color w:val="auto"/>
          <w:sz w:val="24"/>
        </w:rPr>
      </w:pPr>
      <w:r>
        <w:rPr>
          <w:rFonts w:hint="eastAsia"/>
          <w:b/>
          <w:bCs/>
          <w:color w:val="auto"/>
          <w:kern w:val="2"/>
          <w:sz w:val="24"/>
          <w:szCs w:val="24"/>
          <w:lang w:val="en-US" w:eastAsia="zh-CN" w:bidi="ar-SA"/>
        </w:rPr>
        <w:t>八、</w:t>
      </w:r>
      <w:r>
        <w:rPr>
          <w:rFonts w:hint="eastAsia"/>
          <w:b/>
          <w:bCs/>
          <w:color w:val="auto"/>
          <w:sz w:val="24"/>
        </w:rPr>
        <w:t>合同的修改和补充</w:t>
      </w:r>
    </w:p>
    <w:p w14:paraId="70C68CEA">
      <w:pPr>
        <w:spacing w:line="360" w:lineRule="auto"/>
        <w:ind w:firstLine="480" w:firstLineChars="200"/>
        <w:rPr>
          <w:rFonts w:hint="eastAsia"/>
          <w:color w:val="auto"/>
          <w:sz w:val="24"/>
        </w:rPr>
      </w:pPr>
      <w:r>
        <w:rPr>
          <w:rFonts w:hint="eastAsia"/>
          <w:color w:val="auto"/>
          <w:sz w:val="24"/>
        </w:rPr>
        <w:t>欲对合同条款作出任何修改和补充，均须由甲、乙双方法定代表人或其授权的代表签署书面协议。</w:t>
      </w:r>
    </w:p>
    <w:p w14:paraId="2E25ACF5">
      <w:pPr>
        <w:spacing w:line="360" w:lineRule="auto"/>
        <w:ind w:firstLine="480" w:firstLineChars="200"/>
        <w:rPr>
          <w:rFonts w:hint="eastAsia"/>
          <w:color w:val="auto"/>
          <w:sz w:val="24"/>
        </w:rPr>
      </w:pPr>
    </w:p>
    <w:p w14:paraId="1370A9FE">
      <w:pPr>
        <w:spacing w:line="360" w:lineRule="auto"/>
        <w:ind w:firstLine="480" w:firstLineChars="200"/>
        <w:rPr>
          <w:rFonts w:hint="eastAsia"/>
          <w:color w:val="auto"/>
          <w:sz w:val="24"/>
        </w:rPr>
      </w:pPr>
      <w:r>
        <w:rPr>
          <w:rFonts w:hint="eastAsia"/>
          <w:color w:val="auto"/>
          <w:sz w:val="24"/>
        </w:rPr>
        <w:t>甲方：(签章)                      乙方：(签章)</w:t>
      </w:r>
    </w:p>
    <w:p w14:paraId="2A6C77A2">
      <w:pPr>
        <w:spacing w:line="360" w:lineRule="auto"/>
        <w:ind w:firstLine="480" w:firstLineChars="200"/>
        <w:rPr>
          <w:rFonts w:hint="eastAsia"/>
          <w:color w:val="auto"/>
          <w:sz w:val="24"/>
        </w:rPr>
      </w:pPr>
      <w:r>
        <w:rPr>
          <w:rFonts w:hint="eastAsia"/>
          <w:color w:val="auto"/>
          <w:sz w:val="24"/>
        </w:rPr>
        <w:t>地址：                           地址：</w:t>
      </w:r>
    </w:p>
    <w:p w14:paraId="20D98DF2">
      <w:pPr>
        <w:spacing w:line="360" w:lineRule="auto"/>
        <w:ind w:firstLine="480" w:firstLineChars="200"/>
        <w:rPr>
          <w:rFonts w:hint="eastAsia"/>
          <w:color w:val="auto"/>
          <w:sz w:val="24"/>
        </w:rPr>
      </w:pPr>
      <w:r>
        <w:rPr>
          <w:rFonts w:hint="eastAsia"/>
          <w:color w:val="auto"/>
          <w:sz w:val="24"/>
        </w:rPr>
        <w:t>邮编：                           邮编：</w:t>
      </w:r>
    </w:p>
    <w:p w14:paraId="561B0EF2">
      <w:pPr>
        <w:spacing w:line="360" w:lineRule="auto"/>
        <w:ind w:firstLine="480" w:firstLineChars="200"/>
        <w:rPr>
          <w:rFonts w:hint="eastAsia"/>
          <w:color w:val="auto"/>
          <w:sz w:val="24"/>
        </w:rPr>
      </w:pPr>
      <w:r>
        <w:rPr>
          <w:rFonts w:hint="eastAsia"/>
          <w:color w:val="auto"/>
          <w:sz w:val="24"/>
        </w:rPr>
        <w:t>开户行：                         开户行：</w:t>
      </w:r>
    </w:p>
    <w:p w14:paraId="0C171B7C">
      <w:pPr>
        <w:spacing w:line="360" w:lineRule="auto"/>
        <w:ind w:firstLine="480" w:firstLineChars="200"/>
        <w:rPr>
          <w:rFonts w:hint="eastAsia"/>
          <w:color w:val="auto"/>
          <w:sz w:val="24"/>
        </w:rPr>
      </w:pPr>
      <w:r>
        <w:rPr>
          <w:rFonts w:hint="eastAsia"/>
          <w:color w:val="auto"/>
          <w:sz w:val="24"/>
        </w:rPr>
        <w:t>账号：                           账号：</w:t>
      </w:r>
    </w:p>
    <w:p w14:paraId="3ED9B208">
      <w:pPr>
        <w:spacing w:line="360" w:lineRule="auto"/>
        <w:ind w:firstLine="480" w:firstLineChars="200"/>
        <w:rPr>
          <w:rFonts w:hint="eastAsia"/>
          <w:color w:val="auto"/>
          <w:sz w:val="24"/>
        </w:rPr>
      </w:pPr>
      <w:r>
        <w:rPr>
          <w:rFonts w:hint="eastAsia"/>
          <w:color w:val="auto"/>
          <w:sz w:val="24"/>
        </w:rPr>
        <w:t>电话：                           电话：</w:t>
      </w:r>
    </w:p>
    <w:p w14:paraId="72DFF09C">
      <w:pPr>
        <w:spacing w:line="360" w:lineRule="auto"/>
        <w:ind w:firstLine="480" w:firstLineChars="200"/>
        <w:rPr>
          <w:rFonts w:hint="eastAsia"/>
          <w:color w:val="auto"/>
          <w:sz w:val="24"/>
        </w:rPr>
      </w:pPr>
      <w:r>
        <w:rPr>
          <w:rFonts w:hint="eastAsia"/>
          <w:color w:val="auto"/>
          <w:sz w:val="24"/>
        </w:rPr>
        <w:t xml:space="preserve">传真：                           传真：       </w:t>
      </w:r>
    </w:p>
    <w:p w14:paraId="308CC2AB">
      <w:pPr>
        <w:spacing w:line="360" w:lineRule="auto"/>
        <w:ind w:firstLine="480" w:firstLineChars="200"/>
        <w:rPr>
          <w:rFonts w:hint="eastAsia" w:ascii="Times New Roman" w:hAnsi="Times New Roman" w:cs="Times New Roman"/>
          <w:color w:val="auto"/>
          <w:sz w:val="24"/>
          <w:lang w:val="en-US" w:eastAsia="zh-CN"/>
        </w:rPr>
      </w:pPr>
      <w:r>
        <w:rPr>
          <w:rFonts w:hint="eastAsia" w:ascii="Times New Roman" w:hAnsi="Times New Roman" w:cs="Times New Roman"/>
          <w:color w:val="auto"/>
          <w:sz w:val="24"/>
          <w:lang w:val="en-US" w:eastAsia="zh-CN"/>
        </w:rPr>
        <w:t>法定代表人或授权代表</w:t>
      </w:r>
      <w:r>
        <w:rPr>
          <w:rFonts w:hint="eastAsia" w:ascii="Times New Roman" w:hAnsi="Times New Roman" w:cs="Times New Roman"/>
          <w:color w:val="auto"/>
          <w:sz w:val="24"/>
        </w:rPr>
        <w:t xml:space="preserve">：    </w:t>
      </w:r>
      <w:r>
        <w:rPr>
          <w:rFonts w:hint="eastAsia"/>
          <w:color w:val="auto"/>
          <w:sz w:val="24"/>
        </w:rPr>
        <w:t xml:space="preserve">       </w:t>
      </w:r>
      <w:r>
        <w:rPr>
          <w:rFonts w:hint="eastAsia" w:ascii="Times New Roman" w:hAnsi="Times New Roman" w:cs="Times New Roman"/>
          <w:color w:val="auto"/>
          <w:sz w:val="24"/>
          <w:lang w:val="en-US" w:eastAsia="zh-CN"/>
        </w:rPr>
        <w:t>法定代表人或授权代表：</w:t>
      </w:r>
    </w:p>
    <w:p w14:paraId="564858F6">
      <w:pPr>
        <w:spacing w:line="360" w:lineRule="auto"/>
        <w:ind w:firstLine="480" w:firstLineChars="200"/>
        <w:rPr>
          <w:rFonts w:hint="eastAsia"/>
          <w:color w:val="auto"/>
          <w:sz w:val="24"/>
        </w:rPr>
      </w:pPr>
      <w:r>
        <w:rPr>
          <w:rFonts w:hint="eastAsia"/>
          <w:color w:val="auto"/>
          <w:sz w:val="24"/>
        </w:rPr>
        <w:t>签订时间：                       签订时间：</w:t>
      </w:r>
    </w:p>
    <w:p w14:paraId="3F21ECED">
      <w:pPr>
        <w:spacing w:line="360" w:lineRule="auto"/>
        <w:ind w:firstLine="480" w:firstLineChars="200"/>
        <w:rPr>
          <w:rFonts w:hint="eastAsia"/>
          <w:color w:val="auto"/>
          <w:sz w:val="24"/>
        </w:rPr>
      </w:pPr>
    </w:p>
    <w:p w14:paraId="2F27235E">
      <w:pPr>
        <w:spacing w:before="156" w:beforeLines="50" w:line="360" w:lineRule="auto"/>
        <w:ind w:firstLine="480" w:firstLineChars="200"/>
        <w:rPr>
          <w:rFonts w:hint="eastAsia"/>
          <w:color w:val="auto"/>
          <w:sz w:val="24"/>
        </w:rPr>
      </w:pPr>
      <w:r>
        <w:rPr>
          <w:rFonts w:hint="eastAsia"/>
          <w:color w:val="auto"/>
          <w:sz w:val="24"/>
        </w:rPr>
        <w:t>见证方：</w:t>
      </w:r>
      <w:r>
        <w:rPr>
          <w:rFonts w:hint="eastAsia"/>
          <w:color w:val="auto"/>
          <w:sz w:val="24"/>
          <w:u w:val="single"/>
        </w:rPr>
        <w:t xml:space="preserve">  海南菲迪克招标咨询有限公司   </w:t>
      </w:r>
    </w:p>
    <w:p w14:paraId="5D13E561">
      <w:pPr>
        <w:spacing w:line="360" w:lineRule="auto"/>
        <w:ind w:firstLine="480" w:firstLineChars="200"/>
        <w:rPr>
          <w:color w:val="auto"/>
        </w:rPr>
      </w:pPr>
      <w:r>
        <w:rPr>
          <w:rFonts w:hint="eastAsia"/>
          <w:color w:val="auto"/>
          <w:sz w:val="24"/>
          <w:lang w:val="en-US" w:eastAsia="zh-CN"/>
        </w:rPr>
        <w:t>见证日期：    年   月   日</w:t>
      </w:r>
    </w:p>
    <w:p w14:paraId="6E704CED">
      <w:pPr>
        <w:rPr>
          <w:color w:val="auto"/>
        </w:rPr>
      </w:pPr>
    </w:p>
    <w:p w14:paraId="748A9CA2">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705AAD"/>
    <w:rsid w:val="1EAA5E17"/>
    <w:rsid w:val="274F3C8F"/>
    <w:rsid w:val="2B9F05E5"/>
    <w:rsid w:val="396E50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next w:val="1"/>
    <w:unhideWhenUsed/>
    <w:qFormat/>
    <w:uiPriority w:val="99"/>
    <w:pPr>
      <w:adjustRightInd w:val="0"/>
      <w:ind w:firstLine="420"/>
      <w:jc w:val="left"/>
      <w:textAlignment w:val="baseline"/>
    </w:pPr>
    <w:rPr>
      <w:rFonts w:eastAsia="楷体_GB2312"/>
      <w:sz w:val="24"/>
      <w:szCs w:val="20"/>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3943</Words>
  <Characters>3976</Characters>
  <Lines>0</Lines>
  <Paragraphs>0</Paragraphs>
  <TotalTime>0</TotalTime>
  <ScaleCrop>false</ScaleCrop>
  <LinksUpToDate>false</LinksUpToDate>
  <CharactersWithSpaces>4350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2025-02-13T20:26:00Z</dcterms:created>
  <dc:creator>Administrator.BF-202405311758</dc:creator>
  <cp:lastModifiedBy>TLL</cp:lastModifiedBy>
  <dcterms:modified xsi:type="dcterms:W3CDTF">2025-02-28T03:01:38Z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eyJoZGlkIjoiNzRjNTJiYjI5NzUzODdiYTIxOTExMmUwYzY2MGEwNDYiLCJ1c2VySWQiOiI1ODQwNDQwMjQifQ==</vt:lpwstr>
  </property>
  <property fmtid="{D5CDD505-2E9C-101B-9397-08002B2CF9AE}" pid="4" name="ICV">
    <vt:lpwstr>01FD44B97A74469BAB1D6A3552B2A4A3_12</vt:lpwstr>
  </property>
</Properties>
</file>