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海南医科大学第二附属医院医疗设备2025年度更新项目（第一批）</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SCIT-HNZG-2026020004.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海南医科大学第二附属医院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海南医科大学第二附属医院</w:t>
      </w:r>
      <w:r>
        <w:rPr>
          <w:rFonts w:ascii="仿宋_GB2312" w:hAnsi="仿宋_GB2312" w:cs="仿宋_GB2312" w:eastAsia="仿宋_GB2312"/>
        </w:rPr>
        <w:t xml:space="preserve"> 委托， </w:t>
      </w:r>
      <w:r>
        <w:rPr>
          <w:rFonts w:ascii="仿宋_GB2312" w:hAnsi="仿宋_GB2312" w:cs="仿宋_GB2312" w:eastAsia="仿宋_GB2312"/>
        </w:rPr>
        <w:t>四川国际招标有限责任公司</w:t>
      </w:r>
      <w:r>
        <w:rPr>
          <w:rFonts w:ascii="仿宋_GB2312" w:hAnsi="仿宋_GB2312" w:cs="仿宋_GB2312" w:eastAsia="仿宋_GB2312"/>
        </w:rPr>
        <w:t xml:space="preserve"> 对 </w:t>
      </w:r>
      <w:r>
        <w:rPr>
          <w:rFonts w:ascii="仿宋_GB2312" w:hAnsi="仿宋_GB2312" w:cs="仿宋_GB2312" w:eastAsia="仿宋_GB2312"/>
        </w:rPr>
        <w:t>海南医科大学第二附属医院医疗设备2025年度更新项目（第一批）</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SCIT-HNZG-2026020004.</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海南医科大学第二附属医院医疗设备2025年度更新项目（第一批）</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7,830,000.00元</w:t>
      </w:r>
      <w:r>
        <w:rPr>
          <w:rFonts w:ascii="仿宋_GB2312" w:hAnsi="仿宋_GB2312" w:cs="仿宋_GB2312" w:eastAsia="仿宋_GB2312"/>
        </w:rPr>
        <w:t>柒佰捌拾叁万元整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签订合同生效之日起60天内交付全部产品。</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签订合同生效之日起60天内交付全部产品。</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签订合同生效之日起60天内交付全部产品。</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签订合同生效之日起60天内交付全部产品。</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签订合同生效之日起国产设备60天、进口设备90天内交付全部产品。</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签订合同生效之日起60天内交付全部产品。</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签订合同生效之日起60天内交付全部产品。</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签订合同生效之日起60天内交付全部产品。</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签订合同生效之日起60天内交付全部产品。</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签订合同生效之日起60天内交付全部产品。</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签订合同生效之日起国产设备60天、进口设备90天内交付全部产品。</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jc w:val="left"/>
      </w:pPr>
      <w:r>
        <w:rPr>
          <w:rFonts w:ascii="仿宋_GB2312" w:hAnsi="仿宋_GB2312" w:cs="仿宋_GB2312" w:eastAsia="仿宋_GB2312"/>
        </w:rPr>
        <w:t>采购包7：不属于专门面向中小企业采购。</w:t>
      </w:r>
    </w:p>
    <w:p>
      <w:pPr>
        <w:pStyle w:val="null3"/>
        <w:jc w:val="left"/>
      </w:pPr>
      <w:r>
        <w:rPr>
          <w:rFonts w:ascii="仿宋_GB2312" w:hAnsi="仿宋_GB2312" w:cs="仿宋_GB2312" w:eastAsia="仿宋_GB2312"/>
        </w:rPr>
        <w:t>采购包8：不属于专门面向中小企业采购。</w:t>
      </w:r>
    </w:p>
    <w:p>
      <w:pPr>
        <w:pStyle w:val="null3"/>
        <w:jc w:val="left"/>
      </w:pPr>
      <w:r>
        <w:rPr>
          <w:rFonts w:ascii="仿宋_GB2312" w:hAnsi="仿宋_GB2312" w:cs="仿宋_GB2312" w:eastAsia="仿宋_GB2312"/>
        </w:rPr>
        <w:t>采购包9：不属于专门面向中小企业采购。</w:t>
      </w:r>
    </w:p>
    <w:p>
      <w:pPr>
        <w:pStyle w:val="null3"/>
        <w:jc w:val="left"/>
      </w:pPr>
      <w:r>
        <w:rPr>
          <w:rFonts w:ascii="仿宋_GB2312" w:hAnsi="仿宋_GB2312" w:cs="仿宋_GB2312" w:eastAsia="仿宋_GB2312"/>
        </w:rPr>
        <w:t>采购包10：不属于专门面向中小企业采购。</w:t>
      </w:r>
    </w:p>
    <w:p>
      <w:pPr>
        <w:pStyle w:val="null3"/>
        <w:jc w:val="left"/>
      </w:pPr>
      <w:r>
        <w:rPr>
          <w:rFonts w:ascii="仿宋_GB2312" w:hAnsi="仿宋_GB2312" w:cs="仿宋_GB2312" w:eastAsia="仿宋_GB2312"/>
        </w:rPr>
        <w:t>采购包11：不属于专门面向中小企业采购。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资质条件：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资质条件：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资质条件：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资质条件：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资质条件：1、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2、所投产品若是进口产品，供应商非所投产品制造厂家需提供产品制造厂家对所投产品的授权，或具有授权权限的代理商对所投产品的授权（且需提供该代理商具有有效授权权限的相关证明文件，证明文件需能显示产品制造厂家对所投产品授权链条的完整性）。</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资质条件：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资质条件：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资质条件：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资质条件：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资质条件：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资质条件：1、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2、所投产品若是进口产品，供应商非所投产品制造厂家需提供产品制造厂家对所投产品的授权，或具有授权权限的代理商对所投产品的授权（且需提供该代理商具有有效授权权限的相关证明文件，证明文件需能显示产品制造厂家对所投产品授权链条的完整性）。</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1、本项目落实的政府采购政策：支持本国产品、促进中小企业发展、促进监狱企业发展、促进残疾人福利性单位发展。 2、本项目不专门面向中小企业采购的原因：按照政府采购促进中小企业发展管理办法规定预留采购份额无法确保充分供应、充分竞争，或者存在可能影响政府采购目标实现的情形，本项目不专门面向中小企业。 3、本项目采购信息指定发布媒体为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4、本项目为远程不见面开标，供应商无须到达开标现场，但开标前必须进入电子开标大厅在线签到（未签到视为无效投标），远程按时参加在线开标解密、开标记录盖章确认等即可。 5、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 热线一：4001691288； 本项目需使用蓝色CA锁，CA数字证书认证咨询电话：0898-66668096。</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海南医科大学第二附属医院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海南省海口市龙华区椰海大道368号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0898-66808258</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四川国际招标有限责任公司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项目经理（李根长）、项目助理（廖文怡）</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0898-68520848/18976349657</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采购包1：250,000.00元</w:t>
            </w:r>
          </w:p>
          <w:p>
            <w:pPr>
              <w:pStyle w:val="null3"/>
              <w:jc w:val="left"/>
            </w:pPr>
            <w:r>
              <w:rPr>
                <w:rFonts w:ascii="仿宋_GB2312" w:hAnsi="仿宋_GB2312" w:cs="仿宋_GB2312" w:eastAsia="仿宋_GB2312"/>
              </w:rPr>
              <w:t>采购包2：1,350,000.00元</w:t>
            </w:r>
          </w:p>
          <w:p>
            <w:pPr>
              <w:pStyle w:val="null3"/>
              <w:jc w:val="left"/>
            </w:pPr>
            <w:r>
              <w:rPr>
                <w:rFonts w:ascii="仿宋_GB2312" w:hAnsi="仿宋_GB2312" w:cs="仿宋_GB2312" w:eastAsia="仿宋_GB2312"/>
              </w:rPr>
              <w:t>采购包3：990,000.00元</w:t>
            </w:r>
          </w:p>
          <w:p>
            <w:pPr>
              <w:pStyle w:val="null3"/>
              <w:jc w:val="left"/>
            </w:pPr>
            <w:r>
              <w:rPr>
                <w:rFonts w:ascii="仿宋_GB2312" w:hAnsi="仿宋_GB2312" w:cs="仿宋_GB2312" w:eastAsia="仿宋_GB2312"/>
              </w:rPr>
              <w:t>采购包4：100,000.00元</w:t>
            </w:r>
          </w:p>
          <w:p>
            <w:pPr>
              <w:pStyle w:val="null3"/>
              <w:jc w:val="left"/>
            </w:pPr>
            <w:r>
              <w:rPr>
                <w:rFonts w:ascii="仿宋_GB2312" w:hAnsi="仿宋_GB2312" w:cs="仿宋_GB2312" w:eastAsia="仿宋_GB2312"/>
              </w:rPr>
              <w:t>采购包5：790,000.00元</w:t>
            </w:r>
          </w:p>
          <w:p>
            <w:pPr>
              <w:pStyle w:val="null3"/>
              <w:jc w:val="left"/>
            </w:pPr>
            <w:r>
              <w:rPr>
                <w:rFonts w:ascii="仿宋_GB2312" w:hAnsi="仿宋_GB2312" w:cs="仿宋_GB2312" w:eastAsia="仿宋_GB2312"/>
              </w:rPr>
              <w:t>采购包6：960,000.00元</w:t>
            </w:r>
          </w:p>
          <w:p>
            <w:pPr>
              <w:pStyle w:val="null3"/>
              <w:jc w:val="left"/>
            </w:pPr>
            <w:r>
              <w:rPr>
                <w:rFonts w:ascii="仿宋_GB2312" w:hAnsi="仿宋_GB2312" w:cs="仿宋_GB2312" w:eastAsia="仿宋_GB2312"/>
              </w:rPr>
              <w:t>采购包7：380,000.00元</w:t>
            </w:r>
          </w:p>
          <w:p>
            <w:pPr>
              <w:pStyle w:val="null3"/>
              <w:jc w:val="left"/>
            </w:pPr>
            <w:r>
              <w:rPr>
                <w:rFonts w:ascii="仿宋_GB2312" w:hAnsi="仿宋_GB2312" w:cs="仿宋_GB2312" w:eastAsia="仿宋_GB2312"/>
              </w:rPr>
              <w:t>采购包8：1,180,000.00元</w:t>
            </w:r>
          </w:p>
          <w:p>
            <w:pPr>
              <w:pStyle w:val="null3"/>
              <w:jc w:val="left"/>
            </w:pPr>
            <w:r>
              <w:rPr>
                <w:rFonts w:ascii="仿宋_GB2312" w:hAnsi="仿宋_GB2312" w:cs="仿宋_GB2312" w:eastAsia="仿宋_GB2312"/>
              </w:rPr>
              <w:t>采购包9：700,000.00元</w:t>
            </w:r>
          </w:p>
          <w:p>
            <w:pPr>
              <w:pStyle w:val="null3"/>
              <w:jc w:val="left"/>
            </w:pPr>
            <w:r>
              <w:rPr>
                <w:rFonts w:ascii="仿宋_GB2312" w:hAnsi="仿宋_GB2312" w:cs="仿宋_GB2312" w:eastAsia="仿宋_GB2312"/>
              </w:rPr>
              <w:t>采购包10：630,000.00元</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p>
          <w:p>
            <w:pPr>
              <w:pStyle w:val="null3"/>
              <w:jc w:val="left"/>
            </w:pPr>
            <w:r>
              <w:rPr>
                <w:rFonts w:ascii="仿宋_GB2312" w:hAnsi="仿宋_GB2312" w:cs="仿宋_GB2312" w:eastAsia="仿宋_GB2312"/>
              </w:rPr>
              <w:t>采购包8：综合评分法</w:t>
            </w:r>
          </w:p>
          <w:p>
            <w:pPr>
              <w:pStyle w:val="null3"/>
              <w:jc w:val="left"/>
            </w:pPr>
            <w:r>
              <w:rPr>
                <w:rFonts w:ascii="仿宋_GB2312" w:hAnsi="仿宋_GB2312" w:cs="仿宋_GB2312" w:eastAsia="仿宋_GB2312"/>
              </w:rPr>
              <w:t>采购包9：综合评分法</w:t>
            </w:r>
          </w:p>
          <w:p>
            <w:pPr>
              <w:pStyle w:val="null3"/>
              <w:jc w:val="left"/>
            </w:pPr>
            <w:r>
              <w:rPr>
                <w:rFonts w:ascii="仿宋_GB2312" w:hAnsi="仿宋_GB2312" w:cs="仿宋_GB2312" w:eastAsia="仿宋_GB2312"/>
              </w:rPr>
              <w:t>采购包10：综合评分法</w:t>
            </w:r>
          </w:p>
          <w:p>
            <w:pPr>
              <w:pStyle w:val="null3"/>
              <w:jc w:val="left"/>
            </w:pPr>
            <w:r>
              <w:rPr>
                <w:rFonts w:ascii="仿宋_GB2312" w:hAnsi="仿宋_GB2312" w:cs="仿宋_GB2312" w:eastAsia="仿宋_GB2312"/>
              </w:rPr>
              <w:t>采购包11：综合评分法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采购包7：不接受</w:t>
            </w:r>
          </w:p>
          <w:p>
            <w:pPr>
              <w:pStyle w:val="null3"/>
              <w:jc w:val="left"/>
            </w:pPr>
            <w:r>
              <w:rPr>
                <w:rFonts w:ascii="仿宋_GB2312" w:hAnsi="仿宋_GB2312" w:cs="仿宋_GB2312" w:eastAsia="仿宋_GB2312"/>
              </w:rPr>
              <w:t>采购包8：不接受</w:t>
            </w:r>
          </w:p>
          <w:p>
            <w:pPr>
              <w:pStyle w:val="null3"/>
              <w:jc w:val="left"/>
            </w:pPr>
            <w:r>
              <w:rPr>
                <w:rFonts w:ascii="仿宋_GB2312" w:hAnsi="仿宋_GB2312" w:cs="仿宋_GB2312" w:eastAsia="仿宋_GB2312"/>
              </w:rPr>
              <w:t>采购包9：不接受</w:t>
            </w:r>
          </w:p>
          <w:p>
            <w:pPr>
              <w:pStyle w:val="null3"/>
              <w:jc w:val="left"/>
            </w:pPr>
            <w:r>
              <w:rPr>
                <w:rFonts w:ascii="仿宋_GB2312" w:hAnsi="仿宋_GB2312" w:cs="仿宋_GB2312" w:eastAsia="仿宋_GB2312"/>
              </w:rPr>
              <w:t>采购包10：不接受</w:t>
            </w:r>
          </w:p>
          <w:p>
            <w:pPr>
              <w:pStyle w:val="null3"/>
              <w:jc w:val="left"/>
            </w:pPr>
            <w:r>
              <w:rPr>
                <w:rFonts w:ascii="仿宋_GB2312" w:hAnsi="仿宋_GB2312" w:cs="仿宋_GB2312" w:eastAsia="仿宋_GB2312"/>
              </w:rPr>
              <w:t>采购包11：不接受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p>
            <w:pPr>
              <w:pStyle w:val="null3"/>
              <w:jc w:val="left"/>
            </w:pPr>
            <w:r>
              <w:rPr>
                <w:rFonts w:ascii="仿宋_GB2312" w:hAnsi="仿宋_GB2312" w:cs="仿宋_GB2312" w:eastAsia="仿宋_GB2312"/>
              </w:rPr>
              <w:t>采购包6：不缴纳</w:t>
            </w:r>
          </w:p>
          <w:p>
            <w:pPr>
              <w:pStyle w:val="null3"/>
              <w:jc w:val="left"/>
            </w:pPr>
            <w:r>
              <w:rPr>
                <w:rFonts w:ascii="仿宋_GB2312" w:hAnsi="仿宋_GB2312" w:cs="仿宋_GB2312" w:eastAsia="仿宋_GB2312"/>
              </w:rPr>
              <w:t>采购包7：不缴纳</w:t>
            </w:r>
          </w:p>
          <w:p>
            <w:pPr>
              <w:pStyle w:val="null3"/>
              <w:jc w:val="left"/>
            </w:pPr>
            <w:r>
              <w:rPr>
                <w:rFonts w:ascii="仿宋_GB2312" w:hAnsi="仿宋_GB2312" w:cs="仿宋_GB2312" w:eastAsia="仿宋_GB2312"/>
              </w:rPr>
              <w:t>采购包8：不缴纳</w:t>
            </w:r>
          </w:p>
          <w:p>
            <w:pPr>
              <w:pStyle w:val="null3"/>
              <w:jc w:val="left"/>
            </w:pPr>
            <w:r>
              <w:rPr>
                <w:rFonts w:ascii="仿宋_GB2312" w:hAnsi="仿宋_GB2312" w:cs="仿宋_GB2312" w:eastAsia="仿宋_GB2312"/>
              </w:rPr>
              <w:t>采购包9：不缴纳</w:t>
            </w:r>
          </w:p>
          <w:p>
            <w:pPr>
              <w:pStyle w:val="null3"/>
              <w:jc w:val="left"/>
            </w:pPr>
            <w:r>
              <w:rPr>
                <w:rFonts w:ascii="仿宋_GB2312" w:hAnsi="仿宋_GB2312" w:cs="仿宋_GB2312" w:eastAsia="仿宋_GB2312"/>
              </w:rPr>
              <w:t>采购包10：不缴纳</w:t>
            </w:r>
          </w:p>
          <w:p>
            <w:pPr>
              <w:pStyle w:val="null3"/>
              <w:jc w:val="left"/>
            </w:pPr>
            <w:r>
              <w:rPr>
                <w:rFonts w:ascii="仿宋_GB2312" w:hAnsi="仿宋_GB2312" w:cs="仿宋_GB2312" w:eastAsia="仿宋_GB2312"/>
              </w:rPr>
              <w:t>采购包11：不缴纳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代理服务费收费标准：以中标（成交）金额为计费基数，参照《海南省物价局关于降低部分招标代理机构服务收费标准的通知》（琼价费管〔201 1〕225号）文件规定的收费标准执行。在中标（成交）通知书领取之前收取代理费用。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p>
            <w:pPr>
              <w:pStyle w:val="null3"/>
              <w:jc w:val="left"/>
            </w:pPr>
            <w:r>
              <w:rPr>
                <w:rFonts w:ascii="仿宋_GB2312" w:hAnsi="仿宋_GB2312" w:cs="仿宋_GB2312" w:eastAsia="仿宋_GB2312"/>
              </w:rPr>
              <w:t>采购包7：不允许分包；</w:t>
            </w:r>
          </w:p>
          <w:p>
            <w:pPr>
              <w:pStyle w:val="null3"/>
              <w:jc w:val="left"/>
            </w:pPr>
            <w:r>
              <w:rPr>
                <w:rFonts w:ascii="仿宋_GB2312" w:hAnsi="仿宋_GB2312" w:cs="仿宋_GB2312" w:eastAsia="仿宋_GB2312"/>
              </w:rPr>
              <w:t>采购包8：不允许分包；</w:t>
            </w:r>
          </w:p>
          <w:p>
            <w:pPr>
              <w:pStyle w:val="null3"/>
              <w:jc w:val="left"/>
            </w:pPr>
            <w:r>
              <w:rPr>
                <w:rFonts w:ascii="仿宋_GB2312" w:hAnsi="仿宋_GB2312" w:cs="仿宋_GB2312" w:eastAsia="仿宋_GB2312"/>
              </w:rPr>
              <w:t>采购包9：不允许分包；</w:t>
            </w:r>
          </w:p>
          <w:p>
            <w:pPr>
              <w:pStyle w:val="null3"/>
              <w:jc w:val="left"/>
            </w:pPr>
            <w:r>
              <w:rPr>
                <w:rFonts w:ascii="仿宋_GB2312" w:hAnsi="仿宋_GB2312" w:cs="仿宋_GB2312" w:eastAsia="仿宋_GB2312"/>
              </w:rPr>
              <w:t>采购包10：不允许分包；</w:t>
            </w:r>
          </w:p>
          <w:p>
            <w:pPr>
              <w:pStyle w:val="null3"/>
              <w:jc w:val="left"/>
            </w:pPr>
            <w:r>
              <w:rPr>
                <w:rFonts w:ascii="仿宋_GB2312" w:hAnsi="仿宋_GB2312" w:cs="仿宋_GB2312" w:eastAsia="仿宋_GB2312"/>
              </w:rPr>
              <w:t>采购包11：不允许分包；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p>
            <w:pPr>
              <w:pStyle w:val="null3"/>
              <w:jc w:val="left"/>
            </w:pPr>
            <w:r>
              <w:rPr>
                <w:rFonts w:ascii="仿宋_GB2312" w:hAnsi="仿宋_GB2312" w:cs="仿宋_GB2312" w:eastAsia="仿宋_GB2312"/>
              </w:rPr>
              <w:t>采购包7：3名</w:t>
            </w:r>
          </w:p>
          <w:p>
            <w:pPr>
              <w:pStyle w:val="null3"/>
              <w:jc w:val="left"/>
            </w:pPr>
            <w:r>
              <w:rPr>
                <w:rFonts w:ascii="仿宋_GB2312" w:hAnsi="仿宋_GB2312" w:cs="仿宋_GB2312" w:eastAsia="仿宋_GB2312"/>
              </w:rPr>
              <w:t>采购包8：3名</w:t>
            </w:r>
          </w:p>
          <w:p>
            <w:pPr>
              <w:pStyle w:val="null3"/>
              <w:jc w:val="left"/>
            </w:pPr>
            <w:r>
              <w:rPr>
                <w:rFonts w:ascii="仿宋_GB2312" w:hAnsi="仿宋_GB2312" w:cs="仿宋_GB2312" w:eastAsia="仿宋_GB2312"/>
              </w:rPr>
              <w:t>采购包9：3名</w:t>
            </w:r>
          </w:p>
          <w:p>
            <w:pPr>
              <w:pStyle w:val="null3"/>
              <w:jc w:val="left"/>
            </w:pPr>
            <w:r>
              <w:rPr>
                <w:rFonts w:ascii="仿宋_GB2312" w:hAnsi="仿宋_GB2312" w:cs="仿宋_GB2312" w:eastAsia="仿宋_GB2312"/>
              </w:rPr>
              <w:t>采购包10：3名</w:t>
            </w:r>
          </w:p>
          <w:p>
            <w:pPr>
              <w:pStyle w:val="null3"/>
              <w:jc w:val="left"/>
            </w:pPr>
            <w:r>
              <w:rPr>
                <w:rFonts w:ascii="仿宋_GB2312" w:hAnsi="仿宋_GB2312" w:cs="仿宋_GB2312" w:eastAsia="仿宋_GB2312"/>
              </w:rPr>
              <w:t>采购包11：3名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p>
            <w:pPr>
              <w:pStyle w:val="null3"/>
              <w:jc w:val="left"/>
            </w:pPr>
            <w:r>
              <w:rPr>
                <w:rFonts w:ascii="仿宋_GB2312" w:hAnsi="仿宋_GB2312" w:cs="仿宋_GB2312" w:eastAsia="仿宋_GB2312"/>
              </w:rPr>
              <w:t>采购包7：1名</w:t>
            </w:r>
          </w:p>
          <w:p>
            <w:pPr>
              <w:pStyle w:val="null3"/>
              <w:jc w:val="left"/>
            </w:pPr>
            <w:r>
              <w:rPr>
                <w:rFonts w:ascii="仿宋_GB2312" w:hAnsi="仿宋_GB2312" w:cs="仿宋_GB2312" w:eastAsia="仿宋_GB2312"/>
              </w:rPr>
              <w:t>采购包8：1名</w:t>
            </w:r>
          </w:p>
          <w:p>
            <w:pPr>
              <w:pStyle w:val="null3"/>
              <w:jc w:val="left"/>
            </w:pPr>
            <w:r>
              <w:rPr>
                <w:rFonts w:ascii="仿宋_GB2312" w:hAnsi="仿宋_GB2312" w:cs="仿宋_GB2312" w:eastAsia="仿宋_GB2312"/>
              </w:rPr>
              <w:t>采购包9：1名</w:t>
            </w:r>
          </w:p>
          <w:p>
            <w:pPr>
              <w:pStyle w:val="null3"/>
              <w:jc w:val="left"/>
            </w:pPr>
            <w:r>
              <w:rPr>
                <w:rFonts w:ascii="仿宋_GB2312" w:hAnsi="仿宋_GB2312" w:cs="仿宋_GB2312" w:eastAsia="仿宋_GB2312"/>
              </w:rPr>
              <w:t>采购包10：1名</w:t>
            </w:r>
          </w:p>
          <w:p>
            <w:pPr>
              <w:pStyle w:val="null3"/>
              <w:jc w:val="left"/>
            </w:pPr>
            <w:r>
              <w:rPr>
                <w:rFonts w:ascii="仿宋_GB2312" w:hAnsi="仿宋_GB2312" w:cs="仿宋_GB2312" w:eastAsia="仿宋_GB2312"/>
              </w:rPr>
              <w:t>采购包11：1名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本项目可兼投11包，本项目可兼中11包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其他政府采购政策（实质性要求）：根据《海南省财政厅关于印发海南省绿色产品政府采购实施意见(试行)的通知》，参加政府采购活动前三年内，投标人有环保类行政处罚记录的，其投标无效。参加本次政府采购活动的投标人应当提供《环保类行政处罚记录声明函》（格式详见本项目招标文件第六章）。 2.开标时，投标人应当使用数字证书在解密时限内完成全部已投标采购包的投标文件在线解密，若出现系统异常情况，工作人员可适当延长解密时长。如在开启过程中出现解密失败的情况,允许供应商导入备用响应文件继续开启，若导入的备用响应文件仍解密失败，供应商不再参与政府采购活动。 3、本国产品价格扣除： 1.根据《国务院办公厅关于在政府采购中实施本国产品标准及相关政策的通知》国办发〔2025〕34号，符合本国产品标准的可享受价格扣除，本国产品应当符合以下条件：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2.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3.供应商应提供《关于符合本国产品标准的声明函》原件，未提供的，视为放弃享受本国产品价格扣除优惠政策。 4.当采购项目或者采购包中含有多种产品时，供应商还需提供《本国产品成本比例的声明函》原件。</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联系电话：0898-68520848转812</w:t>
      </w:r>
    </w:p>
    <w:p>
      <w:pPr>
        <w:pStyle w:val="null3"/>
        <w:jc w:val="left"/>
      </w:pPr>
      <w:r>
        <w:rPr>
          <w:rFonts w:ascii="仿宋_GB2312" w:hAnsi="仿宋_GB2312" w:cs="仿宋_GB2312" w:eastAsia="仿宋_GB2312"/>
        </w:rPr>
        <w:t>地址：四川国际招标有限责任公司海南分公司（海南省海口市龙华区国贸路26号汇通大厦（现安徽大厦）706室）</w:t>
      </w:r>
    </w:p>
    <w:p>
      <w:pPr>
        <w:pStyle w:val="null3"/>
        <w:jc w:val="left"/>
      </w:pPr>
      <w:r>
        <w:rPr>
          <w:rFonts w:ascii="仿宋_GB2312" w:hAnsi="仿宋_GB2312" w:cs="仿宋_GB2312" w:eastAsia="仿宋_GB2312"/>
        </w:rPr>
        <w:t>邮编：570106</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color w:val="000000"/>
        </w:rPr>
        <w:t>本项目共</w:t>
      </w:r>
      <w:r>
        <w:rPr>
          <w:rFonts w:ascii="仿宋_GB2312" w:hAnsi="仿宋_GB2312" w:cs="仿宋_GB2312" w:eastAsia="仿宋_GB2312"/>
          <w:color w:val="000000"/>
        </w:rPr>
        <w:t>11个包，采购医疗设备一批</w:t>
      </w:r>
      <w:r>
        <w:rPr>
          <w:rFonts w:ascii="仿宋_GB2312" w:hAnsi="仿宋_GB2312" w:cs="仿宋_GB2312" w:eastAsia="仿宋_GB2312"/>
          <w:color w:val="000000"/>
        </w:rPr>
        <w:t>。</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250,000.00</w:t>
      </w:r>
    </w:p>
    <w:p>
      <w:pPr>
        <w:pStyle w:val="null3"/>
        <w:jc w:val="left"/>
      </w:pPr>
      <w:r>
        <w:rPr>
          <w:rFonts w:ascii="仿宋_GB2312" w:hAnsi="仿宋_GB2312" w:cs="仿宋_GB2312" w:eastAsia="仿宋_GB2312"/>
        </w:rPr>
        <w:t>采购包最高限价（元）: 250,000.00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全自动核酸提取仪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1,350,000.00</w:t>
      </w:r>
    </w:p>
    <w:p>
      <w:pPr>
        <w:pStyle w:val="null3"/>
        <w:jc w:val="left"/>
      </w:pPr>
      <w:r>
        <w:rPr>
          <w:rFonts w:ascii="仿宋_GB2312" w:hAnsi="仿宋_GB2312" w:cs="仿宋_GB2312" w:eastAsia="仿宋_GB2312"/>
        </w:rPr>
        <w:t>采购包最高限价（元）: 1,350,000.00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全自动医用PCR分析系统</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right"/>
            </w:pPr>
            <w:r>
              <w:rPr>
                <w:rFonts w:ascii="仿宋_GB2312" w:hAnsi="仿宋_GB2312" w:cs="仿宋_GB2312" w:eastAsia="仿宋_GB2312"/>
              </w:rPr>
              <w:t>1,350,000.00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990,000.00</w:t>
      </w:r>
    </w:p>
    <w:p>
      <w:pPr>
        <w:pStyle w:val="null3"/>
        <w:jc w:val="left"/>
      </w:pPr>
      <w:r>
        <w:rPr>
          <w:rFonts w:ascii="仿宋_GB2312" w:hAnsi="仿宋_GB2312" w:cs="仿宋_GB2312" w:eastAsia="仿宋_GB2312"/>
        </w:rPr>
        <w:t>采购包最高限价（元）: 990,000.00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全自动血液分析流水线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990,000.00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100,000.00</w:t>
      </w:r>
    </w:p>
    <w:p>
      <w:pPr>
        <w:pStyle w:val="null3"/>
        <w:jc w:val="left"/>
      </w:pPr>
      <w:r>
        <w:rPr>
          <w:rFonts w:ascii="仿宋_GB2312" w:hAnsi="仿宋_GB2312" w:cs="仿宋_GB2312" w:eastAsia="仿宋_GB2312"/>
        </w:rPr>
        <w:t>采购包最高限价（元）: 100,000.00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全自动医用PCR分析系统2</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790,000.00</w:t>
      </w:r>
    </w:p>
    <w:p>
      <w:pPr>
        <w:pStyle w:val="null3"/>
        <w:jc w:val="left"/>
      </w:pPr>
      <w:r>
        <w:rPr>
          <w:rFonts w:ascii="仿宋_GB2312" w:hAnsi="仿宋_GB2312" w:cs="仿宋_GB2312" w:eastAsia="仿宋_GB2312"/>
        </w:rPr>
        <w:t>采购包最高限价（元）: 790,000.00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分枝杆菌培养鉴定药敏系统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960,000.00</w:t>
      </w:r>
    </w:p>
    <w:p>
      <w:pPr>
        <w:pStyle w:val="null3"/>
        <w:jc w:val="left"/>
      </w:pPr>
      <w:r>
        <w:rPr>
          <w:rFonts w:ascii="仿宋_GB2312" w:hAnsi="仿宋_GB2312" w:cs="仿宋_GB2312" w:eastAsia="仿宋_GB2312"/>
        </w:rPr>
        <w:t>采购包最高限价（元）: 960,000.00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全自动酶免分析仪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380,000.00</w:t>
      </w:r>
    </w:p>
    <w:p>
      <w:pPr>
        <w:pStyle w:val="null3"/>
        <w:jc w:val="left"/>
      </w:pPr>
      <w:r>
        <w:rPr>
          <w:rFonts w:ascii="仿宋_GB2312" w:hAnsi="仿宋_GB2312" w:cs="仿宋_GB2312" w:eastAsia="仿宋_GB2312"/>
        </w:rPr>
        <w:t>采购包最高限价（元）: 380,000.00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全自动血液分析流水线2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1,180,000.00</w:t>
      </w:r>
    </w:p>
    <w:p>
      <w:pPr>
        <w:pStyle w:val="null3"/>
        <w:jc w:val="left"/>
      </w:pPr>
      <w:r>
        <w:rPr>
          <w:rFonts w:ascii="仿宋_GB2312" w:hAnsi="仿宋_GB2312" w:cs="仿宋_GB2312" w:eastAsia="仿宋_GB2312"/>
        </w:rPr>
        <w:t>采购包最高限价（元）: 1,180,000.00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全自动微生物质谱检测系统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1,180,000.00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全自动生化分析仪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采购包预算金额（元）: 630,000.00</w:t>
      </w:r>
    </w:p>
    <w:p>
      <w:pPr>
        <w:pStyle w:val="null3"/>
        <w:jc w:val="left"/>
      </w:pPr>
      <w:r>
        <w:rPr>
          <w:rFonts w:ascii="仿宋_GB2312" w:hAnsi="仿宋_GB2312" w:cs="仿宋_GB2312" w:eastAsia="仿宋_GB2312"/>
        </w:rPr>
        <w:t>采购包最高限价（元）: 630,000.00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染色体智能分析系统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倒置荧光显微镜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全自动核酸提取仪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全自动医用PCR分析系统</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全自动血液分析流水线</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全自动医用PCR分析系统2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分枝杆菌培养鉴定药敏系统</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全自动酶免分析仪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全自动血液分析流水线2</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全自动微生物质谱检测系统</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全自动生化分析仪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染色体智能分析系统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倒置荧光显微镜</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标的名称：全自动核酸提取仪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标的名称：全自动医用PCR分析系统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标的名称：全自动血液分析流水线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标的名称：全自动医用PCR分析系统2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标的名称：分枝杆菌培养鉴定药敏系统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标的名称：全自动酶免分析仪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标的名称：全自动血液分析流水线2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标的名称：全自动微生物质谱检测系统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标的名称：全自动生化分析仪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标的名称：染色体智能分析系统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标的名称：倒置荧光显微镜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1、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2、所投产品若是进口产品，供应商非所投产品制造厂家需提供产品制造厂家对所投产品的授权，或具有授权权限的代理商对所投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1、若采购产品为医疗器械的，供应商须符合《医疗器械监督管理条例》要求并提供供应商经营该产品的经营许可/经营备案证明材料；响应产品须符合《医疗器械注册与备案管理办法》要求并提供产品的注册/备案证明材料；若响应产品非医疗器械的，须提供《非医疗器械说明函》。2、所投产品若是进口产品，供应商非所投产品制造厂家需提供产品制造厂家对所投产品的授权，或具有授权权限的代理商对所投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环保类行政处罚记录声明函 封面 商业信誉、财务会计制度、缴纳税收和社保的承诺函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投标人无不良信用记录 投标（响应）报价明细表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投标函 其他材料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封面 环保类行政处罚记录声明函 商业信誉、财务会计制度、缴纳税收和社保的承诺函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环保类行政处罚记录声明函 封面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关于符合本国产品标准的声明函 无重大违法记录声明函 类似业绩一览表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环保类行政处罚记录声明函 封面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投标人无不良信用记录 投标（响应）报价明细表 残疾人福利性单位声明函 关于符合本国产品标准的声明函 无重大违法记录声明函 类似业绩一览表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投标函 其他材料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环保类行政处罚记录声明函 封面 商业信誉、财务会计制度、缴纳税收和社保的承诺函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封面 环保类行政处罚记录声明函 商业信誉、财务会计制度、缴纳税收和社保的承诺函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投标人无不良信用记录 投标（响应）报价明细表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投标人无不良信用记录 投标（响应）报价明细表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封面 环保类行政处罚记录声明函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投标函 其他材料 供应商应提交的相关证明材料 本国产品成本比例的声明函 法定代表人资格证明书或法定代表人授权委托书 符合法律、行政法规规定的其他条件的声明函 投标保证金缴纳证明材料 监狱企业的证明文件 具备履行合同所必需设备和专业技术能力的声明函 开标（报价）一览表 中小企业声明函 具有独立承担民事责任的能力证明文件 投标人承诺函 投标人无不良信用记录 投标（响应）报价明细表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投标人无不良信用记录 投标（响应）报价明细表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封面 环保类行政处罚记录声明函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关于符合本国产品标准的声明函 无重大违法记录声明函 类似业绩一览表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封面 环保类行政处罚记录声明函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环保类行政处罚记录声明函 封面 投标函 其他材料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其他材料 投标函 供应商应提交的相关证明材料 本国产品成本比例的声明函 法定代表人资格证明书或法定代表人授权委托书 符合法律、行政法规规定的其他条件的声明函 投标保证金缴纳证明材料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关于符合本国产品标准的声明函 无重大违法记录声明函 类似业绩一览表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环保类行政处罚记录声明函 封面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投标人无不良信用记录 投标（响应）报价明细表 残疾人福利性单位声明函 关于符合本国产品标准的声明函 无重大违法记录声明函 类似业绩一览表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封面 环保类行政处罚记录声明函 商业信誉、财务会计制度、缴纳税收和社保的承诺函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封面 环保类行政处罚记录声明函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封面 环保类行政处罚记录声明函 投标函 其他材料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投标人无不良信用记录 投标（响应）报价明细表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其他材料 投标函 供应商应提交的相关证明材料 本国产品成本比例的声明函 法定代表人资格证明书或法定代表人授权委托书 符合法律、行政法规规定的其他条件的声明函 投标保证金缴纳证明材料 监狱企业的证明文件 具备履行合同所必需设备和专业技术能力的声明函 开标（报价）一览表 中小企业声明函 具有独立承担民事责任的能力证明文件 投标人承诺函 投标人无不良信用记录 投标（响应）报价明细表 残疾人福利性单位声明函 关于符合本国产品标准的声明函 无重大违法记录声明函 类似业绩一览表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封面 环保类行政处罚记录声明函 商业信誉、财务会计制度、缴纳税收和社保的承诺函 其他材料 投标函 供应商应提交的相关证明材料 本国产品成本比例的声明函 法定代表人资格证明书或法定代表人授权委托书 符合法律、行政法规规定的其他条件的声明函 投标保证金缴纳证明材料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其他材料 投标函 供应商应提交的相关证明材料 本国产品成本比例的声明函 法定代表人资格证明书或法定代表人授权委托书 符合法律、行政法规规定的其他条件的声明函 投标保证金缴纳证明材料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关于符合本国产品标准的声明函 无重大违法记录声明函 类似业绩一览表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封面 环保类行政处罚记录声明函 商业信誉、财务会计制度、缴纳税收和社保的承诺函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关于符合本国产品标准的声明函 无重大违法记录声明函 类似业绩一览表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环保类行政处罚记录声明函 封面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投标人无不良信用记录 投标（响应）报价明细表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环保类行政处罚记录声明函 投标函 其他材料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投标（响应）报价明细表 投标人无不良信用记录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封面 环保类行政处罚记录声明函 其他材料 投标函 供应商应提交的相关证明材料 本国产品成本比例的声明函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具有独立承担民事责任的能力证明文件 投标人承诺函 投标人无不良信用记录 投标（响应）报价明细表 残疾人福利性单位声明函 无重大违法记录声明函 关于符合本国产品标准的声明函 类似业绩一览表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标“▲”条款响应情况</w:t>
            </w:r>
          </w:p>
        </w:tc>
        <w:tc>
          <w:tcPr>
            <w:tcW w:type="dxa" w:w="2492"/>
          </w:tcPr>
          <w:p>
            <w:pPr>
              <w:pStyle w:val="null3"/>
              <w:jc w:val="both"/>
            </w:pPr>
            <w:r>
              <w:rPr>
                <w:rFonts w:ascii="仿宋_GB2312" w:hAnsi="仿宋_GB2312" w:cs="仿宋_GB2312" w:eastAsia="仿宋_GB2312"/>
              </w:rPr>
              <w:t>符合技术要求得6分；每负偏离1项扣3分，负偏离达2项的，此项得0分。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非“▲”、“★”条款响应情况</w:t>
            </w:r>
          </w:p>
        </w:tc>
        <w:tc>
          <w:tcPr>
            <w:tcW w:type="dxa" w:w="2492"/>
          </w:tcPr>
          <w:p>
            <w:pPr>
              <w:pStyle w:val="null3"/>
              <w:jc w:val="both"/>
            </w:pPr>
            <w:r>
              <w:rPr>
                <w:rFonts w:ascii="仿宋_GB2312" w:hAnsi="仿宋_GB2312" w:cs="仿宋_GB2312" w:eastAsia="仿宋_GB2312"/>
              </w:rPr>
              <w:t>符合技术要求得34分；每负偏离1项扣2分，负偏离≥17项的，此项得0分。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投标人自2023年1月1日至投标截止日前完成类似项目业绩，提供一个得0.5分，本项满分2分。 （提供合同复印件加盖供应商公章，以签订合同时间为准，不提供不得分）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类似业绩一览表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产品售后维护、培训、技术支持、应急保障方案4项每缺少1项扣7分，满分28分；以上4项内容，每有一项内容缺陷扣1分，以上4项内容因缺陷最多每项扣7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关于符合本国产品标准的声明函</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本国产品成本比例的声明函</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标“▲”条款响应情况</w:t>
            </w:r>
          </w:p>
        </w:tc>
        <w:tc>
          <w:tcPr>
            <w:tcW w:type="dxa" w:w="2492"/>
          </w:tcPr>
          <w:p>
            <w:pPr>
              <w:pStyle w:val="null3"/>
              <w:jc w:val="both"/>
            </w:pPr>
            <w:r>
              <w:rPr>
                <w:rFonts w:ascii="仿宋_GB2312" w:hAnsi="仿宋_GB2312" w:cs="仿宋_GB2312" w:eastAsia="仿宋_GB2312"/>
              </w:rPr>
              <w:t>符合技术要求得12分；每负偏离1项扣3分，负偏离达4项的，此项得0分。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非“▲”、“★”条款响应情况</w:t>
            </w:r>
          </w:p>
        </w:tc>
        <w:tc>
          <w:tcPr>
            <w:tcW w:type="dxa" w:w="2492"/>
          </w:tcPr>
          <w:p>
            <w:pPr>
              <w:pStyle w:val="null3"/>
              <w:jc w:val="both"/>
            </w:pPr>
            <w:r>
              <w:rPr>
                <w:rFonts w:ascii="仿宋_GB2312" w:hAnsi="仿宋_GB2312" w:cs="仿宋_GB2312" w:eastAsia="仿宋_GB2312"/>
              </w:rPr>
              <w:t>符合技术要求得24分；每负偏离1项扣1.5分，负偏离≥16项的，此项得0分。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投标人自2023年1月1日至投标截止日前完成类似项目业绩，提供一个得1.5分，本项满分6分。 （提供合同复印件加盖供应商公章，以签订合同时间为准，不提供不得分）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类似业绩一览表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产品售后维护、培训、技术支持、应急保障方案4项每缺少1项扣7分，满分28分；以上4项内容，每有一项内容缺陷扣1分，以上4项内容因缺陷最多每项扣7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标“▲”条款响应情况</w:t>
            </w:r>
          </w:p>
        </w:tc>
        <w:tc>
          <w:tcPr>
            <w:tcW w:type="dxa" w:w="2492"/>
          </w:tcPr>
          <w:p>
            <w:pPr>
              <w:pStyle w:val="null3"/>
              <w:jc w:val="both"/>
            </w:pPr>
            <w:r>
              <w:rPr>
                <w:rFonts w:ascii="仿宋_GB2312" w:hAnsi="仿宋_GB2312" w:cs="仿宋_GB2312" w:eastAsia="仿宋_GB2312"/>
              </w:rPr>
              <w:t>符合技术要求得12.5分；每负偏离1项扣2.5分，负偏离达5项的，此项得0分。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非“▲”、“★”条款响应情况</w:t>
            </w:r>
          </w:p>
        </w:tc>
        <w:tc>
          <w:tcPr>
            <w:tcW w:type="dxa" w:w="2492"/>
          </w:tcPr>
          <w:p>
            <w:pPr>
              <w:pStyle w:val="null3"/>
              <w:jc w:val="both"/>
            </w:pPr>
            <w:r>
              <w:rPr>
                <w:rFonts w:ascii="仿宋_GB2312" w:hAnsi="仿宋_GB2312" w:cs="仿宋_GB2312" w:eastAsia="仿宋_GB2312"/>
              </w:rPr>
              <w:t>符合技术要求得22.5分；每负偏离1项扣1.5分，负偏离≥15项的，此项得0分。</w:t>
            </w:r>
          </w:p>
        </w:tc>
        <w:tc>
          <w:tcPr>
            <w:tcW w:type="dxa" w:w="831"/>
          </w:tcPr>
          <w:p>
            <w:pPr>
              <w:pStyle w:val="null3"/>
              <w:jc w:val="right"/>
            </w:pPr>
            <w:r>
              <w:rPr>
                <w:rFonts w:ascii="仿宋_GB2312" w:hAnsi="仿宋_GB2312" w:cs="仿宋_GB2312" w:eastAsia="仿宋_GB2312"/>
              </w:rPr>
              <w:t>22.5000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投标人自2023年1月1日至投标截止日前完成类似项目业绩，提供一个得1.4分，本项满分7分。 （提供合同复印件加盖供应商公章，以签订合同时间为准，不提供不得分）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类似业绩一览表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产品售后维护、培训、技术支持、应急保障方案4项每缺少1项扣7分，满分28分；以上4项内容，每有一项内容缺陷扣1分，以上4项内容因缺陷最多每项扣7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关于符合本国产品标准的声明函</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本国产品成本比例的声明函</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标“▲”条款响应情况</w:t>
            </w:r>
          </w:p>
        </w:tc>
        <w:tc>
          <w:tcPr>
            <w:tcW w:type="dxa" w:w="2492"/>
          </w:tcPr>
          <w:p>
            <w:pPr>
              <w:pStyle w:val="null3"/>
              <w:jc w:val="both"/>
            </w:pPr>
            <w:r>
              <w:rPr>
                <w:rFonts w:ascii="仿宋_GB2312" w:hAnsi="仿宋_GB2312" w:cs="仿宋_GB2312" w:eastAsia="仿宋_GB2312"/>
              </w:rPr>
              <w:t>符合技术要求得12.5分；每负偏离1项扣2.5分，负偏离达5项的，此项得0分。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非“▲”、“★”条款响应情况</w:t>
            </w:r>
          </w:p>
        </w:tc>
        <w:tc>
          <w:tcPr>
            <w:tcW w:type="dxa" w:w="2492"/>
          </w:tcPr>
          <w:p>
            <w:pPr>
              <w:pStyle w:val="null3"/>
              <w:jc w:val="both"/>
            </w:pPr>
            <w:r>
              <w:rPr>
                <w:rFonts w:ascii="仿宋_GB2312" w:hAnsi="仿宋_GB2312" w:cs="仿宋_GB2312" w:eastAsia="仿宋_GB2312"/>
              </w:rPr>
              <w:t>符合技术要求得19.5分；每负偏离1项扣1.5分，负偏离≥13项的，此项得0分。</w:t>
            </w:r>
          </w:p>
        </w:tc>
        <w:tc>
          <w:tcPr>
            <w:tcW w:type="dxa" w:w="831"/>
          </w:tcPr>
          <w:p>
            <w:pPr>
              <w:pStyle w:val="null3"/>
              <w:jc w:val="right"/>
            </w:pPr>
            <w:r>
              <w:rPr>
                <w:rFonts w:ascii="仿宋_GB2312" w:hAnsi="仿宋_GB2312" w:cs="仿宋_GB2312" w:eastAsia="仿宋_GB2312"/>
              </w:rPr>
              <w:t>19.5000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投标人自2023年1月1日至投标截止日前完成类似项目业绩，提供一个得2.5分，本项满分10分。 （提供合同复印件加盖供应商公章，以签订合同时间为准，不提供不得分）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类似业绩一览表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产品售后维护、培训、技术支持、应急保障方案4项每缺少1项扣7分，满分28分；以上4项内容，每有一项内容缺陷扣1分，以上4项内容因缺陷最多每项扣7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关于符合本国产品标准的声明函</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标“▲”条款响应情况</w:t>
            </w:r>
          </w:p>
        </w:tc>
        <w:tc>
          <w:tcPr>
            <w:tcW w:type="dxa" w:w="2492"/>
          </w:tcPr>
          <w:p>
            <w:pPr>
              <w:pStyle w:val="null3"/>
              <w:jc w:val="both"/>
            </w:pPr>
            <w:r>
              <w:rPr>
                <w:rFonts w:ascii="仿宋_GB2312" w:hAnsi="仿宋_GB2312" w:cs="仿宋_GB2312" w:eastAsia="仿宋_GB2312"/>
              </w:rPr>
              <w:t>符合技术要求得25分；每负偏离1项扣5分，负偏离达5项的，此项得0分。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非“▲”、“★”条款响应情况</w:t>
            </w:r>
          </w:p>
        </w:tc>
        <w:tc>
          <w:tcPr>
            <w:tcW w:type="dxa" w:w="2492"/>
          </w:tcPr>
          <w:p>
            <w:pPr>
              <w:pStyle w:val="null3"/>
              <w:jc w:val="both"/>
            </w:pPr>
            <w:r>
              <w:rPr>
                <w:rFonts w:ascii="仿宋_GB2312" w:hAnsi="仿宋_GB2312" w:cs="仿宋_GB2312" w:eastAsia="仿宋_GB2312"/>
              </w:rPr>
              <w:t>符合技术要求得12分；每负偏离1项扣3分，负偏离≥4项的，此项得0分。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投标人自2023年1月1日至投标截止日前完成类似项目业绩，提供一个得1分，本项满分5分。 （提供合同复印件加盖供应商公章，以签订合同时间为准，不提供不得分）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类似业绩一览表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产品售后维护、培训、技术支持、应急保障方案4项每缺少1项扣7分，满分28分；以上4项内容，每有一项内容缺陷扣1分，以上4项内容因缺陷最多每项扣7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符合法律、行政法规规定的其他条件的声明函</w:t>
            </w:r>
          </w:p>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标“▲”条款响应情况</w:t>
            </w:r>
          </w:p>
        </w:tc>
        <w:tc>
          <w:tcPr>
            <w:tcW w:type="dxa" w:w="2492"/>
          </w:tcPr>
          <w:p>
            <w:pPr>
              <w:pStyle w:val="null3"/>
              <w:jc w:val="both"/>
            </w:pPr>
            <w:r>
              <w:rPr>
                <w:rFonts w:ascii="仿宋_GB2312" w:hAnsi="仿宋_GB2312" w:cs="仿宋_GB2312" w:eastAsia="仿宋_GB2312"/>
              </w:rPr>
              <w:t>符合技术要求得15分；每负偏离1项扣3分，负偏离达5项的，此项得0分。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非“▲”、“★”条款响应情况</w:t>
            </w:r>
          </w:p>
        </w:tc>
        <w:tc>
          <w:tcPr>
            <w:tcW w:type="dxa" w:w="2492"/>
          </w:tcPr>
          <w:p>
            <w:pPr>
              <w:pStyle w:val="null3"/>
              <w:jc w:val="both"/>
            </w:pPr>
            <w:r>
              <w:rPr>
                <w:rFonts w:ascii="仿宋_GB2312" w:hAnsi="仿宋_GB2312" w:cs="仿宋_GB2312" w:eastAsia="仿宋_GB2312"/>
              </w:rPr>
              <w:t>符合技术要求得22分；每负偏离1项扣2分，负偏离≥11项的，此项得0分。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投标人自2023年1月1日至投标截止日前完成类似项目业绩，提供一个得1分，本项满分5分。 （提供合同复印件加盖供应商公章，以签订合同时间为准，不提供不得分）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类似业绩一览表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产品售后维护、培训、技术支持、应急保障方案4项每缺少1项扣7分，满分28分；以上4项内容，每有一项内容缺陷扣1分，以上4项内容因缺陷最多每项扣7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本国产品成本比例的声明函</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本国产品成本比例的声明函</w:t>
            </w:r>
          </w:p>
        </w:tc>
      </w:tr>
    </w:tbl>
    <w:p>
      <w:pPr>
        <w:pStyle w:val="null3"/>
        <w:jc w:val="both"/>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标“▲”条款响应情况</w:t>
            </w:r>
          </w:p>
        </w:tc>
        <w:tc>
          <w:tcPr>
            <w:tcW w:type="dxa" w:w="2492"/>
          </w:tcPr>
          <w:p>
            <w:pPr>
              <w:pStyle w:val="null3"/>
              <w:jc w:val="both"/>
            </w:pPr>
            <w:r>
              <w:rPr>
                <w:rFonts w:ascii="仿宋_GB2312" w:hAnsi="仿宋_GB2312" w:cs="仿宋_GB2312" w:eastAsia="仿宋_GB2312"/>
              </w:rPr>
              <w:t>符合技术要求得9分；每负偏离1项扣3分，负偏离达3项的，此项得0分。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非“▲”、“★”条款响应情况</w:t>
            </w:r>
          </w:p>
        </w:tc>
        <w:tc>
          <w:tcPr>
            <w:tcW w:type="dxa" w:w="2492"/>
          </w:tcPr>
          <w:p>
            <w:pPr>
              <w:pStyle w:val="null3"/>
              <w:jc w:val="both"/>
            </w:pPr>
            <w:r>
              <w:rPr>
                <w:rFonts w:ascii="仿宋_GB2312" w:hAnsi="仿宋_GB2312" w:cs="仿宋_GB2312" w:eastAsia="仿宋_GB2312"/>
              </w:rPr>
              <w:t>符合技术要求得24分；每负偏离1项扣1.5分，负偏离≥16项的，此项得0分。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投标人自2023年1月1日至投标截止日前完成类似项目业绩，提供一个得1.8分，本项满分9分。 （提供合同复印件加盖供应商公章，以签订合同时间为准，不提供不得分）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类似业绩一览表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产品售后维护、培训、技术支持、应急保障方案4项每缺少1项扣7分，满分28分；以上4项内容，每有一项内容缺陷扣1分，以上4项内容因缺陷最多每项扣7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关于符合本国产品标准的声明函</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关于符合本国产品标准的声明函</w:t>
            </w:r>
          </w:p>
        </w:tc>
      </w:tr>
    </w:tbl>
    <w:p>
      <w:pPr>
        <w:pStyle w:val="null3"/>
        <w:jc w:val="both"/>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标“▲”条款响应情况</w:t>
            </w:r>
          </w:p>
        </w:tc>
        <w:tc>
          <w:tcPr>
            <w:tcW w:type="dxa" w:w="2492"/>
          </w:tcPr>
          <w:p>
            <w:pPr>
              <w:pStyle w:val="null3"/>
              <w:jc w:val="both"/>
            </w:pPr>
            <w:r>
              <w:rPr>
                <w:rFonts w:ascii="仿宋_GB2312" w:hAnsi="仿宋_GB2312" w:cs="仿宋_GB2312" w:eastAsia="仿宋_GB2312"/>
              </w:rPr>
              <w:t>符合技术要求得15分；每负偏离1项扣2.5分，负偏离达6项的，此项得0分。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非“▲”、“★”条款响应情况</w:t>
            </w:r>
          </w:p>
        </w:tc>
        <w:tc>
          <w:tcPr>
            <w:tcW w:type="dxa" w:w="2492"/>
          </w:tcPr>
          <w:p>
            <w:pPr>
              <w:pStyle w:val="null3"/>
              <w:jc w:val="both"/>
            </w:pPr>
            <w:r>
              <w:rPr>
                <w:rFonts w:ascii="仿宋_GB2312" w:hAnsi="仿宋_GB2312" w:cs="仿宋_GB2312" w:eastAsia="仿宋_GB2312"/>
              </w:rPr>
              <w:t>符合技术要求得25.5分；每负偏离1项扣1.5分，负偏离≥17项的，此项得0分。</w:t>
            </w:r>
          </w:p>
        </w:tc>
        <w:tc>
          <w:tcPr>
            <w:tcW w:type="dxa" w:w="831"/>
          </w:tcPr>
          <w:p>
            <w:pPr>
              <w:pStyle w:val="null3"/>
              <w:jc w:val="right"/>
            </w:pPr>
            <w:r>
              <w:rPr>
                <w:rFonts w:ascii="仿宋_GB2312" w:hAnsi="仿宋_GB2312" w:cs="仿宋_GB2312" w:eastAsia="仿宋_GB2312"/>
              </w:rPr>
              <w:t>25.5000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投标人自2023年1月1日至投标截止日前完成类似项目业绩，提供一个得0.5分，本项满分1.5分。 （提供合同复印件加盖供应商公章，以签订合同时间为准，不提供不得分）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类似业绩一览表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产品售后维护、培训、技术支持、应急保障方案4项每缺少1项扣7分，满分28分；以上4项内容，每有一项内容缺陷扣1分，以上4项内容因缺陷最多每项扣7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关于符合本国产品标准的声明函</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关于符合本国产品标准的声明函</w:t>
            </w:r>
          </w:p>
        </w:tc>
      </w:tr>
    </w:tbl>
    <w:p>
      <w:pPr>
        <w:pStyle w:val="null3"/>
        <w:jc w:val="both"/>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标“▲”条款响应情况</w:t>
            </w:r>
          </w:p>
        </w:tc>
        <w:tc>
          <w:tcPr>
            <w:tcW w:type="dxa" w:w="2492"/>
          </w:tcPr>
          <w:p>
            <w:pPr>
              <w:pStyle w:val="null3"/>
              <w:jc w:val="both"/>
            </w:pPr>
            <w:r>
              <w:rPr>
                <w:rFonts w:ascii="仿宋_GB2312" w:hAnsi="仿宋_GB2312" w:cs="仿宋_GB2312" w:eastAsia="仿宋_GB2312"/>
              </w:rPr>
              <w:t>符合技术要求得6分；每负偏离1项扣3分，负偏离达2项的，此项得0分。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非“▲”、“★”条款响应情况</w:t>
            </w:r>
          </w:p>
        </w:tc>
        <w:tc>
          <w:tcPr>
            <w:tcW w:type="dxa" w:w="2492"/>
          </w:tcPr>
          <w:p>
            <w:pPr>
              <w:pStyle w:val="null3"/>
              <w:jc w:val="both"/>
            </w:pPr>
            <w:r>
              <w:rPr>
                <w:rFonts w:ascii="仿宋_GB2312" w:hAnsi="仿宋_GB2312" w:cs="仿宋_GB2312" w:eastAsia="仿宋_GB2312"/>
              </w:rPr>
              <w:t>符合技术要求得27分；每负偏离1项扣1.5分，负偏离≥18项的，此项得0分。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投标人自2023年1月1日至投标截止日前完成类似项目业绩，提供一个得1.8分，本项满分9分。 （提供合同复印件加盖供应商公章，以签订合同时间为准，不提供不得分）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类似业绩一览表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产品售后维护、培训、技术支持、应急保障方案4项每缺少1项扣7分，满分28分；以上4项内容，每有一项内容缺陷扣1分，以上4项内容因缺陷最多每项扣7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关于符合本国产品标准的声明函</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本国产品成本比例的声明函</w:t>
            </w:r>
          </w:p>
        </w:tc>
      </w:tr>
    </w:tbl>
    <w:p>
      <w:pPr>
        <w:pStyle w:val="null3"/>
        <w:jc w:val="both"/>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标“▲”条款响应情况</w:t>
            </w:r>
          </w:p>
        </w:tc>
        <w:tc>
          <w:tcPr>
            <w:tcW w:type="dxa" w:w="2492"/>
          </w:tcPr>
          <w:p>
            <w:pPr>
              <w:pStyle w:val="null3"/>
              <w:jc w:val="both"/>
            </w:pPr>
            <w:r>
              <w:rPr>
                <w:rFonts w:ascii="仿宋_GB2312" w:hAnsi="仿宋_GB2312" w:cs="仿宋_GB2312" w:eastAsia="仿宋_GB2312"/>
              </w:rPr>
              <w:t>符合技术要求得16分；每负偏离1项扣4分，负偏离达4项的，此项得0分。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非“▲”、“★”条款响应情况</w:t>
            </w:r>
          </w:p>
        </w:tc>
        <w:tc>
          <w:tcPr>
            <w:tcW w:type="dxa" w:w="2492"/>
          </w:tcPr>
          <w:p>
            <w:pPr>
              <w:pStyle w:val="null3"/>
              <w:jc w:val="both"/>
            </w:pPr>
            <w:r>
              <w:rPr>
                <w:rFonts w:ascii="仿宋_GB2312" w:hAnsi="仿宋_GB2312" w:cs="仿宋_GB2312" w:eastAsia="仿宋_GB2312"/>
              </w:rPr>
              <w:t>符合技术要求得18分；每负偏离1项扣3分，负偏离≥6项的，此项得0分。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投标人自2023年1月1日至投标截止日前完成类似项目业绩，提供一个得2分，本项满分8分。 （提供合同复印件加盖供应商公章，以签订合同时间为准，不提供不得分）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类似业绩一览表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产品售后维护、培训、技术支持、应急保障方案4项每缺少1项扣7分，满分28分；以上4项内容，每有一项内容缺陷扣1分，以上4项内容因缺陷最多每项扣7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本国产品成本比例的声明函</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本国产品成本比例的声明函</w:t>
            </w:r>
          </w:p>
        </w:tc>
      </w:tr>
    </w:tbl>
    <w:p>
      <w:pPr>
        <w:pStyle w:val="null3"/>
        <w:jc w:val="both"/>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标“▲”条款响应情况</w:t>
            </w:r>
          </w:p>
        </w:tc>
        <w:tc>
          <w:tcPr>
            <w:tcW w:type="dxa" w:w="2492"/>
          </w:tcPr>
          <w:p>
            <w:pPr>
              <w:pStyle w:val="null3"/>
              <w:jc w:val="both"/>
            </w:pPr>
            <w:r>
              <w:rPr>
                <w:rFonts w:ascii="仿宋_GB2312" w:hAnsi="仿宋_GB2312" w:cs="仿宋_GB2312" w:eastAsia="仿宋_GB2312"/>
              </w:rPr>
              <w:t>符合技术要求得10分；每负偏离1项扣2.5分，负偏离达4项的，此项得0分。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非“▲”、“★”条款响应情况</w:t>
            </w:r>
          </w:p>
        </w:tc>
        <w:tc>
          <w:tcPr>
            <w:tcW w:type="dxa" w:w="2492"/>
          </w:tcPr>
          <w:p>
            <w:pPr>
              <w:pStyle w:val="null3"/>
              <w:jc w:val="both"/>
            </w:pPr>
            <w:r>
              <w:rPr>
                <w:rFonts w:ascii="仿宋_GB2312" w:hAnsi="仿宋_GB2312" w:cs="仿宋_GB2312" w:eastAsia="仿宋_GB2312"/>
              </w:rPr>
              <w:t>符合技术要求得25.5分；每负偏离1项扣1.5分，负偏离≥17项的，此项得0分。</w:t>
            </w:r>
          </w:p>
        </w:tc>
        <w:tc>
          <w:tcPr>
            <w:tcW w:type="dxa" w:w="831"/>
          </w:tcPr>
          <w:p>
            <w:pPr>
              <w:pStyle w:val="null3"/>
              <w:jc w:val="right"/>
            </w:pPr>
            <w:r>
              <w:rPr>
                <w:rFonts w:ascii="仿宋_GB2312" w:hAnsi="仿宋_GB2312" w:cs="仿宋_GB2312" w:eastAsia="仿宋_GB2312"/>
              </w:rPr>
              <w:t>25.5000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投标人自2023年1月1日至投标截止日前完成类似项目业绩，提供一个得1.3分，本项满分6.5分。 （提供合同复印件加盖供应商公章，以签订合同时间为准，不提供不得分）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类似业绩一览表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产品售后维护、培训、技术支持、应急保障方案4项每缺少1项扣7分，满分28分；以上4项内容，每有一项内容缺陷扣1分，以上4项内容因缺陷最多每项扣7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本国产品成本比例的声明函</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本国产品成本比例的声明函</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SCIT-HNZG-2026020004.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海南医科大学第二附属医院医疗设备2025年度更新项目（第一批）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第一批（5包）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分枝杆菌培养鉴定药敏系统</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790000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SCIT-HNZG-2026020004.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海南医科大学第二附属医院医疗设备2025年度更新项目（第一批）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第一批（6包）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全自动酶免分析仪</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960000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SCIT-HNZG-2026020004.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海南医科大学第二附属医院医疗设备2025年度更新项目（第一批）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第一批（7包）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全自动血液分析流水线2</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380000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SCIT-HNZG-2026020004.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海南医科大学第二附属医院医疗设备2025年度更新项目（第一批）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第一批（8包）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全自动微生物质谱检测系统</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1180000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SCIT-HNZG-2026020004.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海南医科大学第二附属医院医疗设备2025年度更新项目（第一批）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第一批（9包）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全自动生化分析仪</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700000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SCIT-HNZG-2026020004.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海南医科大学第二附属医院医疗设备2025年度更新项目（第一批）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第一批（10包）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染色体智能分析系统</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630000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SCIT-HNZG-2026020004.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海南医科大学第二附属医院医疗设备2025年度更新项目（第一批）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第一批（11包）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倒置荧光显微镜</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500000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SCIT-HNZG-2026020004.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海南医科大学第二附属医院医疗设备2025年度更新项目（第一批）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第一批（1包）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全自动核酸提取仪</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250000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SCIT-HNZG-2026020004.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海南医科大学第二附属医院医疗设备2025年度更新项目（第一批）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第一批（2包）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全自动医用PCR分析系统</w:t>
            </w:r>
          </w:p>
        </w:tc>
        <w:tc>
          <w:tcPr>
            <w:tcW w:type="dxa" w:w="593"/>
          </w:tcPr>
          <w:p>
            <w:pPr>
              <w:pStyle w:val="null3"/>
              <w:jc w:val="left"/>
            </w:pPr>
            <w:r>
              <w:rPr>
                <w:rFonts w:ascii="仿宋_GB2312" w:hAnsi="仿宋_GB2312" w:cs="仿宋_GB2312" w:eastAsia="仿宋_GB2312"/>
              </w:rPr>
              <w:t xml:space="preserve"> 9.0000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1350000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SCIT-HNZG-2026020004.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海南医科大学第二附属医院医疗设备2025年度更新项目（第一批）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第一批（3包）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全自动血液分析流水线</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990000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SCIT-HNZG-2026020004.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海南医科大学第二附属医院医疗设备2025年度更新项目（第一批）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第一批（4包）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全自动医用PCR分析系统2</w:t>
            </w:r>
          </w:p>
        </w:tc>
        <w:tc>
          <w:tcPr>
            <w:tcW w:type="dxa" w:w="593"/>
          </w:tcPr>
          <w:p>
            <w:pPr>
              <w:pStyle w:val="null3"/>
              <w:jc w:val="left"/>
            </w:pPr>
            <w:r>
              <w:rPr>
                <w:rFonts w:ascii="仿宋_GB2312" w:hAnsi="仿宋_GB2312" w:cs="仿宋_GB2312" w:eastAsia="仿宋_GB2312"/>
              </w:rPr>
              <w:t xml:space="preserve"> 2.0000</w:t>
            </w:r>
          </w:p>
        </w:tc>
        <w:tc>
          <w:tcPr>
            <w:tcW w:type="dxa" w:w="593"/>
          </w:tcPr>
          <w:p>
            <w:pPr>
              <w:pStyle w:val="null3"/>
              <w:jc w:val="left"/>
            </w:pPr>
            <w:r>
              <w:rPr>
                <w:rFonts w:ascii="仿宋_GB2312" w:hAnsi="仿宋_GB2312" w:cs="仿宋_GB2312" w:eastAsia="仿宋_GB2312"/>
              </w:rPr>
              <w:t xml:space="preserve"> 台</w:t>
            </w:r>
          </w:p>
        </w:tc>
        <w:tc>
          <w:tcPr>
            <w:tcW w:type="dxa" w:w="593"/>
          </w:tcPr>
          <w:p>
            <w:pPr>
              <w:pStyle w:val="null3"/>
              <w:jc w:val="left"/>
            </w:pPr>
            <w:r>
              <w:rPr>
                <w:rFonts w:ascii="仿宋_GB2312" w:hAnsi="仿宋_GB2312" w:cs="仿宋_GB2312" w:eastAsia="仿宋_GB2312"/>
              </w:rPr>
              <w:t xml:space="preserve"> 100000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详见附件：本国产品成本比例的声明函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详见附件：类似业绩一览表</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详见附件：本国产品成本比例的声明函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详见附件：类似业绩一览表</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详见附件：本国产品成本比例的声明函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详见附件：类似业绩一览表</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详见附件：本国产品成本比例的声明函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详见附件：类似业绩一览表</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详见附件：类似业绩一览表</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详见附件：本国产品成本比例的声明函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详见附件：类似业绩一览表</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详见附件：本国产品成本比例的声明函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详见附件：本国产品成本比例的声明函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详见附件：类似业绩一览表</w:t>
      </w:r>
    </w:p>
    <w:p>
      <w:pPr>
        <w:pStyle w:val="null3"/>
        <w:ind w:firstLine="960"/>
        <w:jc w:val="left"/>
      </w:pPr>
      <w:r>
        <w:rPr>
          <w:rFonts w:ascii="仿宋_GB2312" w:hAnsi="仿宋_GB2312" w:cs="仿宋_GB2312" w:eastAsia="仿宋_GB2312"/>
        </w:rPr>
        <w:t>详见附件：本国产品成本比例的声明函</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详见附件：类似业绩一览表</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详见附件：本国产品成本比例的声明函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详见附件：类似业绩一览表</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详见附件：本国产品成本比例的声明函</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详见附件：类似业绩一览表</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详见附件：本国产品成本比例的声明函</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详见附件：类似业绩一览表</w:t>
      </w:r>
    </w:p>
    <w:p>
      <w:pPr>
        <w:pStyle w:val="null3"/>
        <w:ind w:firstLine="960"/>
        <w:jc w:val="left"/>
      </w:pPr>
      <w:r>
        <w:rPr>
          <w:rFonts w:ascii="仿宋_GB2312" w:hAnsi="仿宋_GB2312" w:cs="仿宋_GB2312" w:eastAsia="仿宋_GB2312"/>
        </w:rPr>
        <w:t>详见附件：投标函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