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国家紧急医学救援基地（海南）建设项目设备采购第一批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JJZX(HN)-2026007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海南医科大学第一附属医院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建经投资咨询有限公司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海南医科大学第一附属医院</w:t>
      </w:r>
      <w:r>
        <w:rPr>
          <w:rFonts w:ascii="仿宋_GB2312" w:hAnsi="仿宋_GB2312" w:cs="仿宋_GB2312" w:eastAsia="仿宋_GB2312"/>
        </w:rPr>
        <w:t xml:space="preserve"> 委托， </w:t>
      </w:r>
      <w:r>
        <w:rPr>
          <w:rFonts w:ascii="仿宋_GB2312" w:hAnsi="仿宋_GB2312" w:cs="仿宋_GB2312" w:eastAsia="仿宋_GB2312"/>
        </w:rPr>
        <w:t>建经投资咨询有限公司</w:t>
      </w:r>
      <w:r>
        <w:rPr>
          <w:rFonts w:ascii="仿宋_GB2312" w:hAnsi="仿宋_GB2312" w:cs="仿宋_GB2312" w:eastAsia="仿宋_GB2312"/>
        </w:rPr>
        <w:t xml:space="preserve"> 对 </w:t>
      </w:r>
      <w:r>
        <w:rPr>
          <w:rFonts w:ascii="仿宋_GB2312" w:hAnsi="仿宋_GB2312" w:cs="仿宋_GB2312" w:eastAsia="仿宋_GB2312"/>
        </w:rPr>
        <w:t>国家紧急医学救援基地（海南）建设项目设备采购第一批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JJZX(HN)-2026007</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国家紧急医学救援基地（海南）建设项目设备采购第一批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10,590,000.00元</w:t>
      </w:r>
      <w:r>
        <w:rPr>
          <w:rFonts w:ascii="仿宋_GB2312" w:hAnsi="仿宋_GB2312" w:cs="仿宋_GB2312" w:eastAsia="仿宋_GB2312"/>
        </w:rPr>
        <w:t>壹仟零伍拾玖万元整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国产设备自合同签订后30天内；</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国产设备自合同签订后30天内。</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3.投标人须在海南政府采购网(https://www.ccgp-hainan.gov.cn/zhuzhan/)中的海南省政府采购电子化交易管理系统平台进行注册并完善信息，然后下载参与投标项目电子招标文件（文件集）及其他文件； 4.电子标:必须办理数字证书CA锁，并使用数字证书（https://www.yuque.com/haonan123/bzzx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 6.注意事项：电子标采用全程电子化操作，供应商应详细阅读海南政府采购网的通知《海南省财政厅关于进一步推进政府采购全流程电子化的通知》，供应商使用交易系统遇到问题请拨打以下热线电话：4001691288； 7.支持《政府采购促进中小企业发展管理办法》《节能产品政府采购实施意见》《关于环境标志产品政府采购实施的意见》《关于促进残疾人就业政府采购政策的通知》《财政部、司法部关于政府采购支持监狱企业发展有关问题的通知书》、《国务院办公厅关于在政府采购中实施本国产品标准及相关政策的通知》(国办发(2025)34号)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海南医科大学第一附属医院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海南省海口市龙华区龙华路31号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0898-66710153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建经投资咨询有限公司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海南省海口市美兰区海甸街道五西路白沙园别墅六栋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周坦、张工、简小玉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13097177074、0898-66261921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采购包1：8,960,000.00元</w:t>
            </w:r>
          </w:p>
          <w:p>
            <w:pPr>
              <w:pStyle w:val="null3"/>
              <w:jc w:val="left"/>
            </w:pPr>
            <w:r>
              <w:rPr>
                <w:rFonts w:ascii="仿宋_GB2312" w:hAnsi="仿宋_GB2312" w:cs="仿宋_GB2312" w:eastAsia="仿宋_GB2312"/>
              </w:rPr>
              <w:t>采购包2：1,630,000.00元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采购包1保证金金额：44,800.00元</w:t>
            </w:r>
          </w:p>
          <w:p>
            <w:pPr>
              <w:pStyle w:val="null3"/>
              <w:jc w:val="left"/>
            </w:pPr>
            <w:r>
              <w:rPr>
                <w:rFonts w:ascii="仿宋_GB2312" w:hAnsi="仿宋_GB2312" w:cs="仿宋_GB2312" w:eastAsia="仿宋_GB2312"/>
              </w:rPr>
              <w:t>采购包2保证金金额：8,150.00元</w:t>
            </w:r>
          </w:p>
          <w:p>
            <w:pPr>
              <w:pStyle w:val="null3"/>
              <w:jc w:val="left"/>
            </w:pPr>
            <w:r>
              <w:rPr>
                <w:rFonts w:ascii="仿宋_GB2312" w:hAnsi="仿宋_GB2312" w:cs="仿宋_GB2312" w:eastAsia="仿宋_GB2312"/>
              </w:rPr>
              <w:t>缴交渠道：保函,银行转账</w:t>
            </w:r>
          </w:p>
          <w:p>
            <w:pPr>
              <w:pStyle w:val="null3"/>
              <w:jc w:val="left"/>
            </w:pPr>
            <w:r>
              <w:rPr>
                <w:rFonts w:ascii="仿宋_GB2312" w:hAnsi="仿宋_GB2312" w:cs="仿宋_GB2312" w:eastAsia="仿宋_GB2312"/>
              </w:rPr>
              <w:t>开户行名称：建经投资咨询有限公司</w:t>
            </w:r>
          </w:p>
          <w:p>
            <w:pPr>
              <w:pStyle w:val="null3"/>
              <w:jc w:val="left"/>
            </w:pPr>
            <w:r>
              <w:rPr>
                <w:rFonts w:ascii="仿宋_GB2312" w:hAnsi="仿宋_GB2312" w:cs="仿宋_GB2312" w:eastAsia="仿宋_GB2312"/>
              </w:rPr>
              <w:t>开户银行：中国银行上海市赵巷支行</w:t>
            </w:r>
          </w:p>
          <w:p>
            <w:pPr>
              <w:pStyle w:val="null3"/>
              <w:jc w:val="left"/>
            </w:pPr>
            <w:r>
              <w:rPr>
                <w:rFonts w:ascii="仿宋_GB2312" w:hAnsi="仿宋_GB2312" w:cs="仿宋_GB2312" w:eastAsia="仿宋_GB2312"/>
              </w:rPr>
              <w:t>银行账号：433886144104</w:t>
            </w:r>
          </w:p>
          <w:p>
            <w:pPr>
              <w:pStyle w:val="null3"/>
              <w:jc w:val="left"/>
            </w:pPr>
            <w:r>
              <w:rPr>
                <w:rFonts w:ascii="仿宋_GB2312" w:hAnsi="仿宋_GB2312" w:cs="仿宋_GB2312" w:eastAsia="仿宋_GB2312"/>
              </w:rPr>
              <w:t>汇票、本票提取方式：见票即付</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 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 注： （1）履约保证金交纳时间以到账时间为准； （2）履约担保形式：银行转账、支票、汇票、本票或者金融机构、担保机构保险公司出具的保险保证、银行的保函、法定担保机构出具的保函等非现金形式提交，银行转账以外方式递交投标保证金的应符合现行相关规定； （3）若以支票、汇票、本票或者金融机构、担保机构出具的保函形式提交的，受益人均为采购单位。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国家发展计划委员会文件《采购代理服务费收费管理暂行办法》(计价格【2002】1980号)和《国家发展改革委关于降低部分建设项目收费标准规范收费行为等有关问题的通知》(发改价格[2011]534 号)文件相关规定的取费标准的7折计取招标代理服务费，中标/成交供应商应在中标公告发布之日起3个工作日内，向招标代理机构缴纳招标代理服务费。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本项目可兼投2包，本项目可兼中2包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17.1述标和/或产（样）品演（展）示：无。 17.2是否接受进口产品投标：详见第三章。 17.3采购需求：采购标的物需按照国家相关标准、行业标准、地方标准或者其他标准、规范执行。 17.4委托代表人的资格条件：投标时须提供法定代表人授权委托书和被授权人身份证复印件加盖公章。 17.5委托代表人的代理权限：委托代表人只能代表委托人处置投标活动中的一般事务。提出质疑、投诉等特殊事项，必须经法定代表人特别授权。 17.6是否允许选择性报价：不接受选择性报价。 17.7中小企业促进政策： 17.7.1根据财政部、工业和信息化部2020年12月18日颁布的《政府采购促进中小企业发展暂行办法》（财库〔2020〕46号）第九条及《财政部关于进一步加大政府采购支持中小企业力度的通知》（财库〔2022〕19号）第二条规定，采购单位、招标代理机构应当对符合本办法规定的小微企业报价给予10%的扣除，用扣除后的价格参加评审。 17.7.2 接受大中型企业与小微企业组成联合体或者允许大中型企业向一家或者多家小微企业分包的采购项目，采购单位、招标代理机构应当对联合体或者大中型企业的报价给予4%的扣除，用扣除后的价格参加评审。组成联合体或者接受分包的小微企业与联合体内其他企业、分包企业之间存在直接控股、管理关系的,不享受价格扣除优惠政策。 17.7.3根据《政府采购促进中小企业发展管理办法》（财库〔2020〕46号）第十一条规定，中小企业参加政府采购活动，应当出具本办法规定的《中小企业声明函》，否则不得享受相关中小企业扶持政策。投标人提供《中小企业声明函》内容不实的，属于“隐瞒真实情况，提供虚假资料的”情形，依照有关规定追究相应责任。17.7.4根据工信部等部委发布的《关于印发中小企业划型标准规定的通知》(工信部联企业(2011) 300号),本项目所属行业:工业； 17.8对本国产品的支持政策：执行《国务院办公厅关于在政府采购中实施本国产品标准及相关政策的通知》(国办发(2025)34号)。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项目评审价=投标价格*(1-20%)。②供应商对其提供的产品出具《关于符合本国产品标准的声明函》，内容格式见《国务院办公厅关于在政府采购中实施本国产品标准及相关政策的通知》(国办发(2025)34号)。（注：①对于仅有本国产品参与竞争的政府采购项目，本国产品不享受价格扣除评审优惠；②不出具《关于符合本国产品标准的声明函》的，不享受政府采购对本国产品的支持政策。） 17.9评标委员会的组建：①．评标委员会由采购单位代表和评审专家共7人及以上单数组成，其中评审专家人数不少于成员总数的2/3（采购单位有权根据项目和本单位实际情况决定是否委派采购单位代表参与评审）；②．评审专家从：评标专家抽取按《海南省财政厅关于推进政府采购项目跨省异地评审工作的通知》及有关规定执行。 17.10充分、公平竞争保障措施：提供相同品牌产品处理：（详见《中华人民共和国财政部令第87号--政府采购货物和服务招标投标管理办法》第三章第三十一条） 17.11第五章 政府采购合同参考模版以附件里的采购人提供的合同文本为准。 17.12因智慧云系统格式未更新，招标文件第二章与第四章关于异常低价的规定分别依据财办库［2024］265号（试点通知）和财库［2026］2号文件。二者不一致时，以第四章评标办法为准。 17.13如投标人在非开标现场上传的电子标书的IP地址相同，则IP地址相同的投标按无效标处理。 17.14本项目不专门面向中小企业预留采购份额的具体原因和情形：按照《政府采购促进中小企业发展管理办法》规定预留采购份额无法确保充分供应、充分竞争，或者可能影响政府采购目标实现。符合本办法第六条第（三）项规定情形。</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联系人：周坦</w:t>
      </w:r>
    </w:p>
    <w:p>
      <w:pPr>
        <w:pStyle w:val="null3"/>
        <w:jc w:val="left"/>
      </w:pPr>
      <w:r>
        <w:rPr>
          <w:rFonts w:ascii="仿宋_GB2312" w:hAnsi="仿宋_GB2312" w:cs="仿宋_GB2312" w:eastAsia="仿宋_GB2312"/>
        </w:rPr>
        <w:t>联系电话：0898-66261921</w:t>
      </w:r>
    </w:p>
    <w:p>
      <w:pPr>
        <w:pStyle w:val="null3"/>
        <w:jc w:val="left"/>
      </w:pPr>
      <w:r>
        <w:rPr>
          <w:rFonts w:ascii="仿宋_GB2312" w:hAnsi="仿宋_GB2312" w:cs="仿宋_GB2312" w:eastAsia="仿宋_GB2312"/>
        </w:rPr>
        <w:t>地址：海南省海口市美兰区海甸街道五西路白沙园别墅六栋</w:t>
      </w:r>
    </w:p>
    <w:p>
      <w:pPr>
        <w:pStyle w:val="null3"/>
        <w:jc w:val="left"/>
      </w:pPr>
      <w:r>
        <w:rPr>
          <w:rFonts w:ascii="仿宋_GB2312" w:hAnsi="仿宋_GB2312" w:cs="仿宋_GB2312" w:eastAsia="仿宋_GB2312"/>
        </w:rPr>
        <w:t>邮编：570208</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0"/>
        </w:rPr>
        <w:t>1.项目编号：</w:t>
      </w:r>
      <w:r>
        <w:rPr>
          <w:rFonts w:ascii="仿宋_GB2312" w:hAnsi="仿宋_GB2312" w:cs="仿宋_GB2312" w:eastAsia="仿宋_GB2312"/>
          <w:sz w:val="20"/>
        </w:rPr>
        <w:t>JJZX(HN)-2026007</w:t>
      </w:r>
    </w:p>
    <w:p>
      <w:pPr>
        <w:pStyle w:val="null3"/>
        <w:jc w:val="left"/>
      </w:pPr>
      <w:r>
        <w:rPr>
          <w:rFonts w:ascii="仿宋_GB2312" w:hAnsi="仿宋_GB2312" w:cs="仿宋_GB2312" w:eastAsia="仿宋_GB2312"/>
          <w:sz w:val="20"/>
        </w:rPr>
        <w:t>2.项目名称：</w:t>
      </w:r>
      <w:r>
        <w:rPr>
          <w:rFonts w:ascii="仿宋_GB2312" w:hAnsi="仿宋_GB2312" w:cs="仿宋_GB2312" w:eastAsia="仿宋_GB2312"/>
          <w:sz w:val="20"/>
        </w:rPr>
        <w:t>国家紧急医学救援基地（海南）建设项目设备采购第一批</w:t>
      </w:r>
    </w:p>
    <w:p>
      <w:pPr>
        <w:pStyle w:val="null3"/>
        <w:jc w:val="left"/>
      </w:pPr>
      <w:r>
        <w:rPr>
          <w:rFonts w:ascii="仿宋_GB2312" w:hAnsi="仿宋_GB2312" w:cs="仿宋_GB2312" w:eastAsia="仿宋_GB2312"/>
          <w:sz w:val="20"/>
        </w:rPr>
        <w:t>3.预算金额：</w:t>
      </w:r>
      <w:r>
        <w:rPr>
          <w:rFonts w:ascii="仿宋_GB2312" w:hAnsi="仿宋_GB2312" w:cs="仿宋_GB2312" w:eastAsia="仿宋_GB2312"/>
          <w:sz w:val="20"/>
        </w:rPr>
        <w:t>1059</w:t>
      </w:r>
      <w:r>
        <w:rPr>
          <w:rFonts w:ascii="仿宋_GB2312" w:hAnsi="仿宋_GB2312" w:cs="仿宋_GB2312" w:eastAsia="仿宋_GB2312"/>
          <w:sz w:val="20"/>
        </w:rPr>
        <w:t>万元；其中采购包1(A）</w:t>
      </w:r>
      <w:r>
        <w:rPr>
          <w:rFonts w:ascii="仿宋_GB2312" w:hAnsi="仿宋_GB2312" w:cs="仿宋_GB2312" w:eastAsia="仿宋_GB2312"/>
          <w:sz w:val="20"/>
        </w:rPr>
        <w:t>：</w:t>
      </w:r>
      <w:r>
        <w:rPr>
          <w:rFonts w:ascii="仿宋_GB2312" w:hAnsi="仿宋_GB2312" w:cs="仿宋_GB2312" w:eastAsia="仿宋_GB2312"/>
          <w:sz w:val="20"/>
        </w:rPr>
        <w:t>896</w:t>
      </w:r>
      <w:r>
        <w:rPr>
          <w:rFonts w:ascii="仿宋_GB2312" w:hAnsi="仿宋_GB2312" w:cs="仿宋_GB2312" w:eastAsia="仿宋_GB2312"/>
          <w:sz w:val="20"/>
        </w:rPr>
        <w:t>万元，采购包2(B)</w:t>
      </w:r>
      <w:r>
        <w:rPr>
          <w:rFonts w:ascii="仿宋_GB2312" w:hAnsi="仿宋_GB2312" w:cs="仿宋_GB2312" w:eastAsia="仿宋_GB2312"/>
          <w:sz w:val="20"/>
        </w:rPr>
        <w:t>:</w:t>
      </w:r>
      <w:r>
        <w:rPr>
          <w:rFonts w:ascii="仿宋_GB2312" w:hAnsi="仿宋_GB2312" w:cs="仿宋_GB2312" w:eastAsia="仿宋_GB2312"/>
          <w:sz w:val="20"/>
        </w:rPr>
        <w:t>163</w:t>
      </w:r>
      <w:r>
        <w:rPr>
          <w:rFonts w:ascii="仿宋_GB2312" w:hAnsi="仿宋_GB2312" w:cs="仿宋_GB2312" w:eastAsia="仿宋_GB2312"/>
          <w:sz w:val="20"/>
        </w:rPr>
        <w:t>万元；</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8,960,000.00</w:t>
      </w:r>
    </w:p>
    <w:p>
      <w:pPr>
        <w:pStyle w:val="null3"/>
        <w:jc w:val="left"/>
      </w:pPr>
      <w:r>
        <w:rPr>
          <w:rFonts w:ascii="仿宋_GB2312" w:hAnsi="仿宋_GB2312" w:cs="仿宋_GB2312" w:eastAsia="仿宋_GB2312"/>
        </w:rPr>
        <w:t>采购包最高限价（元）: 7,995,000.00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电动吸引器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除颤仪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注射泵</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呼吸机</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7,500,000.00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洗胃机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输液泵</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1,630,000.00</w:t>
      </w:r>
    </w:p>
    <w:p>
      <w:pPr>
        <w:pStyle w:val="null3"/>
        <w:jc w:val="left"/>
      </w:pPr>
      <w:r>
        <w:rPr>
          <w:rFonts w:ascii="仿宋_GB2312" w:hAnsi="仿宋_GB2312" w:cs="仿宋_GB2312" w:eastAsia="仿宋_GB2312"/>
        </w:rPr>
        <w:t>采购包最高限价（元）: 1,294,000.00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电动吸引器（带转运防护设施)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输液泵（带转运防护设施)</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除颤仪（带转运防护设施）</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转运呼吸机（带转运防护设施)</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注射泵（带转运防护设施)</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电动吸引器</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除颤仪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注射泵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呼吸机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洗胃机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输液泵</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电动吸引器（带转运防护设施)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输液泵（带转运防护设施)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除颤仪（带转运防护设施）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转运呼吸机（带转运防护设施)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注射泵（带转运防护设施)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标的名称：电动吸引器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标的名称：注射泵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标的名称：洗胃机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标的名称：电动吸引器（带转运防护设施)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标的名称：输液泵（带转运防护设施)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标的名称：除颤仪（带转运防护设施）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标的名称：转运呼吸机（带转运防护设施)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标的名称：注射泵（带转运防护设施)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具体商务要求详见采购需求附件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具体商务要求详见采购需求附件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具体商务要求详见采购需求附件</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①．以“★”标示的内容为不允许负偏离的实质性要求；对 “★”技术参数条款符合情况提供有效证明材料（配置清单不作要求）。②．对“▲”参数条款符合情况提供有效证明材料并加盖厂家公章，应提供包括但不限于产品彩页、技术白皮书、投标货物制造商公开发布的印刷资料、设备说明书作为佐证材料。 ③．注：此报价包含货物、材料费、包装费、运输费、移机、装卸费（卸货至采购单位指定位置）、税金等所有费用，采购单位不再向中标人支付任何其他费用。 ④.如所供货物为医疗器械的，医疗产品注册证上的名称与采购标的名称不一致的，需在《开标一览表》的“备注”中明确，验收以医疗器械注册证上的产品名称为准。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相关资格证明材料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投标人诚信守法承诺书 相关资格证明材料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 相关资格证明材料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投标人诚信守法承诺书 相关资格证明材料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 相关资格证明材料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不是所投产品生产厂家，属于三类医疗器械的投标人须提供医疗器械经营许可证，属于二类医疗器械的须提供医疗器械经营备案登记凭证。(提供证件复印件加盖公章)；(2)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(3)单位负责人为同一人或者存在直接控股、管理关系的不同供应商，不得参加同一合同项下的政府采购活动。否则均投标无效；(4)为采购项目提供整体设计、规范编制或者项目管理、监理、检测等服务的供应商，不得再参加该采购项目的其他采购活动；(5)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 相关资格证明材料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 其他材料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环境标志产品明细表（如有） 商务应答表 节能产品明细表（如有） 自觉抵制政府采购领域商业贿赂行为承诺书 封面 商业信誉、财务会计制度、缴纳税收和社保的承诺函 投标人诚信守法承诺书 廉洁责任书 其他材料 投标函 供应商应提交的相关证明材料 法定代表人资格证明书或法定代表人授权委托书 投标保证金缴纳证明材料 监狱企业的证明文件 具备履行合同所必需设备和专业技术能力的声明函 无环保类行政处罚记录声明函 开标（报价）一览表 中小企业声明函 相关资格证明材料 具有独立承担民事责任的能力证明文件 投标人承诺函 投标（响应）报价明细表 残疾人福利性单位声明函 无重大违法记录声明函 关于符合本国产品标准的声明函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 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技术部分69.00分</w:t>
            </w:r>
          </w:p>
          <w:p>
            <w:pPr>
              <w:pStyle w:val="null3"/>
              <w:jc w:val="both"/>
            </w:pPr>
            <w:r>
              <w:rPr>
                <w:rFonts w:ascii="仿宋_GB2312" w:hAnsi="仿宋_GB2312" w:cs="仿宋_GB2312" w:eastAsia="仿宋_GB2312"/>
              </w:rPr>
              <w:t>商务部分1.00分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22个，每一项不满足扣1.8分。注：对“▲”参数条款符合情况提供有效证明材料并加盖厂家公章，应提供包括但不限于产品彩页、技术白皮书、投标货物制造商公开发布的印刷资料、设备说明书作为佐证材料。未提供有效证明资料，或提供的技术支持资料不能佐证偏离表内容的，按负偏离处理。“▲”条款的技术参数合计10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39.6000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75个，每一项不满足扣0.12分，非“▲”和非“★”条款的技术参数合计21个或以上不满足，本项不得分。 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6项，且有实质内容满足采购需求的得8.4分；2.方案每缺少一项上述内容扣1.4分；3.每存在一处缺陷的扣0.7分，单项内容最多扣1.4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8.4000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3项，且有实质内容满足采购需求的得6分；2.方案每缺少一项上述内容扣2分；3.每存在一处缺陷的扣1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节能产品明细表（如有）</w:t>
            </w:r>
          </w:p>
          <w:p>
            <w:pPr>
              <w:pStyle w:val="null3"/>
              <w:jc w:val="both"/>
            </w:pPr>
            <w:r>
              <w:rPr>
                <w:rFonts w:ascii="仿宋_GB2312" w:hAnsi="仿宋_GB2312" w:cs="仿宋_GB2312" w:eastAsia="仿宋_GB2312"/>
              </w:rPr>
              <w:t>环境标志产品明细表（如有）</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关于符合本国产品标准的声明函</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技术部分69.00分</w:t>
            </w:r>
          </w:p>
          <w:p>
            <w:pPr>
              <w:pStyle w:val="null3"/>
              <w:jc w:val="both"/>
            </w:pPr>
            <w:r>
              <w:rPr>
                <w:rFonts w:ascii="仿宋_GB2312" w:hAnsi="仿宋_GB2312" w:cs="仿宋_GB2312" w:eastAsia="仿宋_GB2312"/>
              </w:rPr>
              <w:t>商务部分1.00分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22个，每一项不满足扣1.8分。注：对“▲”参数条款符合情况提供有效证明材料并加盖厂家公章，应提供包括但不限于产品彩页、技术白皮书、投标货物制造商公开发布的印刷资料、设备说明书作为佐证材料。未提供有效证明资料，或提供的技术支持资料不能佐证偏离表内容的，按负偏离处理。“▲”条款的技术参数合计10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39.6000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技术需求响应情况（非重要参数）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60个，每一项不满足扣0.14分，非“▲”和非“★”条款的技术参数合计21个或以上不满足，本项不得分。 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8.4000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6项，且有实质内容满足采购需求的得9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3项，且有实质内容满足采购需求的得6分；2.方案每缺少一项上述内容扣2分；3.每存在一处缺陷的扣1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环境标志产品明细表（如有）</w:t>
            </w:r>
          </w:p>
          <w:p>
            <w:pPr>
              <w:pStyle w:val="null3"/>
              <w:jc w:val="both"/>
            </w:pPr>
            <w:r>
              <w:rPr>
                <w:rFonts w:ascii="仿宋_GB2312" w:hAnsi="仿宋_GB2312" w:cs="仿宋_GB2312" w:eastAsia="仿宋_GB2312"/>
              </w:rPr>
              <w:t>节能产品明细表（如有）</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因智慧云系统格式未更新，招标文件第二章与第四章关于异常低价的规定分别依据财办库［2024］265号（试点通知）和财库［2026］2号文件。二者不一致时，以第四章评标办法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JJZX(HN)-2026007</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A</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电动吸引器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除颤仪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57000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注射泵</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330000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呼吸机</w:t>
            </w:r>
          </w:p>
        </w:tc>
        <w:tc>
          <w:tcPr>
            <w:tcW w:type="dxa" w:w="755"/>
          </w:tcPr>
          <w:p>
            <w:pPr>
              <w:pStyle w:val="null3"/>
              <w:jc w:val="left"/>
            </w:pPr>
            <w:r>
              <w:rPr>
                <w:rFonts w:ascii="仿宋_GB2312" w:hAnsi="仿宋_GB2312" w:cs="仿宋_GB2312" w:eastAsia="仿宋_GB2312"/>
              </w:rPr>
              <w:t xml:space="preserve"> 30.0000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7080000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洗胃机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输液泵</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JJZX(HN)-2026007</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国家紧急医学救援基地（海南）建设项目设备采购第一批</w:t>
      </w:r>
    </w:p>
    <w:p>
      <w:pPr>
        <w:pStyle w:val="null3"/>
        <w:jc w:val="left"/>
      </w:pPr>
      <w:r>
        <w:rPr>
          <w:rFonts w:ascii="仿宋_GB2312" w:hAnsi="仿宋_GB2312" w:cs="仿宋_GB2312" w:eastAsia="仿宋_GB2312"/>
        </w:rPr>
        <w:t>采购包：</w:t>
      </w:r>
      <w:r>
        <w:rPr>
          <w:rFonts w:ascii="仿宋_GB2312" w:hAnsi="仿宋_GB2312" w:cs="仿宋_GB2312" w:eastAsia="仿宋_GB2312"/>
        </w:rPr>
        <w:t>B</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电动吸引器（带转运防护设施)</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输液泵（带转运防护设施)</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196000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除颤仪（带转运防护设施）</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转运呼吸机（带转运防护设施)</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752000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注射泵（带转运防护设施)</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132000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详见附件：环境标志产品明细表（如有）</w:t>
      </w:r>
    </w:p>
    <w:p>
      <w:pPr>
        <w:pStyle w:val="null3"/>
        <w:ind w:firstLine="960"/>
        <w:jc w:val="left"/>
      </w:pPr>
      <w:r>
        <w:rPr>
          <w:rFonts w:ascii="仿宋_GB2312" w:hAnsi="仿宋_GB2312" w:cs="仿宋_GB2312" w:eastAsia="仿宋_GB2312"/>
        </w:rPr>
        <w:t>详见附件：节能产品明细表（如有）</w:t>
      </w:r>
    </w:p>
    <w:p>
      <w:pPr>
        <w:pStyle w:val="null3"/>
        <w:ind w:firstLine="960"/>
        <w:jc w:val="left"/>
      </w:pPr>
      <w:r>
        <w:rPr>
          <w:rFonts w:ascii="仿宋_GB2312" w:hAnsi="仿宋_GB2312" w:cs="仿宋_GB2312" w:eastAsia="仿宋_GB2312"/>
        </w:rPr>
        <w:t>详见附件：廉洁责任书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详见附件：相关资格证明材料</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详见附件：环境标志产品明细表（如有）</w:t>
      </w:r>
    </w:p>
    <w:p>
      <w:pPr>
        <w:pStyle w:val="null3"/>
        <w:ind w:firstLine="960"/>
        <w:jc w:val="left"/>
      </w:pPr>
      <w:r>
        <w:rPr>
          <w:rFonts w:ascii="仿宋_GB2312" w:hAnsi="仿宋_GB2312" w:cs="仿宋_GB2312" w:eastAsia="仿宋_GB2312"/>
        </w:rPr>
        <w:t>详见附件：节能产品明细表（如有）</w:t>
      </w:r>
    </w:p>
    <w:p>
      <w:pPr>
        <w:pStyle w:val="null3"/>
        <w:ind w:firstLine="960"/>
        <w:jc w:val="left"/>
      </w:pPr>
      <w:r>
        <w:rPr>
          <w:rFonts w:ascii="仿宋_GB2312" w:hAnsi="仿宋_GB2312" w:cs="仿宋_GB2312" w:eastAsia="仿宋_GB2312"/>
        </w:rPr>
        <w:t>详见附件：廉洁责任书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详见附件：投标人诚信守法承诺书</w:t>
      </w:r>
    </w:p>
    <w:p>
      <w:pPr>
        <w:pStyle w:val="null3"/>
        <w:ind w:firstLine="960"/>
        <w:jc w:val="left"/>
      </w:pPr>
      <w:r>
        <w:rPr>
          <w:rFonts w:ascii="仿宋_GB2312" w:hAnsi="仿宋_GB2312" w:cs="仿宋_GB2312" w:eastAsia="仿宋_GB2312"/>
        </w:rPr>
        <w:t>详见附件：相关资格证明材料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