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8"/>
        <w:gridCol w:w="1899"/>
        <w:gridCol w:w="439"/>
        <w:gridCol w:w="1841"/>
        <w:gridCol w:w="1656"/>
        <w:gridCol w:w="1518"/>
        <w:gridCol w:w="882"/>
        <w:gridCol w:w="258"/>
        <w:gridCol w:w="7"/>
      </w:tblGrid>
      <w:tr>
        <w:trPr>
          <w:gridAfter w:val="1"/>
          <w:wAfter w:w="7" w:type="dxa"/>
          <w:cantSplit/>
          <w:trHeight w:val="629" w:hRule="atLeast"/>
        </w:trPr>
        <w:tc>
          <w:tcPr>
            <w:tcW w:w="3736" w:type="dxa"/>
            <w:gridSpan w:val="3"/>
            <w:tcBorders>
              <w:top w:val="nil"/>
              <w:left w:val="nil"/>
              <w:bottom w:val="nil"/>
              <w:right w:val="nil"/>
            </w:tcBorders>
            <w:noWrap w:val="0"/>
            <w:vAlign w:val="bottom"/>
          </w:tcPr>
          <w:p>
            <w:pPr>
              <w:pStyle w:val="8"/>
              <w:keepNext w:val="0"/>
              <w:keepLines w:val="0"/>
              <w:pageBreakBefore w:val="0"/>
              <w:kinsoku/>
              <w:wordWrap/>
              <w:overflowPunct/>
              <w:topLinePunct w:val="0"/>
              <w:autoSpaceDE/>
              <w:autoSpaceDN/>
              <w:bidi w:val="0"/>
              <w:ind w:firstLine="0" w:firstLineChars="0"/>
              <w:textAlignment w:val="auto"/>
            </w:pPr>
          </w:p>
        </w:tc>
        <w:tc>
          <w:tcPr>
            <w:tcW w:w="1841" w:type="dxa"/>
            <w:tcBorders>
              <w:top w:val="nil"/>
              <w:left w:val="nil"/>
              <w:bottom w:val="nil"/>
              <w:right w:val="nil"/>
            </w:tcBorders>
            <w:noWrap w:val="0"/>
            <w:vAlign w:val="bottom"/>
          </w:tcPr>
          <w:p>
            <w:pPr>
              <w:pStyle w:val="8"/>
              <w:keepNext w:val="0"/>
              <w:keepLines w:val="0"/>
              <w:pageBreakBefore w:val="0"/>
              <w:kinsoku/>
              <w:wordWrap/>
              <w:overflowPunct/>
              <w:topLinePunct w:val="0"/>
              <w:autoSpaceDE/>
              <w:autoSpaceDN/>
              <w:bidi w:val="0"/>
              <w:ind w:firstLine="0" w:firstLineChars="0"/>
              <w:jc w:val="center"/>
              <w:textAlignment w:val="auto"/>
              <w:rPr>
                <w:b/>
                <w:bCs/>
              </w:rPr>
            </w:pPr>
            <w:r>
              <w:rPr>
                <w:rFonts w:hint="eastAsia"/>
              </w:rPr>
              <w:t>分类号</w:t>
            </w:r>
          </w:p>
        </w:tc>
        <w:tc>
          <w:tcPr>
            <w:tcW w:w="1656" w:type="dxa"/>
            <w:tcBorders>
              <w:top w:val="nil"/>
              <w:left w:val="nil"/>
              <w:bottom w:val="dashSmallGap" w:color="auto" w:sz="4" w:space="0"/>
              <w:right w:val="nil"/>
            </w:tcBorders>
            <w:noWrap w:val="0"/>
            <w:vAlign w:val="bottom"/>
          </w:tcPr>
          <w:p>
            <w:pPr>
              <w:pStyle w:val="8"/>
              <w:keepNext w:val="0"/>
              <w:keepLines w:val="0"/>
              <w:pageBreakBefore w:val="0"/>
              <w:kinsoku/>
              <w:wordWrap/>
              <w:overflowPunct/>
              <w:topLinePunct w:val="0"/>
              <w:autoSpaceDE/>
              <w:autoSpaceDN/>
              <w:bidi w:val="0"/>
              <w:ind w:firstLine="0" w:firstLineChars="0"/>
              <w:textAlignment w:val="auto"/>
            </w:pPr>
          </w:p>
        </w:tc>
        <w:tc>
          <w:tcPr>
            <w:tcW w:w="1518" w:type="dxa"/>
            <w:tcBorders>
              <w:top w:val="nil"/>
              <w:left w:val="nil"/>
              <w:bottom w:val="nil"/>
              <w:right w:val="nil"/>
            </w:tcBorders>
            <w:noWrap w:val="0"/>
            <w:vAlign w:val="bottom"/>
          </w:tcPr>
          <w:p>
            <w:pPr>
              <w:pStyle w:val="8"/>
              <w:keepNext w:val="0"/>
              <w:keepLines w:val="0"/>
              <w:pageBreakBefore w:val="0"/>
              <w:kinsoku/>
              <w:wordWrap/>
              <w:overflowPunct/>
              <w:topLinePunct w:val="0"/>
              <w:autoSpaceDE/>
              <w:autoSpaceDN/>
              <w:bidi w:val="0"/>
              <w:ind w:firstLine="0" w:firstLineChars="0"/>
              <w:textAlignment w:val="auto"/>
            </w:pPr>
            <w:r>
              <w:rPr>
                <w:rFonts w:hint="eastAsia"/>
              </w:rPr>
              <w:t>归 属</w:t>
            </w:r>
          </w:p>
        </w:tc>
        <w:tc>
          <w:tcPr>
            <w:tcW w:w="1140" w:type="dxa"/>
            <w:gridSpan w:val="2"/>
            <w:tcBorders>
              <w:top w:val="nil"/>
              <w:left w:val="nil"/>
              <w:bottom w:val="dashSmallGap" w:color="auto" w:sz="4" w:space="0"/>
              <w:right w:val="nil"/>
            </w:tcBorders>
            <w:noWrap w:val="0"/>
            <w:vAlign w:val="bottom"/>
          </w:tcPr>
          <w:p>
            <w:pPr>
              <w:pStyle w:val="8"/>
              <w:keepNext w:val="0"/>
              <w:keepLines w:val="0"/>
              <w:pageBreakBefore w:val="0"/>
              <w:kinsoku/>
              <w:wordWrap/>
              <w:overflowPunct/>
              <w:topLinePunct w:val="0"/>
              <w:autoSpaceDE/>
              <w:autoSpaceDN/>
              <w:bidi w:val="0"/>
              <w:ind w:firstLine="0" w:firstLineChars="0"/>
              <w:textAlignment w:val="auto"/>
            </w:pPr>
          </w:p>
        </w:tc>
      </w:tr>
      <w:tr>
        <w:trPr>
          <w:gridAfter w:val="1"/>
          <w:wAfter w:w="7" w:type="dxa"/>
          <w:cantSplit/>
          <w:trHeight w:val="639" w:hRule="atLeast"/>
        </w:trPr>
        <w:tc>
          <w:tcPr>
            <w:tcW w:w="3736" w:type="dxa"/>
            <w:gridSpan w:val="3"/>
            <w:tcBorders>
              <w:top w:val="nil"/>
              <w:left w:val="nil"/>
              <w:bottom w:val="nil"/>
              <w:right w:val="nil"/>
            </w:tcBorders>
            <w:noWrap w:val="0"/>
            <w:vAlign w:val="bottom"/>
          </w:tcPr>
          <w:p>
            <w:pPr>
              <w:pStyle w:val="8"/>
              <w:keepNext w:val="0"/>
              <w:keepLines w:val="0"/>
              <w:pageBreakBefore w:val="0"/>
              <w:kinsoku/>
              <w:wordWrap/>
              <w:overflowPunct/>
              <w:topLinePunct w:val="0"/>
              <w:autoSpaceDE/>
              <w:autoSpaceDN/>
              <w:bidi w:val="0"/>
              <w:ind w:firstLine="0" w:firstLineChars="0"/>
              <w:textAlignment w:val="auto"/>
            </w:pPr>
          </w:p>
        </w:tc>
        <w:tc>
          <w:tcPr>
            <w:tcW w:w="1841" w:type="dxa"/>
            <w:tcBorders>
              <w:top w:val="nil"/>
              <w:left w:val="nil"/>
              <w:bottom w:val="nil"/>
              <w:right w:val="nil"/>
            </w:tcBorders>
            <w:noWrap w:val="0"/>
            <w:vAlign w:val="bottom"/>
          </w:tcPr>
          <w:p>
            <w:pPr>
              <w:pStyle w:val="8"/>
              <w:keepNext w:val="0"/>
              <w:keepLines w:val="0"/>
              <w:pageBreakBefore w:val="0"/>
              <w:kinsoku/>
              <w:wordWrap/>
              <w:overflowPunct/>
              <w:topLinePunct w:val="0"/>
              <w:autoSpaceDE/>
              <w:autoSpaceDN/>
              <w:bidi w:val="0"/>
              <w:ind w:firstLine="0" w:firstLineChars="0"/>
              <w:textAlignment w:val="auto"/>
            </w:pPr>
            <w:r>
              <w:rPr>
                <w:rFonts w:hint="eastAsia"/>
              </w:rPr>
              <w:t>年  度</w:t>
            </w:r>
          </w:p>
        </w:tc>
        <w:tc>
          <w:tcPr>
            <w:tcW w:w="1656" w:type="dxa"/>
            <w:tcBorders>
              <w:top w:val="dashSmallGap" w:color="auto" w:sz="4" w:space="0"/>
              <w:left w:val="nil"/>
              <w:bottom w:val="dashSmallGap" w:color="auto" w:sz="4" w:space="0"/>
              <w:right w:val="nil"/>
            </w:tcBorders>
            <w:noWrap w:val="0"/>
            <w:vAlign w:val="bottom"/>
          </w:tcPr>
          <w:p>
            <w:pPr>
              <w:pStyle w:val="8"/>
              <w:keepNext w:val="0"/>
              <w:keepLines w:val="0"/>
              <w:pageBreakBefore w:val="0"/>
              <w:kinsoku/>
              <w:wordWrap/>
              <w:overflowPunct/>
              <w:topLinePunct w:val="0"/>
              <w:autoSpaceDE/>
              <w:autoSpaceDN/>
              <w:bidi w:val="0"/>
              <w:ind w:firstLine="0" w:firstLineChars="0"/>
              <w:textAlignment w:val="auto"/>
            </w:pPr>
          </w:p>
        </w:tc>
        <w:tc>
          <w:tcPr>
            <w:tcW w:w="1518" w:type="dxa"/>
            <w:tcBorders>
              <w:top w:val="nil"/>
              <w:left w:val="nil"/>
              <w:bottom w:val="nil"/>
              <w:right w:val="nil"/>
            </w:tcBorders>
            <w:noWrap w:val="0"/>
            <w:vAlign w:val="bottom"/>
          </w:tcPr>
          <w:p>
            <w:pPr>
              <w:pStyle w:val="8"/>
              <w:keepNext w:val="0"/>
              <w:keepLines w:val="0"/>
              <w:pageBreakBefore w:val="0"/>
              <w:kinsoku/>
              <w:wordWrap/>
              <w:overflowPunct/>
              <w:topLinePunct w:val="0"/>
              <w:autoSpaceDE/>
              <w:autoSpaceDN/>
              <w:bidi w:val="0"/>
              <w:ind w:firstLine="0" w:firstLineChars="0"/>
              <w:textAlignment w:val="auto"/>
            </w:pPr>
            <w:r>
              <w:rPr>
                <w:rFonts w:hint="eastAsia"/>
              </w:rPr>
              <w:t>编 号</w:t>
            </w:r>
          </w:p>
        </w:tc>
        <w:tc>
          <w:tcPr>
            <w:tcW w:w="1140" w:type="dxa"/>
            <w:gridSpan w:val="2"/>
            <w:tcBorders>
              <w:top w:val="dashSmallGap" w:color="auto" w:sz="4" w:space="0"/>
              <w:left w:val="nil"/>
              <w:bottom w:val="dashSmallGap" w:color="auto" w:sz="4" w:space="0"/>
              <w:right w:val="nil"/>
            </w:tcBorders>
            <w:noWrap w:val="0"/>
            <w:vAlign w:val="bottom"/>
          </w:tcPr>
          <w:p>
            <w:pPr>
              <w:pStyle w:val="8"/>
              <w:keepNext w:val="0"/>
              <w:keepLines w:val="0"/>
              <w:pageBreakBefore w:val="0"/>
              <w:kinsoku/>
              <w:wordWrap/>
              <w:overflowPunct/>
              <w:topLinePunct w:val="0"/>
              <w:autoSpaceDE/>
              <w:autoSpaceDN/>
              <w:bidi w:val="0"/>
              <w:ind w:firstLine="0" w:firstLineChars="0"/>
              <w:textAlignment w:val="auto"/>
            </w:pPr>
          </w:p>
        </w:tc>
      </w:tr>
      <w:tr>
        <w:trPr>
          <w:gridAfter w:val="1"/>
          <w:wAfter w:w="7" w:type="dxa"/>
          <w:trHeight w:val="791" w:hRule="atLeast"/>
        </w:trPr>
        <w:tc>
          <w:tcPr>
            <w:tcW w:w="9891" w:type="dxa"/>
            <w:gridSpan w:val="8"/>
            <w:tcBorders>
              <w:top w:val="nil"/>
              <w:left w:val="nil"/>
              <w:bottom w:val="nil"/>
              <w:right w:val="nil"/>
            </w:tcBorders>
            <w:noWrap w:val="0"/>
            <w:vAlign w:val="top"/>
          </w:tcPr>
          <w:p>
            <w:pPr>
              <w:pStyle w:val="8"/>
              <w:keepNext w:val="0"/>
              <w:keepLines w:val="0"/>
              <w:pageBreakBefore w:val="0"/>
              <w:kinsoku/>
              <w:wordWrap/>
              <w:overflowPunct/>
              <w:topLinePunct w:val="0"/>
              <w:autoSpaceDE/>
              <w:autoSpaceDN/>
              <w:bidi w:val="0"/>
              <w:ind w:firstLine="0" w:firstLineChars="0"/>
              <w:textAlignment w:val="auto"/>
              <w:rPr>
                <w:sz w:val="44"/>
              </w:rPr>
            </w:pPr>
          </w:p>
        </w:tc>
      </w:tr>
      <w:tr>
        <w:trPr>
          <w:gridAfter w:val="1"/>
          <w:wAfter w:w="7" w:type="dxa"/>
          <w:trHeight w:val="3718" w:hRule="atLeast"/>
        </w:trPr>
        <w:tc>
          <w:tcPr>
            <w:tcW w:w="9891" w:type="dxa"/>
            <w:gridSpan w:val="8"/>
            <w:tcBorders>
              <w:top w:val="nil"/>
              <w:left w:val="nil"/>
              <w:bottom w:val="nil"/>
              <w:right w:val="nil"/>
            </w:tcBorders>
            <w:noWrap w:val="0"/>
            <w:vAlign w:val="top"/>
          </w:tcPr>
          <w:p>
            <w:pPr>
              <w:pStyle w:val="9"/>
              <w:keepNext w:val="0"/>
              <w:keepLines w:val="0"/>
              <w:pageBreakBefore w:val="0"/>
              <w:kinsoku/>
              <w:wordWrap/>
              <w:overflowPunct/>
              <w:topLinePunct w:val="0"/>
              <w:autoSpaceDE/>
              <w:autoSpaceDN/>
              <w:bidi w:val="0"/>
              <w:ind w:firstLine="0" w:firstLineChars="0"/>
              <w:textAlignment w:val="auto"/>
              <w:rPr>
                <w:b/>
                <w:color w:val="000000"/>
                <w:sz w:val="56"/>
                <w:szCs w:val="56"/>
              </w:rPr>
            </w:pPr>
            <w:r>
              <w:rPr>
                <w:b/>
                <w:color w:val="000000"/>
                <w:sz w:val="56"/>
                <w:szCs w:val="56"/>
              </w:rPr>
              <w:drawing>
                <wp:inline distT="0" distB="0" distL="114300" distR="114300">
                  <wp:extent cx="1676400" cy="167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676400" cy="1676400"/>
                          </a:xfrm>
                          <a:prstGeom prst="rect">
                            <a:avLst/>
                          </a:prstGeom>
                          <a:noFill/>
                          <a:ln>
                            <a:noFill/>
                          </a:ln>
                        </pic:spPr>
                      </pic:pic>
                    </a:graphicData>
                  </a:graphic>
                </wp:inline>
              </w:drawing>
            </w:r>
          </w:p>
          <w:p>
            <w:pPr>
              <w:pStyle w:val="9"/>
              <w:keepNext w:val="0"/>
              <w:keepLines w:val="0"/>
              <w:pageBreakBefore w:val="0"/>
              <w:kinsoku/>
              <w:wordWrap/>
              <w:overflowPunct/>
              <w:topLinePunct w:val="0"/>
              <w:autoSpaceDE/>
              <w:autoSpaceDN/>
              <w:bidi w:val="0"/>
              <w:ind w:firstLine="0" w:firstLineChars="0"/>
              <w:textAlignment w:val="auto"/>
              <w:rPr>
                <w:b/>
                <w:color w:val="000000"/>
              </w:rPr>
            </w:pPr>
            <w:r>
              <w:rPr>
                <w:rFonts w:hint="eastAsia"/>
                <w:b/>
                <w:color w:val="000000"/>
                <w:sz w:val="56"/>
                <w:szCs w:val="56"/>
              </w:rPr>
              <w:t>海南医科大学第一附属医院</w:t>
            </w:r>
          </w:p>
        </w:tc>
      </w:tr>
      <w:tr>
        <w:trPr>
          <w:gridAfter w:val="1"/>
          <w:wAfter w:w="7" w:type="dxa"/>
          <w:trHeight w:val="1287" w:hRule="atLeast"/>
        </w:trPr>
        <w:tc>
          <w:tcPr>
            <w:tcW w:w="9891" w:type="dxa"/>
            <w:gridSpan w:val="8"/>
            <w:tcBorders>
              <w:top w:val="nil"/>
              <w:left w:val="nil"/>
              <w:bottom w:val="nil"/>
              <w:right w:val="nil"/>
            </w:tcBorders>
            <w:noWrap w:val="0"/>
            <w:vAlign w:val="top"/>
          </w:tcPr>
          <w:p>
            <w:pPr>
              <w:keepNext w:val="0"/>
              <w:keepLines w:val="0"/>
              <w:pageBreakBefore w:val="0"/>
              <w:kinsoku/>
              <w:wordWrap/>
              <w:overflowPunct/>
              <w:topLinePunct w:val="0"/>
              <w:autoSpaceDE/>
              <w:autoSpaceDN/>
              <w:bidi w:val="0"/>
              <w:adjustRightInd w:val="0"/>
              <w:snapToGrid w:val="0"/>
              <w:ind w:firstLine="0" w:firstLineChars="0"/>
              <w:jc w:val="center"/>
              <w:textAlignment w:val="auto"/>
              <w:rPr>
                <w:color w:val="000000"/>
                <w:sz w:val="44"/>
              </w:rPr>
            </w:pPr>
          </w:p>
        </w:tc>
      </w:tr>
      <w:tr>
        <w:trPr>
          <w:gridAfter w:val="1"/>
          <w:wAfter w:w="7" w:type="dxa"/>
          <w:trHeight w:val="1521" w:hRule="atLeast"/>
        </w:trPr>
        <w:tc>
          <w:tcPr>
            <w:tcW w:w="9891" w:type="dxa"/>
            <w:gridSpan w:val="8"/>
            <w:tcBorders>
              <w:top w:val="nil"/>
              <w:left w:val="nil"/>
              <w:bottom w:val="nil"/>
              <w:right w:val="nil"/>
            </w:tcBorders>
            <w:noWrap w:val="0"/>
            <w:vAlign w:val="top"/>
          </w:tcPr>
          <w:p>
            <w:pPr>
              <w:pStyle w:val="10"/>
              <w:keepNext w:val="0"/>
              <w:keepLines w:val="0"/>
              <w:pageBreakBefore w:val="0"/>
              <w:kinsoku/>
              <w:wordWrap/>
              <w:overflowPunct/>
              <w:topLinePunct w:val="0"/>
              <w:autoSpaceDE/>
              <w:autoSpaceDN/>
              <w:bidi w:val="0"/>
              <w:ind w:firstLine="0" w:firstLineChars="0"/>
              <w:textAlignment w:val="auto"/>
            </w:pPr>
            <w:r>
              <w:rPr>
                <w:rFonts w:hint="eastAsia"/>
              </w:rPr>
              <w:t>供货</w:t>
            </w:r>
            <w:r>
              <w:rPr>
                <w:rFonts w:hint="eastAsia"/>
                <w:lang w:val="en-US" w:eastAsia="zh-CN"/>
              </w:rPr>
              <w:t>配送</w:t>
            </w:r>
            <w:r>
              <w:rPr>
                <w:rFonts w:hint="eastAsia"/>
              </w:rPr>
              <w:t>合同</w:t>
            </w:r>
          </w:p>
        </w:tc>
      </w:tr>
      <w:tr>
        <w:trPr>
          <w:cantSplit/>
          <w:trHeight w:val="635" w:hRule="atLeast"/>
        </w:trPr>
        <w:tc>
          <w:tcPr>
            <w:tcW w:w="1398" w:type="dxa"/>
            <w:vMerge w:val="restart"/>
            <w:tcBorders>
              <w:top w:val="nil"/>
              <w:left w:val="nil"/>
              <w:bottom w:val="nil"/>
              <w:right w:val="nil"/>
            </w:tcBorders>
            <w:noWrap w:val="0"/>
            <w:vAlign w:val="center"/>
          </w:tcPr>
          <w:p>
            <w:pPr>
              <w:keepNext w:val="0"/>
              <w:keepLines w:val="0"/>
              <w:pageBreakBefore w:val="0"/>
              <w:kinsoku/>
              <w:wordWrap/>
              <w:overflowPunct/>
              <w:topLinePunct w:val="0"/>
              <w:autoSpaceDE/>
              <w:autoSpaceDN/>
              <w:bidi w:val="0"/>
              <w:adjustRightInd w:val="0"/>
              <w:snapToGrid w:val="0"/>
              <w:ind w:firstLine="0" w:firstLineChars="0"/>
              <w:textAlignment w:val="auto"/>
              <w:rPr>
                <w:rFonts w:eastAsia="楷体_GB2312"/>
                <w:color w:val="000000"/>
                <w:sz w:val="52"/>
              </w:rPr>
            </w:pPr>
          </w:p>
        </w:tc>
        <w:tc>
          <w:tcPr>
            <w:tcW w:w="1899" w:type="dxa"/>
            <w:tcBorders>
              <w:top w:val="nil"/>
              <w:left w:val="nil"/>
              <w:bottom w:val="nil"/>
              <w:right w:val="nil"/>
            </w:tcBorders>
            <w:noWrap w:val="0"/>
            <w:vAlign w:val="center"/>
          </w:tcPr>
          <w:p>
            <w:pPr>
              <w:pStyle w:val="11"/>
              <w:keepNext w:val="0"/>
              <w:keepLines w:val="0"/>
              <w:pageBreakBefore w:val="0"/>
              <w:kinsoku/>
              <w:wordWrap/>
              <w:overflowPunct/>
              <w:topLinePunct w:val="0"/>
              <w:autoSpaceDE/>
              <w:autoSpaceDN/>
              <w:bidi w:val="0"/>
              <w:ind w:firstLine="0" w:firstLineChars="0"/>
              <w:textAlignment w:val="auto"/>
            </w:pPr>
            <w:r>
              <w:rPr>
                <w:rFonts w:hint="eastAsia"/>
              </w:rPr>
              <w:t>项目名称：</w:t>
            </w:r>
          </w:p>
        </w:tc>
        <w:tc>
          <w:tcPr>
            <w:tcW w:w="6336" w:type="dxa"/>
            <w:gridSpan w:val="5"/>
            <w:tcBorders>
              <w:top w:val="nil"/>
              <w:left w:val="nil"/>
              <w:bottom w:val="nil"/>
              <w:right w:val="nil"/>
            </w:tcBorders>
            <w:noWrap w:val="0"/>
            <w:vAlign w:val="center"/>
          </w:tcPr>
          <w:p>
            <w:pPr>
              <w:pStyle w:val="11"/>
              <w:keepNext w:val="0"/>
              <w:keepLines w:val="0"/>
              <w:pageBreakBefore w:val="0"/>
              <w:kinsoku/>
              <w:wordWrap/>
              <w:overflowPunct/>
              <w:topLinePunct w:val="0"/>
              <w:autoSpaceDE/>
              <w:autoSpaceDN/>
              <w:bidi w:val="0"/>
              <w:ind w:firstLine="0" w:firstLineChars="0"/>
              <w:textAlignment w:val="auto"/>
              <w:rPr>
                <w:rFonts w:hint="eastAsia" w:eastAsia="宋体"/>
                <w:spacing w:val="20"/>
                <w:lang w:eastAsia="zh-CN"/>
              </w:rPr>
            </w:pPr>
            <w:r>
              <w:rPr>
                <w:rFonts w:hint="eastAsia"/>
                <w:spacing w:val="20"/>
                <w:lang w:eastAsia="zh-CN"/>
              </w:rPr>
              <w:t>海南医科大学第一附属医院全降解塑料袋配送服务项目</w:t>
            </w:r>
          </w:p>
        </w:tc>
        <w:tc>
          <w:tcPr>
            <w:tcW w:w="265" w:type="dxa"/>
            <w:gridSpan w:val="2"/>
            <w:vMerge w:val="restart"/>
            <w:tcBorders>
              <w:top w:val="nil"/>
              <w:left w:val="nil"/>
              <w:bottom w:val="nil"/>
              <w:right w:val="nil"/>
            </w:tcBorders>
            <w:noWrap w:val="0"/>
            <w:vAlign w:val="center"/>
          </w:tcPr>
          <w:p>
            <w:pPr>
              <w:keepNext w:val="0"/>
              <w:keepLines w:val="0"/>
              <w:pageBreakBefore w:val="0"/>
              <w:kinsoku/>
              <w:wordWrap/>
              <w:overflowPunct/>
              <w:topLinePunct w:val="0"/>
              <w:autoSpaceDE/>
              <w:autoSpaceDN/>
              <w:bidi w:val="0"/>
              <w:adjustRightInd w:val="0"/>
              <w:snapToGrid w:val="0"/>
              <w:ind w:firstLine="0" w:firstLineChars="0"/>
              <w:textAlignment w:val="auto"/>
              <w:rPr>
                <w:rFonts w:eastAsia="楷体_GB2312"/>
                <w:color w:val="000000"/>
                <w:sz w:val="52"/>
              </w:rPr>
            </w:pPr>
          </w:p>
        </w:tc>
      </w:tr>
      <w:tr>
        <w:trPr>
          <w:cantSplit/>
          <w:trHeight w:val="635" w:hRule="atLeast"/>
        </w:trPr>
        <w:tc>
          <w:tcPr>
            <w:tcW w:w="1398" w:type="dxa"/>
            <w:vMerge w:val="continue"/>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ind w:firstLine="0" w:firstLineChars="0"/>
              <w:textAlignment w:val="auto"/>
              <w:rPr>
                <w:rFonts w:eastAsia="楷体_GB2312"/>
                <w:color w:val="000000"/>
                <w:sz w:val="52"/>
              </w:rPr>
            </w:pPr>
          </w:p>
        </w:tc>
        <w:tc>
          <w:tcPr>
            <w:tcW w:w="1899" w:type="dxa"/>
            <w:tcBorders>
              <w:top w:val="nil"/>
              <w:left w:val="nil"/>
              <w:bottom w:val="nil"/>
              <w:right w:val="nil"/>
            </w:tcBorders>
            <w:noWrap w:val="0"/>
            <w:vAlign w:val="center"/>
          </w:tcPr>
          <w:p>
            <w:pPr>
              <w:pStyle w:val="11"/>
              <w:keepNext w:val="0"/>
              <w:keepLines w:val="0"/>
              <w:pageBreakBefore w:val="0"/>
              <w:kinsoku/>
              <w:wordWrap/>
              <w:overflowPunct/>
              <w:topLinePunct w:val="0"/>
              <w:autoSpaceDE/>
              <w:autoSpaceDN/>
              <w:bidi w:val="0"/>
              <w:ind w:firstLine="0" w:firstLineChars="0"/>
              <w:textAlignment w:val="auto"/>
            </w:pPr>
            <w:r>
              <w:rPr>
                <w:rFonts w:hint="eastAsia"/>
              </w:rPr>
              <w:t>供货单位：</w:t>
            </w:r>
          </w:p>
        </w:tc>
        <w:tc>
          <w:tcPr>
            <w:tcW w:w="6336" w:type="dxa"/>
            <w:gridSpan w:val="5"/>
            <w:tcBorders>
              <w:top w:val="nil"/>
              <w:left w:val="nil"/>
              <w:bottom w:val="nil"/>
              <w:right w:val="nil"/>
            </w:tcBorders>
            <w:noWrap w:val="0"/>
            <w:vAlign w:val="center"/>
          </w:tcPr>
          <w:p>
            <w:pPr>
              <w:pStyle w:val="11"/>
              <w:keepNext w:val="0"/>
              <w:keepLines w:val="0"/>
              <w:pageBreakBefore w:val="0"/>
              <w:kinsoku/>
              <w:wordWrap/>
              <w:overflowPunct/>
              <w:topLinePunct w:val="0"/>
              <w:autoSpaceDE/>
              <w:autoSpaceDN/>
              <w:bidi w:val="0"/>
              <w:ind w:firstLine="0" w:firstLineChars="0"/>
              <w:textAlignment w:val="auto"/>
            </w:pPr>
          </w:p>
        </w:tc>
        <w:tc>
          <w:tcPr>
            <w:tcW w:w="265" w:type="dxa"/>
            <w:gridSpan w:val="2"/>
            <w:vMerge w:val="continue"/>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ind w:firstLine="0" w:firstLineChars="0"/>
              <w:jc w:val="distribute"/>
              <w:textAlignment w:val="auto"/>
              <w:rPr>
                <w:rFonts w:eastAsia="楷体_GB2312"/>
                <w:color w:val="000000"/>
                <w:sz w:val="52"/>
              </w:rPr>
            </w:pPr>
          </w:p>
        </w:tc>
      </w:tr>
      <w:tr>
        <w:trPr>
          <w:cantSplit/>
          <w:trHeight w:val="635" w:hRule="atLeast"/>
        </w:trPr>
        <w:tc>
          <w:tcPr>
            <w:tcW w:w="1398" w:type="dxa"/>
            <w:vMerge w:val="continue"/>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ind w:firstLine="0" w:firstLineChars="0"/>
              <w:textAlignment w:val="auto"/>
              <w:rPr>
                <w:rFonts w:eastAsia="楷体_GB2312"/>
                <w:color w:val="000000"/>
                <w:sz w:val="52"/>
              </w:rPr>
            </w:pPr>
          </w:p>
        </w:tc>
        <w:tc>
          <w:tcPr>
            <w:tcW w:w="1899" w:type="dxa"/>
            <w:tcBorders>
              <w:top w:val="nil"/>
              <w:left w:val="nil"/>
              <w:bottom w:val="nil"/>
              <w:right w:val="nil"/>
            </w:tcBorders>
            <w:noWrap w:val="0"/>
            <w:vAlign w:val="center"/>
          </w:tcPr>
          <w:p>
            <w:pPr>
              <w:pStyle w:val="11"/>
              <w:keepNext w:val="0"/>
              <w:keepLines w:val="0"/>
              <w:pageBreakBefore w:val="0"/>
              <w:kinsoku/>
              <w:wordWrap/>
              <w:overflowPunct/>
              <w:topLinePunct w:val="0"/>
              <w:autoSpaceDE/>
              <w:autoSpaceDN/>
              <w:bidi w:val="0"/>
              <w:ind w:firstLine="0" w:firstLineChars="0"/>
              <w:textAlignment w:val="auto"/>
            </w:pPr>
            <w:r>
              <w:rPr>
                <w:rFonts w:hint="eastAsia"/>
              </w:rPr>
              <w:t>单位地址：</w:t>
            </w:r>
          </w:p>
        </w:tc>
        <w:tc>
          <w:tcPr>
            <w:tcW w:w="6336" w:type="dxa"/>
            <w:gridSpan w:val="5"/>
            <w:tcBorders>
              <w:top w:val="nil"/>
              <w:left w:val="nil"/>
              <w:bottom w:val="nil"/>
              <w:right w:val="nil"/>
            </w:tcBorders>
            <w:noWrap w:val="0"/>
            <w:vAlign w:val="center"/>
          </w:tcPr>
          <w:p>
            <w:pPr>
              <w:pStyle w:val="11"/>
              <w:keepNext w:val="0"/>
              <w:keepLines w:val="0"/>
              <w:pageBreakBefore w:val="0"/>
              <w:kinsoku/>
              <w:wordWrap/>
              <w:overflowPunct/>
              <w:topLinePunct w:val="0"/>
              <w:autoSpaceDE/>
              <w:autoSpaceDN/>
              <w:bidi w:val="0"/>
              <w:ind w:firstLine="0" w:firstLineChars="0"/>
              <w:textAlignment w:val="auto"/>
            </w:pPr>
          </w:p>
        </w:tc>
        <w:tc>
          <w:tcPr>
            <w:tcW w:w="265" w:type="dxa"/>
            <w:gridSpan w:val="2"/>
            <w:vMerge w:val="continue"/>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ind w:firstLine="0" w:firstLineChars="0"/>
              <w:jc w:val="distribute"/>
              <w:textAlignment w:val="auto"/>
              <w:rPr>
                <w:rFonts w:eastAsia="楷体_GB2312"/>
                <w:color w:val="000000"/>
                <w:sz w:val="52"/>
              </w:rPr>
            </w:pPr>
          </w:p>
        </w:tc>
      </w:tr>
      <w:tr>
        <w:trPr>
          <w:gridAfter w:val="1"/>
          <w:wAfter w:w="7" w:type="dxa"/>
          <w:trHeight w:val="1731" w:hRule="atLeast"/>
        </w:trPr>
        <w:tc>
          <w:tcPr>
            <w:tcW w:w="9891" w:type="dxa"/>
            <w:gridSpan w:val="8"/>
            <w:tcBorders>
              <w:top w:val="nil"/>
              <w:left w:val="nil"/>
              <w:bottom w:val="nil"/>
              <w:right w:val="nil"/>
            </w:tcBorders>
            <w:noWrap w:val="0"/>
            <w:vAlign w:val="top"/>
          </w:tcPr>
          <w:p>
            <w:pPr>
              <w:pStyle w:val="12"/>
              <w:keepNext w:val="0"/>
              <w:keepLines w:val="0"/>
              <w:pageBreakBefore w:val="0"/>
              <w:kinsoku/>
              <w:wordWrap/>
              <w:overflowPunct/>
              <w:topLinePunct w:val="0"/>
              <w:autoSpaceDE/>
              <w:autoSpaceDN/>
              <w:bidi w:val="0"/>
              <w:ind w:firstLine="0" w:firstLineChars="0"/>
              <w:jc w:val="both"/>
              <w:textAlignment w:val="auto"/>
            </w:pPr>
          </w:p>
          <w:p>
            <w:pPr>
              <w:pStyle w:val="12"/>
              <w:keepNext w:val="0"/>
              <w:keepLines w:val="0"/>
              <w:pageBreakBefore w:val="0"/>
              <w:kinsoku/>
              <w:wordWrap/>
              <w:overflowPunct/>
              <w:topLinePunct w:val="0"/>
              <w:autoSpaceDE/>
              <w:autoSpaceDN/>
              <w:bidi w:val="0"/>
              <w:ind w:firstLine="0" w:firstLineChars="0"/>
              <w:textAlignment w:val="auto"/>
            </w:pPr>
            <w:r>
              <w:rPr>
                <w:rFonts w:hint="eastAsia"/>
              </w:rPr>
              <w:t>二〇二</w:t>
            </w:r>
            <w:r>
              <w:rPr>
                <w:rFonts w:hint="eastAsia"/>
                <w:lang w:val="en-US" w:eastAsia="zh-CN"/>
              </w:rPr>
              <w:t xml:space="preserve">   </w:t>
            </w:r>
            <w:r>
              <w:rPr>
                <w:rFonts w:hint="eastAsia"/>
              </w:rPr>
              <w:t>年</w:t>
            </w:r>
            <w:r>
              <w:rPr>
                <w:rFonts w:hint="eastAsia"/>
                <w:lang w:val="en-US" w:eastAsia="zh-CN"/>
              </w:rPr>
              <w:t xml:space="preserve">   </w:t>
            </w:r>
            <w:r>
              <w:rPr>
                <w:rFonts w:hint="eastAsia"/>
              </w:rPr>
              <w:t>月</w:t>
            </w:r>
          </w:p>
        </w:tc>
      </w:tr>
    </w:tbl>
    <w:p>
      <w:pPr>
        <w:rPr>
          <w:sz w:val="24"/>
        </w:rPr>
      </w:pPr>
    </w:p>
    <w:p>
      <w:pPr>
        <w:adjustRightInd w:val="0"/>
        <w:snapToGrid w:val="0"/>
        <w:spacing w:line="560" w:lineRule="exact"/>
        <w:jc w:val="center"/>
        <w:rPr>
          <w:rFonts w:ascii="黑体" w:hAnsi="黑体" w:eastAsia="黑体" w:cs="黑体"/>
          <w:b/>
          <w:sz w:val="44"/>
          <w:szCs w:val="44"/>
        </w:rPr>
      </w:pPr>
      <w:r>
        <w:rPr>
          <w:rFonts w:hint="eastAsia" w:ascii="黑体" w:hAnsi="黑体" w:eastAsia="黑体" w:cs="黑体"/>
          <w:b/>
          <w:sz w:val="44"/>
          <w:szCs w:val="44"/>
        </w:rPr>
        <w:t>海南医</w:t>
      </w:r>
      <w:r>
        <w:rPr>
          <w:rFonts w:hint="eastAsia" w:ascii="黑体" w:hAnsi="黑体" w:eastAsia="黑体" w:cs="黑体"/>
          <w:b/>
          <w:sz w:val="44"/>
          <w:szCs w:val="44"/>
          <w:lang w:val="en-US" w:eastAsia="zh-CN"/>
        </w:rPr>
        <w:t>科大学</w:t>
      </w:r>
      <w:r>
        <w:rPr>
          <w:rFonts w:hint="eastAsia" w:ascii="黑体" w:hAnsi="黑体" w:eastAsia="黑体" w:cs="黑体"/>
          <w:b/>
          <w:sz w:val="44"/>
          <w:szCs w:val="44"/>
        </w:rPr>
        <w:t>第一附属医院供货合同</w:t>
      </w:r>
    </w:p>
    <w:p>
      <w:pPr>
        <w:adjustRightInd w:val="0"/>
        <w:snapToGrid w:val="0"/>
        <w:spacing w:line="560" w:lineRule="exact"/>
        <w:ind w:left="-320" w:leftChars="-100" w:firstLine="3973" w:firstLineChars="902"/>
        <w:rPr>
          <w:rFonts w:ascii="隶书" w:hAnsi="隶书" w:eastAsia="隶书" w:cs="隶书"/>
          <w:b/>
          <w:sz w:val="44"/>
          <w:szCs w:val="44"/>
        </w:rPr>
      </w:pPr>
      <w:r>
        <w:rPr>
          <w:rFonts w:hint="eastAsia" w:ascii="隶书" w:hAnsi="隶书" w:eastAsia="隶书" w:cs="隶书"/>
          <w:b/>
          <w:sz w:val="44"/>
          <w:szCs w:val="44"/>
        </w:rPr>
        <w:t>（货物类）</w:t>
      </w:r>
    </w:p>
    <w:p>
      <w:pPr>
        <w:adjustRightInd w:val="0"/>
        <w:snapToGrid w:val="0"/>
        <w:spacing w:line="560" w:lineRule="exact"/>
        <w:ind w:firstLine="3524" w:firstLineChars="800"/>
        <w:rPr>
          <w:rFonts w:ascii="隶书" w:hAnsi="隶书" w:eastAsia="隶书" w:cs="隶书"/>
          <w:b/>
          <w:sz w:val="44"/>
          <w:szCs w:val="44"/>
        </w:rPr>
      </w:pPr>
    </w:p>
    <w:tbl>
      <w:tblPr>
        <w:tblStyle w:val="6"/>
        <w:tblpPr w:leftFromText="180" w:rightFromText="180" w:vertAnchor="text" w:horzAnchor="page" w:tblpXSpec="center" w:tblpY="257"/>
        <w:tblOverlap w:val="never"/>
        <w:tblW w:w="9559" w:type="dxa"/>
        <w:jc w:val="center"/>
        <w:tblLayout w:type="fixed"/>
        <w:tblCellMar>
          <w:top w:w="0" w:type="dxa"/>
          <w:left w:w="108" w:type="dxa"/>
          <w:bottom w:w="0" w:type="dxa"/>
          <w:right w:w="108" w:type="dxa"/>
        </w:tblCellMar>
      </w:tblPr>
      <w:tblGrid>
        <w:gridCol w:w="4952"/>
        <w:gridCol w:w="4607"/>
      </w:tblGrid>
      <w:tr>
        <w:trPr>
          <w:trHeight w:val="692" w:hRule="exact"/>
          <w:jc w:val="center"/>
        </w:trPr>
        <w:tc>
          <w:tcPr>
            <w:tcW w:w="4952" w:type="dxa"/>
            <w:noWrap w:val="0"/>
            <w:vAlign w:val="center"/>
          </w:tcPr>
          <w:p>
            <w:pPr>
              <w:spacing w:line="5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）：海南</w:t>
            </w:r>
            <w:r>
              <w:rPr>
                <w:rFonts w:hint="eastAsia" w:ascii="宋体" w:hAnsi="宋体" w:cs="宋体"/>
                <w:color w:val="auto"/>
                <w:sz w:val="24"/>
                <w:szCs w:val="24"/>
                <w:highlight w:val="none"/>
              </w:rPr>
              <w:t>医科大学</w:t>
            </w:r>
            <w:r>
              <w:rPr>
                <w:rFonts w:hint="eastAsia" w:ascii="宋体" w:hAnsi="宋体" w:eastAsia="宋体" w:cs="宋体"/>
                <w:color w:val="auto"/>
                <w:sz w:val="24"/>
                <w:szCs w:val="24"/>
                <w:highlight w:val="none"/>
              </w:rPr>
              <w:t>第一</w:t>
            </w:r>
            <w:r>
              <w:rPr>
                <w:rFonts w:hint="eastAsia" w:ascii="宋体" w:hAnsi="宋体" w:cs="宋体"/>
                <w:color w:val="auto"/>
                <w:sz w:val="24"/>
                <w:szCs w:val="24"/>
                <w:highlight w:val="none"/>
              </w:rPr>
              <w:t>附属医院</w:t>
            </w:r>
          </w:p>
        </w:tc>
        <w:tc>
          <w:tcPr>
            <w:tcW w:w="4607" w:type="dxa"/>
            <w:noWrap w:val="0"/>
            <w:vAlign w:val="center"/>
          </w:tcPr>
          <w:p>
            <w:pPr>
              <w:spacing w:line="560" w:lineRule="exac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乙方：</w:t>
            </w:r>
          </w:p>
        </w:tc>
      </w:tr>
      <w:tr>
        <w:trPr>
          <w:trHeight w:val="581" w:hRule="exact"/>
          <w:jc w:val="center"/>
        </w:trPr>
        <w:tc>
          <w:tcPr>
            <w:tcW w:w="4952" w:type="dxa"/>
            <w:noWrap w:val="0"/>
            <w:vAlign w:val="center"/>
          </w:tcPr>
          <w:p>
            <w:pPr>
              <w:spacing w:line="5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地址：海口市龙华路31号</w:t>
            </w:r>
          </w:p>
        </w:tc>
        <w:tc>
          <w:tcPr>
            <w:tcW w:w="4607" w:type="dxa"/>
            <w:noWrap w:val="0"/>
            <w:vAlign w:val="center"/>
          </w:tcPr>
          <w:p>
            <w:pPr>
              <w:spacing w:line="5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pPr>
              <w:spacing w:line="560" w:lineRule="exact"/>
              <w:rPr>
                <w:rFonts w:ascii="宋体" w:hAnsi="宋体" w:eastAsia="宋体" w:cs="宋体"/>
                <w:color w:val="auto"/>
                <w:sz w:val="24"/>
                <w:szCs w:val="24"/>
                <w:highlight w:val="none"/>
              </w:rPr>
            </w:pPr>
          </w:p>
          <w:p>
            <w:pPr>
              <w:spacing w:line="5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富民三期厂房3幢</w:t>
            </w:r>
          </w:p>
          <w:p>
            <w:pPr>
              <w:spacing w:line="560" w:lineRule="exact"/>
              <w:rPr>
                <w:rFonts w:ascii="宋体" w:hAnsi="宋体" w:eastAsia="宋体" w:cs="宋体"/>
                <w:color w:val="auto"/>
                <w:sz w:val="24"/>
                <w:szCs w:val="24"/>
                <w:highlight w:val="none"/>
              </w:rPr>
            </w:pPr>
          </w:p>
          <w:p>
            <w:pPr>
              <w:spacing w:line="560" w:lineRule="exact"/>
              <w:rPr>
                <w:rFonts w:ascii="宋体" w:hAnsi="宋体" w:eastAsia="宋体" w:cs="宋体"/>
                <w:color w:val="auto"/>
                <w:sz w:val="24"/>
                <w:szCs w:val="24"/>
                <w:highlight w:val="none"/>
              </w:rPr>
            </w:pPr>
          </w:p>
          <w:p>
            <w:pPr>
              <w:spacing w:line="560" w:lineRule="exact"/>
              <w:rPr>
                <w:rFonts w:ascii="宋体" w:hAnsi="宋体" w:eastAsia="宋体" w:cs="宋体"/>
                <w:color w:val="auto"/>
                <w:sz w:val="24"/>
                <w:szCs w:val="24"/>
                <w:highlight w:val="none"/>
              </w:rPr>
            </w:pPr>
          </w:p>
          <w:p>
            <w:pPr>
              <w:spacing w:line="560" w:lineRule="exact"/>
              <w:rPr>
                <w:rFonts w:ascii="宋体" w:hAnsi="宋体" w:eastAsia="宋体" w:cs="宋体"/>
                <w:color w:val="auto"/>
                <w:sz w:val="24"/>
                <w:szCs w:val="24"/>
                <w:highlight w:val="none"/>
              </w:rPr>
            </w:pPr>
          </w:p>
          <w:p>
            <w:pPr>
              <w:spacing w:line="560" w:lineRule="exact"/>
              <w:rPr>
                <w:rFonts w:ascii="宋体" w:hAnsi="宋体" w:eastAsia="宋体" w:cs="宋体"/>
                <w:color w:val="auto"/>
                <w:sz w:val="24"/>
                <w:szCs w:val="24"/>
                <w:highlight w:val="none"/>
              </w:rPr>
            </w:pPr>
          </w:p>
        </w:tc>
      </w:tr>
      <w:tr>
        <w:trPr>
          <w:trHeight w:val="565" w:hRule="exact"/>
          <w:jc w:val="center"/>
        </w:trPr>
        <w:tc>
          <w:tcPr>
            <w:tcW w:w="4952" w:type="dxa"/>
            <w:noWrap w:val="0"/>
            <w:vAlign w:val="center"/>
          </w:tcPr>
          <w:p>
            <w:pPr>
              <w:spacing w:line="5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rPr>
              <w:t>李琪</w:t>
            </w:r>
          </w:p>
        </w:tc>
        <w:tc>
          <w:tcPr>
            <w:tcW w:w="4607" w:type="dxa"/>
            <w:noWrap w:val="0"/>
            <w:vAlign w:val="center"/>
          </w:tcPr>
          <w:p>
            <w:pPr>
              <w:spacing w:line="560" w:lineRule="exac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p>
        </w:tc>
      </w:tr>
      <w:tr>
        <w:trPr>
          <w:trHeight w:val="578" w:hRule="exact"/>
          <w:jc w:val="center"/>
        </w:trPr>
        <w:tc>
          <w:tcPr>
            <w:tcW w:w="4952" w:type="dxa"/>
            <w:noWrap w:val="0"/>
            <w:vAlign w:val="center"/>
          </w:tcPr>
          <w:p>
            <w:pPr>
              <w:spacing w:line="5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电话：0898-66702999</w:t>
            </w:r>
          </w:p>
        </w:tc>
        <w:tc>
          <w:tcPr>
            <w:tcW w:w="4607" w:type="dxa"/>
            <w:noWrap w:val="0"/>
            <w:vAlign w:val="center"/>
          </w:tcPr>
          <w:p>
            <w:pPr>
              <w:spacing w:line="560" w:lineRule="exac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p>
        </w:tc>
      </w:tr>
      <w:tr>
        <w:trPr>
          <w:trHeight w:val="578" w:hRule="exact"/>
          <w:jc w:val="center"/>
        </w:trPr>
        <w:tc>
          <w:tcPr>
            <w:tcW w:w="4952" w:type="dxa"/>
            <w:noWrap w:val="0"/>
            <w:vAlign w:val="center"/>
          </w:tcPr>
          <w:p>
            <w:pPr>
              <w:spacing w:line="5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传真：0898-66782831</w:t>
            </w:r>
          </w:p>
        </w:tc>
        <w:tc>
          <w:tcPr>
            <w:tcW w:w="4607" w:type="dxa"/>
            <w:noWrap w:val="0"/>
            <w:vAlign w:val="center"/>
          </w:tcPr>
          <w:p>
            <w:pPr>
              <w:spacing w:line="56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lang w:val="en-US" w:eastAsia="zh-CN"/>
              </w:rPr>
              <w:t>/</w:t>
            </w:r>
          </w:p>
        </w:tc>
      </w:tr>
      <w:tr>
        <w:trPr>
          <w:trHeight w:val="833" w:hRule="exact"/>
          <w:jc w:val="center"/>
        </w:trPr>
        <w:tc>
          <w:tcPr>
            <w:tcW w:w="4952" w:type="dxa"/>
            <w:noWrap w:val="0"/>
            <w:vAlign w:val="center"/>
          </w:tcPr>
          <w:p>
            <w:pPr>
              <w:spacing w:line="5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开户银行：兴业银行海口滨海支行</w:t>
            </w:r>
          </w:p>
        </w:tc>
        <w:tc>
          <w:tcPr>
            <w:tcW w:w="4607" w:type="dxa"/>
            <w:noWrap w:val="0"/>
            <w:vAlign w:val="center"/>
          </w:tcPr>
          <w:p>
            <w:pPr>
              <w:spacing w:line="5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r>
      <w:tr>
        <w:trPr>
          <w:trHeight w:val="578" w:hRule="exact"/>
          <w:jc w:val="center"/>
        </w:trPr>
        <w:tc>
          <w:tcPr>
            <w:tcW w:w="4952" w:type="dxa"/>
            <w:noWrap w:val="0"/>
            <w:vAlign w:val="center"/>
          </w:tcPr>
          <w:p>
            <w:pPr>
              <w:spacing w:line="5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账号：622020100100109943</w:t>
            </w:r>
          </w:p>
        </w:tc>
        <w:tc>
          <w:tcPr>
            <w:tcW w:w="4607" w:type="dxa"/>
            <w:noWrap w:val="0"/>
            <w:vAlign w:val="center"/>
          </w:tcPr>
          <w:p>
            <w:pPr>
              <w:spacing w:line="5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r>
      <w:tr>
        <w:trPr>
          <w:trHeight w:val="522" w:hRule="exact"/>
          <w:jc w:val="center"/>
        </w:trPr>
        <w:tc>
          <w:tcPr>
            <w:tcW w:w="4952" w:type="dxa"/>
            <w:noWrap w:val="0"/>
            <w:vAlign w:val="center"/>
          </w:tcPr>
          <w:p>
            <w:pPr>
              <w:spacing w:line="5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税号：12460000428201364F</w:t>
            </w:r>
          </w:p>
        </w:tc>
        <w:tc>
          <w:tcPr>
            <w:tcW w:w="4607" w:type="dxa"/>
            <w:noWrap w:val="0"/>
            <w:vAlign w:val="center"/>
          </w:tcPr>
          <w:p>
            <w:pPr>
              <w:spacing w:line="56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税号：</w:t>
            </w:r>
          </w:p>
        </w:tc>
      </w:tr>
    </w:tbl>
    <w:p>
      <w:pPr>
        <w:pStyle w:val="3"/>
        <w:spacing w:line="520" w:lineRule="exact"/>
        <w:ind w:firstLine="0" w:firstLineChars="0"/>
        <w:rPr>
          <w:rFonts w:hint="eastAsia" w:ascii="宋体" w:hAnsi="宋体" w:eastAsia="宋体" w:cs="宋体"/>
          <w:spacing w:val="-9"/>
          <w:sz w:val="24"/>
          <w:szCs w:val="24"/>
        </w:rPr>
      </w:pPr>
      <w:r>
        <w:rPr>
          <w:rFonts w:hint="eastAsia" w:ascii="宋体" w:hAnsi="宋体" w:eastAsia="宋体" w:cs="宋体"/>
          <w:spacing w:val="-9"/>
          <w:sz w:val="24"/>
          <w:szCs w:val="24"/>
        </w:rPr>
        <w:t>根据甲乙双方</w:t>
      </w:r>
      <w:r>
        <w:rPr>
          <w:rFonts w:hint="eastAsia" w:ascii="宋体" w:hAnsi="宋体" w:cs="宋体"/>
          <w:spacing w:val="-9"/>
          <w:sz w:val="24"/>
          <w:szCs w:val="24"/>
          <w:lang w:val="en-US" w:eastAsia="zh-CN"/>
        </w:rPr>
        <w:t xml:space="preserve">   </w:t>
      </w:r>
      <w:r>
        <w:rPr>
          <w:rFonts w:hint="eastAsia" w:ascii="宋体" w:hAnsi="宋体" w:eastAsia="宋体" w:cs="宋体"/>
          <w:spacing w:val="-9"/>
          <w:sz w:val="24"/>
          <w:szCs w:val="24"/>
        </w:rPr>
        <w:t xml:space="preserve"> 年  </w:t>
      </w:r>
      <w:r>
        <w:rPr>
          <w:rFonts w:hint="eastAsia" w:ascii="宋体" w:hAnsi="宋体" w:cs="宋体"/>
          <w:spacing w:val="-9"/>
          <w:sz w:val="24"/>
          <w:szCs w:val="24"/>
          <w:lang w:val="en-US" w:eastAsia="zh-CN"/>
        </w:rPr>
        <w:t xml:space="preserve">  </w:t>
      </w:r>
      <w:r>
        <w:rPr>
          <w:rFonts w:hint="eastAsia" w:ascii="宋体" w:hAnsi="宋体" w:eastAsia="宋体" w:cs="宋体"/>
          <w:spacing w:val="-9"/>
          <w:sz w:val="24"/>
          <w:szCs w:val="24"/>
        </w:rPr>
        <w:t>月</w:t>
      </w:r>
      <w:r>
        <w:rPr>
          <w:rFonts w:hint="eastAsia" w:ascii="宋体" w:hAnsi="宋体" w:cs="宋体"/>
          <w:spacing w:val="-9"/>
          <w:sz w:val="24"/>
          <w:szCs w:val="24"/>
          <w:lang w:val="en-US" w:eastAsia="zh-CN"/>
        </w:rPr>
        <w:t xml:space="preserve">  </w:t>
      </w:r>
      <w:r>
        <w:rPr>
          <w:rFonts w:hint="eastAsia" w:ascii="宋体" w:hAnsi="宋体" w:eastAsia="宋体" w:cs="宋体"/>
          <w:spacing w:val="-9"/>
          <w:sz w:val="24"/>
          <w:szCs w:val="24"/>
        </w:rPr>
        <w:t xml:space="preserve"> 日（项目名称：</w:t>
      </w:r>
      <w:r>
        <w:rPr>
          <w:rFonts w:hint="eastAsia" w:ascii="宋体" w:hAnsi="宋体" w:cs="宋体"/>
          <w:spacing w:val="-9"/>
          <w:sz w:val="24"/>
          <w:szCs w:val="24"/>
          <w:lang w:val="en-US" w:eastAsia="zh-CN"/>
        </w:rPr>
        <w:t>XX</w:t>
      </w:r>
      <w:r>
        <w:rPr>
          <w:rFonts w:hint="eastAsia" w:ascii="宋体" w:hAnsi="宋体" w:cs="宋体"/>
          <w:spacing w:val="-9"/>
          <w:sz w:val="24"/>
          <w:szCs w:val="24"/>
          <w:lang w:val="en-US" w:eastAsia="zh-CN"/>
        </w:rPr>
        <w:t>项目项目编号：XX）公开招标成交结果，为了保护甲、乙双方合法利益，根据《中华人民共</w:t>
      </w:r>
      <w:bookmarkStart w:id="0" w:name="_GoBack"/>
      <w:bookmarkEnd w:id="0"/>
      <w:r>
        <w:rPr>
          <w:rFonts w:hint="eastAsia" w:ascii="宋体" w:hAnsi="宋体" w:cs="宋体"/>
          <w:spacing w:val="-9"/>
          <w:sz w:val="24"/>
          <w:szCs w:val="24"/>
          <w:lang w:val="en-US" w:eastAsia="zh-CN"/>
        </w:rPr>
        <w:t>和国民法典》、《中华人</w:t>
      </w:r>
      <w:r>
        <w:rPr>
          <w:rFonts w:hint="eastAsia" w:ascii="宋体" w:hAnsi="宋体" w:eastAsia="宋体" w:cs="宋体"/>
          <w:spacing w:val="-9"/>
          <w:sz w:val="24"/>
          <w:szCs w:val="24"/>
        </w:rPr>
        <w:t>民共和国政府采购法》及其他有关法律、法规、规章，甲、乙双方同意按照下面的条款和条件签署本合同。</w:t>
      </w:r>
    </w:p>
    <w:p>
      <w:pPr>
        <w:pStyle w:val="3"/>
        <w:spacing w:line="520" w:lineRule="exact"/>
        <w:ind w:firstLine="607" w:firstLineChars="200"/>
        <w:rPr>
          <w:b/>
          <w:bCs/>
          <w:spacing w:val="-9"/>
        </w:rPr>
      </w:pPr>
      <w:r>
        <w:rPr>
          <w:rFonts w:hint="eastAsia"/>
          <w:b/>
          <w:bCs/>
          <w:spacing w:val="-9"/>
        </w:rPr>
        <w:t xml:space="preserve">第一条 合同范围 : </w:t>
      </w:r>
    </w:p>
    <w:tbl>
      <w:tblPr>
        <w:tblStyle w:val="6"/>
        <w:tblW w:w="7692" w:type="dxa"/>
        <w:jc w:val="center"/>
        <w:tblLayout w:type="autofit"/>
        <w:tblCellMar>
          <w:top w:w="0" w:type="dxa"/>
          <w:left w:w="108" w:type="dxa"/>
          <w:bottom w:w="0" w:type="dxa"/>
          <w:right w:w="108" w:type="dxa"/>
        </w:tblCellMar>
      </w:tblPr>
      <w:tblGrid>
        <w:gridCol w:w="853"/>
        <w:gridCol w:w="853"/>
        <w:gridCol w:w="1488"/>
        <w:gridCol w:w="853"/>
        <w:gridCol w:w="2445"/>
        <w:gridCol w:w="1200"/>
      </w:tblGrid>
      <w:tr>
        <w:trPr>
          <w:trHeight w:val="0" w:hRule="atLeast"/>
          <w:tblHeader/>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widowControl/>
              <w:snapToGrid w:val="0"/>
              <w:rPr>
                <w:rFonts w:ascii="宋体" w:hAnsi="宋体" w:cs="宋体"/>
                <w:color w:val="000000"/>
                <w:kern w:val="0"/>
                <w:szCs w:val="21"/>
              </w:rPr>
            </w:pPr>
            <w:r>
              <w:rPr>
                <w:rFonts w:hint="eastAsia" w:ascii="宋体" w:hAnsi="宋体" w:cs="宋体"/>
                <w:color w:val="000000"/>
                <w:kern w:val="0"/>
                <w:szCs w:val="21"/>
              </w:rPr>
              <w:t>名称</w:t>
            </w:r>
          </w:p>
        </w:tc>
        <w:tc>
          <w:tcPr>
            <w:tcW w:w="0" w:type="auto"/>
            <w:tcBorders>
              <w:top w:val="single" w:color="auto" w:sz="4" w:space="0"/>
              <w:left w:val="nil"/>
              <w:bottom w:val="single" w:color="auto" w:sz="4" w:space="0"/>
              <w:right w:val="single" w:color="auto" w:sz="4" w:space="0"/>
            </w:tcBorders>
            <w:noWrap w:val="0"/>
            <w:vAlign w:val="center"/>
          </w:tcPr>
          <w:p>
            <w:pPr>
              <w:widowControl/>
              <w:snapToGrid w:val="0"/>
              <w:rPr>
                <w:rFonts w:ascii="宋体" w:hAnsi="宋体" w:cs="宋体"/>
                <w:color w:val="000000"/>
                <w:kern w:val="0"/>
                <w:szCs w:val="21"/>
              </w:rPr>
            </w:pPr>
            <w:r>
              <w:rPr>
                <w:rFonts w:hint="eastAsia" w:ascii="宋体" w:hAnsi="宋体" w:cs="宋体"/>
                <w:color w:val="000000"/>
                <w:kern w:val="0"/>
                <w:szCs w:val="21"/>
              </w:rPr>
              <w:t>品牌</w:t>
            </w:r>
          </w:p>
        </w:tc>
        <w:tc>
          <w:tcPr>
            <w:tcW w:w="0" w:type="auto"/>
            <w:tcBorders>
              <w:top w:val="single" w:color="auto" w:sz="4" w:space="0"/>
              <w:left w:val="nil"/>
              <w:bottom w:val="single" w:color="auto" w:sz="4" w:space="0"/>
              <w:right w:val="single" w:color="auto" w:sz="4" w:space="0"/>
            </w:tcBorders>
            <w:noWrap w:val="0"/>
            <w:vAlign w:val="center"/>
          </w:tcPr>
          <w:p>
            <w:pPr>
              <w:widowControl/>
              <w:snapToGrid w:val="0"/>
              <w:rPr>
                <w:rFonts w:ascii="宋体" w:hAnsi="宋体" w:cs="宋体"/>
                <w:color w:val="000000"/>
                <w:kern w:val="0"/>
                <w:szCs w:val="21"/>
              </w:rPr>
            </w:pPr>
            <w:r>
              <w:rPr>
                <w:rFonts w:hint="eastAsia" w:ascii="宋体" w:hAnsi="宋体" w:cs="宋体"/>
                <w:color w:val="000000"/>
                <w:kern w:val="0"/>
                <w:szCs w:val="21"/>
              </w:rPr>
              <w:t>规格型号</w:t>
            </w:r>
          </w:p>
        </w:tc>
        <w:tc>
          <w:tcPr>
            <w:tcW w:w="0" w:type="auto"/>
            <w:tcBorders>
              <w:top w:val="single" w:color="auto" w:sz="4" w:space="0"/>
              <w:left w:val="nil"/>
              <w:bottom w:val="single" w:color="auto" w:sz="4" w:space="0"/>
              <w:right w:val="single" w:color="auto" w:sz="4" w:space="0"/>
            </w:tcBorders>
            <w:noWrap w:val="0"/>
            <w:vAlign w:val="center"/>
          </w:tcPr>
          <w:p>
            <w:pPr>
              <w:widowControl/>
              <w:snapToGrid w:val="0"/>
              <w:rPr>
                <w:rFonts w:ascii="宋体" w:hAnsi="宋体" w:cs="宋体"/>
                <w:color w:val="000000"/>
                <w:kern w:val="0"/>
                <w:szCs w:val="21"/>
              </w:rPr>
            </w:pPr>
            <w:r>
              <w:rPr>
                <w:rFonts w:hint="eastAsia" w:ascii="宋体" w:hAnsi="宋体" w:cs="宋体"/>
                <w:color w:val="000000"/>
                <w:kern w:val="0"/>
                <w:szCs w:val="21"/>
              </w:rPr>
              <w:t>单位</w:t>
            </w:r>
          </w:p>
        </w:tc>
        <w:tc>
          <w:tcPr>
            <w:tcW w:w="0" w:type="auto"/>
            <w:tcBorders>
              <w:top w:val="single" w:color="auto" w:sz="4" w:space="0"/>
              <w:left w:val="nil"/>
              <w:bottom w:val="single" w:color="auto" w:sz="4" w:space="0"/>
              <w:right w:val="single" w:color="auto" w:sz="4" w:space="0"/>
            </w:tcBorders>
            <w:noWrap w:val="0"/>
            <w:vAlign w:val="center"/>
          </w:tcPr>
          <w:p>
            <w:pPr>
              <w:widowControl/>
              <w:snapToGrid w:val="0"/>
              <w:rPr>
                <w:rFonts w:ascii="宋体" w:hAnsi="宋体" w:cs="宋体"/>
                <w:color w:val="000000"/>
                <w:kern w:val="0"/>
                <w:szCs w:val="21"/>
              </w:rPr>
            </w:pPr>
            <w:r>
              <w:rPr>
                <w:rFonts w:hint="eastAsia" w:ascii="宋体" w:hAnsi="宋体" w:cs="宋体"/>
                <w:color w:val="000000"/>
                <w:kern w:val="0"/>
                <w:szCs w:val="21"/>
              </w:rPr>
              <w:t>成交单价（元）</w:t>
            </w:r>
          </w:p>
        </w:tc>
        <w:tc>
          <w:tcPr>
            <w:tcW w:w="1200" w:type="dxa"/>
            <w:tcBorders>
              <w:top w:val="single" w:color="auto" w:sz="4" w:space="0"/>
              <w:left w:val="nil"/>
              <w:bottom w:val="single" w:color="auto" w:sz="4" w:space="0"/>
              <w:right w:val="single" w:color="auto" w:sz="4" w:space="0"/>
            </w:tcBorders>
            <w:noWrap w:val="0"/>
            <w:vAlign w:val="center"/>
          </w:tcPr>
          <w:p>
            <w:pPr>
              <w:widowControl/>
              <w:snapToGrid w:val="0"/>
              <w:rPr>
                <w:rFonts w:ascii="宋体" w:hAnsi="宋体" w:cs="宋体"/>
                <w:color w:val="000000"/>
                <w:kern w:val="0"/>
                <w:szCs w:val="21"/>
              </w:rPr>
            </w:pPr>
            <w:r>
              <w:rPr>
                <w:rFonts w:hint="eastAsia" w:ascii="宋体" w:hAnsi="宋体" w:cs="宋体"/>
                <w:color w:val="000000"/>
                <w:kern w:val="0"/>
                <w:szCs w:val="21"/>
              </w:rPr>
              <w:t>产品质保期</w:t>
            </w:r>
          </w:p>
        </w:tc>
      </w:tr>
      <w:tr>
        <w:trPr>
          <w:trHeight w:val="0" w:hRule="atLeast"/>
          <w:jc w:val="center"/>
        </w:trPr>
        <w:tc>
          <w:tcPr>
            <w:tcW w:w="0" w:type="auto"/>
            <w:tcBorders>
              <w:top w:val="nil"/>
              <w:left w:val="single" w:color="auto" w:sz="4" w:space="0"/>
              <w:bottom w:val="single" w:color="auto" w:sz="4" w:space="0"/>
              <w:right w:val="single" w:color="auto" w:sz="4" w:space="0"/>
            </w:tcBorders>
            <w:noWrap/>
            <w:vAlign w:val="center"/>
          </w:tcPr>
          <w:p>
            <w:pPr>
              <w:widowControl/>
              <w:snapToGrid w:val="0"/>
              <w:rPr>
                <w:rFonts w:ascii="宋体" w:hAnsi="宋体" w:cs="宋体"/>
                <w:color w:val="000000"/>
                <w:kern w:val="0"/>
                <w:szCs w:val="21"/>
              </w:rPr>
            </w:pPr>
          </w:p>
        </w:tc>
        <w:tc>
          <w:tcPr>
            <w:tcW w:w="0" w:type="auto"/>
            <w:tcBorders>
              <w:top w:val="nil"/>
              <w:left w:val="nil"/>
              <w:bottom w:val="single" w:color="auto" w:sz="4" w:space="0"/>
              <w:right w:val="single" w:color="auto" w:sz="4" w:space="0"/>
            </w:tcBorders>
            <w:noWrap w:val="0"/>
            <w:vAlign w:val="center"/>
          </w:tcPr>
          <w:p>
            <w:pPr>
              <w:widowControl/>
              <w:snapToGrid w:val="0"/>
              <w:rPr>
                <w:rFonts w:ascii="宋体" w:hAnsi="宋体" w:cs="宋体"/>
                <w:color w:val="000000"/>
                <w:kern w:val="0"/>
                <w:szCs w:val="21"/>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1200" w:type="dxa"/>
            <w:tcBorders>
              <w:top w:val="nil"/>
              <w:left w:val="nil"/>
              <w:bottom w:val="single" w:color="auto" w:sz="4" w:space="0"/>
              <w:right w:val="single" w:color="auto" w:sz="4" w:space="0"/>
            </w:tcBorders>
            <w:noWrap w:val="0"/>
            <w:vAlign w:val="center"/>
          </w:tcPr>
          <w:p>
            <w:pPr>
              <w:widowControl/>
              <w:snapToGrid w:val="0"/>
              <w:rPr>
                <w:rFonts w:ascii="Times New Roman" w:hAnsi="Times New Roman"/>
                <w:color w:val="000000"/>
                <w:kern w:val="0"/>
                <w:szCs w:val="21"/>
              </w:rPr>
            </w:pPr>
          </w:p>
        </w:tc>
      </w:tr>
      <w:tr>
        <w:trPr>
          <w:trHeight w:val="0" w:hRule="atLeast"/>
          <w:jc w:val="center"/>
        </w:trPr>
        <w:tc>
          <w:tcPr>
            <w:tcW w:w="0" w:type="auto"/>
            <w:tcBorders>
              <w:top w:val="nil"/>
              <w:left w:val="single" w:color="auto" w:sz="4" w:space="0"/>
              <w:bottom w:val="single" w:color="auto" w:sz="4" w:space="0"/>
              <w:right w:val="single" w:color="auto" w:sz="4" w:space="0"/>
            </w:tcBorders>
            <w:noWrap/>
            <w:vAlign w:val="center"/>
          </w:tcPr>
          <w:p>
            <w:pPr>
              <w:widowControl/>
              <w:snapToGrid w:val="0"/>
              <w:rPr>
                <w:rFonts w:ascii="宋体" w:hAnsi="宋体" w:cs="宋体"/>
                <w:color w:val="000000"/>
                <w:kern w:val="0"/>
                <w:szCs w:val="21"/>
              </w:rPr>
            </w:pPr>
          </w:p>
        </w:tc>
        <w:tc>
          <w:tcPr>
            <w:tcW w:w="0" w:type="auto"/>
            <w:tcBorders>
              <w:top w:val="nil"/>
              <w:left w:val="nil"/>
              <w:bottom w:val="single" w:color="auto" w:sz="4" w:space="0"/>
              <w:right w:val="single" w:color="auto" w:sz="4" w:space="0"/>
            </w:tcBorders>
            <w:noWrap w:val="0"/>
            <w:vAlign w:val="center"/>
          </w:tcPr>
          <w:p>
            <w:pPr>
              <w:widowControl/>
              <w:snapToGrid w:val="0"/>
              <w:rPr>
                <w:rFonts w:ascii="宋体" w:hAnsi="宋体" w:cs="宋体"/>
                <w:color w:val="000000"/>
                <w:kern w:val="0"/>
                <w:szCs w:val="21"/>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1200" w:type="dxa"/>
            <w:tcBorders>
              <w:top w:val="nil"/>
              <w:left w:val="nil"/>
              <w:bottom w:val="single" w:color="auto" w:sz="4" w:space="0"/>
              <w:right w:val="single" w:color="auto" w:sz="4" w:space="0"/>
            </w:tcBorders>
            <w:noWrap w:val="0"/>
            <w:vAlign w:val="center"/>
          </w:tcPr>
          <w:p>
            <w:pPr>
              <w:widowControl/>
              <w:snapToGrid w:val="0"/>
              <w:rPr>
                <w:rFonts w:ascii="Times New Roman" w:hAnsi="Times New Roman"/>
                <w:color w:val="000000"/>
                <w:kern w:val="0"/>
                <w:szCs w:val="21"/>
              </w:rPr>
            </w:pPr>
          </w:p>
        </w:tc>
      </w:tr>
      <w:tr>
        <w:trPr>
          <w:trHeight w:val="0" w:hRule="atLeast"/>
          <w:jc w:val="center"/>
        </w:trPr>
        <w:tc>
          <w:tcPr>
            <w:tcW w:w="0" w:type="auto"/>
            <w:tcBorders>
              <w:top w:val="nil"/>
              <w:left w:val="single" w:color="auto" w:sz="4" w:space="0"/>
              <w:bottom w:val="single" w:color="auto" w:sz="4" w:space="0"/>
              <w:right w:val="single" w:color="auto" w:sz="4" w:space="0"/>
            </w:tcBorders>
            <w:noWrap/>
            <w:vAlign w:val="center"/>
          </w:tcPr>
          <w:p>
            <w:pPr>
              <w:widowControl/>
              <w:snapToGrid w:val="0"/>
              <w:rPr>
                <w:rFonts w:ascii="宋体" w:hAnsi="宋体" w:cs="宋体"/>
                <w:color w:val="000000"/>
                <w:kern w:val="0"/>
                <w:szCs w:val="21"/>
              </w:rPr>
            </w:pPr>
          </w:p>
        </w:tc>
        <w:tc>
          <w:tcPr>
            <w:tcW w:w="0" w:type="auto"/>
            <w:tcBorders>
              <w:top w:val="nil"/>
              <w:left w:val="nil"/>
              <w:bottom w:val="single" w:color="auto" w:sz="4" w:space="0"/>
              <w:right w:val="single" w:color="auto" w:sz="4" w:space="0"/>
            </w:tcBorders>
            <w:noWrap w:val="0"/>
            <w:vAlign w:val="center"/>
          </w:tcPr>
          <w:p>
            <w:pPr>
              <w:widowControl/>
              <w:snapToGrid w:val="0"/>
              <w:rPr>
                <w:rFonts w:ascii="宋体" w:hAnsi="宋体" w:cs="宋体"/>
                <w:color w:val="000000"/>
                <w:kern w:val="0"/>
                <w:szCs w:val="21"/>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1200" w:type="dxa"/>
            <w:tcBorders>
              <w:top w:val="nil"/>
              <w:left w:val="nil"/>
              <w:bottom w:val="single" w:color="auto" w:sz="4" w:space="0"/>
              <w:right w:val="single" w:color="auto" w:sz="4" w:space="0"/>
            </w:tcBorders>
            <w:noWrap w:val="0"/>
            <w:vAlign w:val="center"/>
          </w:tcPr>
          <w:p>
            <w:pPr>
              <w:widowControl/>
              <w:snapToGrid w:val="0"/>
              <w:rPr>
                <w:rFonts w:ascii="Times New Roman" w:hAnsi="Times New Roman"/>
                <w:color w:val="000000"/>
                <w:kern w:val="0"/>
                <w:szCs w:val="21"/>
              </w:rPr>
            </w:pPr>
          </w:p>
        </w:tc>
      </w:tr>
      <w:tr>
        <w:trPr>
          <w:trHeight w:val="0" w:hRule="atLeast"/>
          <w:jc w:val="center"/>
        </w:trPr>
        <w:tc>
          <w:tcPr>
            <w:tcW w:w="0" w:type="auto"/>
            <w:tcBorders>
              <w:top w:val="nil"/>
              <w:left w:val="single" w:color="auto" w:sz="4" w:space="0"/>
              <w:bottom w:val="single" w:color="auto" w:sz="4" w:space="0"/>
              <w:right w:val="single" w:color="auto" w:sz="4" w:space="0"/>
            </w:tcBorders>
            <w:noWrap/>
            <w:vAlign w:val="center"/>
          </w:tcPr>
          <w:p>
            <w:pPr>
              <w:widowControl/>
              <w:snapToGrid w:val="0"/>
              <w:rPr>
                <w:rFonts w:ascii="宋体" w:hAnsi="宋体" w:cs="宋体"/>
                <w:color w:val="000000"/>
                <w:kern w:val="0"/>
                <w:szCs w:val="21"/>
              </w:rPr>
            </w:pPr>
          </w:p>
        </w:tc>
        <w:tc>
          <w:tcPr>
            <w:tcW w:w="0" w:type="auto"/>
            <w:tcBorders>
              <w:top w:val="nil"/>
              <w:left w:val="nil"/>
              <w:bottom w:val="single" w:color="auto" w:sz="4" w:space="0"/>
              <w:right w:val="single" w:color="auto" w:sz="4" w:space="0"/>
            </w:tcBorders>
            <w:noWrap w:val="0"/>
            <w:vAlign w:val="center"/>
          </w:tcPr>
          <w:p>
            <w:pPr>
              <w:widowControl/>
              <w:snapToGrid w:val="0"/>
              <w:rPr>
                <w:rFonts w:ascii="宋体" w:hAnsi="宋体" w:cs="宋体"/>
                <w:color w:val="000000"/>
                <w:kern w:val="0"/>
                <w:szCs w:val="21"/>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1200" w:type="dxa"/>
            <w:tcBorders>
              <w:top w:val="nil"/>
              <w:left w:val="nil"/>
              <w:bottom w:val="single" w:color="auto" w:sz="4" w:space="0"/>
              <w:right w:val="single" w:color="auto" w:sz="4" w:space="0"/>
            </w:tcBorders>
            <w:noWrap w:val="0"/>
            <w:vAlign w:val="center"/>
          </w:tcPr>
          <w:p>
            <w:pPr>
              <w:widowControl/>
              <w:snapToGrid w:val="0"/>
              <w:rPr>
                <w:rFonts w:ascii="Times New Roman" w:hAnsi="Times New Roman"/>
                <w:color w:val="000000"/>
                <w:kern w:val="0"/>
                <w:szCs w:val="21"/>
              </w:rPr>
            </w:pPr>
          </w:p>
        </w:tc>
      </w:tr>
      <w:tr>
        <w:trPr>
          <w:trHeight w:val="0" w:hRule="atLeast"/>
          <w:jc w:val="center"/>
        </w:trPr>
        <w:tc>
          <w:tcPr>
            <w:tcW w:w="0" w:type="auto"/>
            <w:tcBorders>
              <w:top w:val="nil"/>
              <w:left w:val="single" w:color="auto" w:sz="4" w:space="0"/>
              <w:bottom w:val="single" w:color="auto" w:sz="4" w:space="0"/>
              <w:right w:val="single" w:color="auto" w:sz="4" w:space="0"/>
            </w:tcBorders>
            <w:noWrap/>
            <w:vAlign w:val="center"/>
          </w:tcPr>
          <w:p>
            <w:pPr>
              <w:widowControl/>
              <w:snapToGrid w:val="0"/>
              <w:rPr>
                <w:rFonts w:ascii="宋体" w:hAnsi="宋体" w:cs="宋体"/>
                <w:color w:val="000000"/>
                <w:kern w:val="0"/>
                <w:szCs w:val="21"/>
              </w:rPr>
            </w:pPr>
          </w:p>
        </w:tc>
        <w:tc>
          <w:tcPr>
            <w:tcW w:w="0" w:type="auto"/>
            <w:tcBorders>
              <w:top w:val="nil"/>
              <w:left w:val="nil"/>
              <w:bottom w:val="single" w:color="auto" w:sz="4" w:space="0"/>
              <w:right w:val="single" w:color="auto" w:sz="4" w:space="0"/>
            </w:tcBorders>
            <w:noWrap w:val="0"/>
            <w:vAlign w:val="center"/>
          </w:tcPr>
          <w:p>
            <w:pPr>
              <w:widowControl/>
              <w:snapToGrid w:val="0"/>
              <w:rPr>
                <w:rFonts w:ascii="宋体" w:hAnsi="宋体" w:cs="宋体"/>
                <w:color w:val="000000"/>
                <w:kern w:val="0"/>
                <w:szCs w:val="21"/>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1200" w:type="dxa"/>
            <w:tcBorders>
              <w:top w:val="nil"/>
              <w:left w:val="nil"/>
              <w:bottom w:val="single" w:color="auto" w:sz="4" w:space="0"/>
              <w:right w:val="single" w:color="auto" w:sz="4" w:space="0"/>
            </w:tcBorders>
            <w:noWrap w:val="0"/>
            <w:vAlign w:val="center"/>
          </w:tcPr>
          <w:p>
            <w:pPr>
              <w:widowControl/>
              <w:snapToGrid w:val="0"/>
              <w:rPr>
                <w:rFonts w:ascii="Times New Roman" w:hAnsi="Times New Roman"/>
                <w:color w:val="000000"/>
                <w:kern w:val="0"/>
                <w:szCs w:val="21"/>
              </w:rPr>
            </w:pPr>
          </w:p>
        </w:tc>
      </w:tr>
      <w:tr>
        <w:trPr>
          <w:trHeight w:val="0" w:hRule="atLeast"/>
          <w:jc w:val="center"/>
        </w:trPr>
        <w:tc>
          <w:tcPr>
            <w:tcW w:w="0" w:type="auto"/>
            <w:tcBorders>
              <w:top w:val="nil"/>
              <w:left w:val="single" w:color="auto" w:sz="4" w:space="0"/>
              <w:bottom w:val="single" w:color="auto" w:sz="4" w:space="0"/>
              <w:right w:val="single" w:color="auto" w:sz="4" w:space="0"/>
            </w:tcBorders>
            <w:noWrap/>
            <w:vAlign w:val="center"/>
          </w:tcPr>
          <w:p>
            <w:pPr>
              <w:widowControl/>
              <w:snapToGrid w:val="0"/>
              <w:rPr>
                <w:rFonts w:ascii="宋体" w:hAnsi="宋体" w:cs="宋体"/>
                <w:color w:val="000000"/>
                <w:kern w:val="0"/>
                <w:szCs w:val="21"/>
              </w:rPr>
            </w:pPr>
          </w:p>
        </w:tc>
        <w:tc>
          <w:tcPr>
            <w:tcW w:w="0" w:type="auto"/>
            <w:tcBorders>
              <w:top w:val="nil"/>
              <w:left w:val="nil"/>
              <w:bottom w:val="single" w:color="auto" w:sz="4" w:space="0"/>
              <w:right w:val="single" w:color="auto" w:sz="4" w:space="0"/>
            </w:tcBorders>
            <w:noWrap w:val="0"/>
            <w:vAlign w:val="center"/>
          </w:tcPr>
          <w:p>
            <w:pPr>
              <w:widowControl/>
              <w:snapToGrid w:val="0"/>
              <w:rPr>
                <w:rFonts w:ascii="宋体" w:hAnsi="宋体" w:cs="宋体"/>
                <w:color w:val="000000"/>
                <w:kern w:val="0"/>
                <w:szCs w:val="21"/>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0" w:type="auto"/>
            <w:tcBorders>
              <w:top w:val="nil"/>
              <w:left w:val="nil"/>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1200" w:type="dxa"/>
            <w:tcBorders>
              <w:top w:val="nil"/>
              <w:left w:val="nil"/>
              <w:bottom w:val="single" w:color="auto" w:sz="4" w:space="0"/>
              <w:right w:val="single" w:color="auto" w:sz="4" w:space="0"/>
            </w:tcBorders>
            <w:noWrap w:val="0"/>
            <w:vAlign w:val="center"/>
          </w:tcPr>
          <w:p>
            <w:pPr>
              <w:widowControl/>
              <w:snapToGrid w:val="0"/>
              <w:rPr>
                <w:rFonts w:ascii="Times New Roman" w:hAnsi="Times New Roman"/>
                <w:color w:val="000000"/>
                <w:kern w:val="0"/>
                <w:szCs w:val="21"/>
              </w:rPr>
            </w:pPr>
          </w:p>
        </w:tc>
      </w:tr>
      <w:tr>
        <w:trPr>
          <w:trHeight w:val="0" w:hRule="atLeast"/>
          <w:jc w:val="center"/>
        </w:trPr>
        <w:tc>
          <w:tcPr>
            <w:tcW w:w="0" w:type="auto"/>
            <w:tcBorders>
              <w:top w:val="single" w:color="auto" w:sz="4" w:space="0"/>
              <w:left w:val="single" w:color="auto" w:sz="4" w:space="0"/>
              <w:bottom w:val="single" w:color="auto" w:sz="4" w:space="0"/>
              <w:right w:val="single" w:color="auto" w:sz="4" w:space="0"/>
            </w:tcBorders>
            <w:noWrap/>
            <w:vAlign w:val="center"/>
          </w:tcPr>
          <w:p>
            <w:pPr>
              <w:widowControl/>
              <w:snapToGrid w:val="0"/>
              <w:rPr>
                <w:rFonts w:ascii="宋体" w:hAnsi="宋体" w:cs="宋体"/>
                <w:color w:val="000000"/>
                <w:kern w:val="0"/>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widowControl/>
              <w:snapToGrid w:val="0"/>
              <w:rPr>
                <w:rFonts w:ascii="宋体" w:hAnsi="宋体" w:cs="宋体"/>
                <w:color w:val="000000"/>
                <w:kern w:val="0"/>
                <w:szCs w:val="21"/>
              </w:rPr>
            </w:pP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宋体" w:hAnsi="宋体" w:cs="宋体"/>
                <w:kern w:val="0"/>
                <w:sz w:val="24"/>
                <w:szCs w:val="24"/>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snapToGrid w:val="0"/>
              <w:rPr>
                <w:rFonts w:ascii="Times New Roman" w:hAnsi="Times New Roman"/>
                <w:color w:val="000000"/>
                <w:kern w:val="0"/>
                <w:szCs w:val="21"/>
              </w:rPr>
            </w:pPr>
          </w:p>
        </w:tc>
      </w:tr>
    </w:tbl>
    <w:p>
      <w:pPr>
        <w:pStyle w:val="3"/>
        <w:spacing w:line="520" w:lineRule="exact"/>
        <w:ind w:firstLine="526" w:firstLineChars="200"/>
        <w:rPr>
          <w:rFonts w:hint="eastAsia" w:ascii="宋体" w:hAnsi="宋体" w:cs="宋体"/>
          <w:spacing w:val="-9"/>
          <w:sz w:val="28"/>
          <w:szCs w:val="28"/>
        </w:rPr>
      </w:pPr>
      <w:r>
        <w:rPr>
          <w:rFonts w:hint="eastAsia" w:ascii="宋体" w:hAnsi="宋体" w:cs="宋体"/>
          <w:b/>
          <w:bCs/>
          <w:spacing w:val="-9"/>
          <w:sz w:val="28"/>
          <w:szCs w:val="28"/>
        </w:rPr>
        <w:t>第二条 合同金额及付款方式：</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1.上述货物总成交价：</w:t>
      </w:r>
      <w:r>
        <w:rPr>
          <w:rFonts w:hint="eastAsia" w:ascii="宋体" w:hAnsi="宋体" w:cs="宋体"/>
          <w:spacing w:val="-9"/>
          <w:sz w:val="28"/>
          <w:szCs w:val="28"/>
          <w:u w:val="single"/>
        </w:rPr>
        <w:t>¥</w:t>
      </w:r>
      <w:r>
        <w:rPr>
          <w:rFonts w:hint="eastAsia" w:ascii="宋体" w:hAnsi="宋体" w:cs="宋体"/>
          <w:spacing w:val="-9"/>
          <w:sz w:val="28"/>
          <w:szCs w:val="28"/>
          <w:u w:val="single"/>
          <w:lang w:val="en-US" w:eastAsia="zh-CN"/>
        </w:rPr>
        <w:t xml:space="preserve">      </w:t>
      </w:r>
      <w:r>
        <w:rPr>
          <w:rFonts w:hint="eastAsia" w:ascii="宋体" w:hAnsi="宋体" w:cs="宋体"/>
          <w:spacing w:val="-9"/>
          <w:sz w:val="28"/>
          <w:szCs w:val="28"/>
          <w:u w:val="single"/>
        </w:rPr>
        <w:t xml:space="preserve"> </w:t>
      </w:r>
      <w:r>
        <w:rPr>
          <w:rFonts w:hint="eastAsia" w:ascii="宋体" w:hAnsi="宋体" w:cs="宋体"/>
          <w:spacing w:val="-9"/>
          <w:sz w:val="28"/>
          <w:szCs w:val="28"/>
        </w:rPr>
        <w:t>元，人民币（大写）</w:t>
      </w:r>
      <w:r>
        <w:rPr>
          <w:rFonts w:hint="eastAsia" w:ascii="宋体" w:hAnsi="宋体" w:cs="宋体"/>
          <w:spacing w:val="-9"/>
          <w:sz w:val="28"/>
          <w:szCs w:val="28"/>
          <w:u w:val="single"/>
        </w:rPr>
        <w:t xml:space="preserve"> </w:t>
      </w:r>
      <w:r>
        <w:rPr>
          <w:rFonts w:hint="eastAsia" w:ascii="宋体" w:hAnsi="宋体" w:cs="宋体"/>
          <w:spacing w:val="-9"/>
          <w:sz w:val="28"/>
          <w:szCs w:val="28"/>
          <w:u w:val="single"/>
          <w:lang w:val="en-US" w:eastAsia="zh-CN"/>
        </w:rPr>
        <w:t xml:space="preserve">             </w:t>
      </w:r>
      <w:r>
        <w:rPr>
          <w:rFonts w:hint="eastAsia" w:ascii="宋体" w:hAnsi="宋体" w:cs="宋体"/>
          <w:spacing w:val="-9"/>
          <w:sz w:val="28"/>
          <w:szCs w:val="28"/>
        </w:rPr>
        <w:t>（含税）。</w:t>
      </w:r>
    </w:p>
    <w:p>
      <w:pPr>
        <w:pStyle w:val="3"/>
        <w:spacing w:line="560" w:lineRule="exact"/>
        <w:ind w:firstLine="524" w:firstLineChars="200"/>
        <w:rPr>
          <w:rFonts w:hint="eastAsia" w:ascii="宋体" w:hAnsi="宋体" w:cs="宋体"/>
          <w:spacing w:val="-9"/>
          <w:sz w:val="28"/>
          <w:szCs w:val="28"/>
          <w:u w:val="single"/>
        </w:rPr>
      </w:pPr>
      <w:r>
        <w:rPr>
          <w:rFonts w:hint="eastAsia" w:ascii="宋体" w:hAnsi="宋体" w:cs="宋体"/>
          <w:spacing w:val="-9"/>
          <w:sz w:val="28"/>
          <w:szCs w:val="28"/>
        </w:rPr>
        <w:t>2.资金来源：</w:t>
      </w:r>
      <w:r>
        <w:rPr>
          <w:rFonts w:hint="eastAsia" w:ascii="宋体" w:hAnsi="宋体" w:cs="宋体"/>
          <w:spacing w:val="-9"/>
          <w:sz w:val="28"/>
          <w:szCs w:val="28"/>
          <w:u w:val="single"/>
        </w:rPr>
        <w:t xml:space="preserve">     自有资金       </w:t>
      </w:r>
    </w:p>
    <w:p>
      <w:pPr>
        <w:pStyle w:val="3"/>
        <w:spacing w:line="560" w:lineRule="exact"/>
        <w:ind w:firstLine="524" w:firstLineChars="200"/>
        <w:rPr>
          <w:rFonts w:hint="eastAsia" w:ascii="宋体" w:hAnsi="宋体" w:eastAsia="宋体" w:cs="宋体"/>
          <w:spacing w:val="-9"/>
          <w:sz w:val="28"/>
          <w:szCs w:val="28"/>
          <w:u w:val="single"/>
          <w:lang w:val="en-US" w:eastAsia="zh-CN"/>
        </w:rPr>
      </w:pPr>
      <w:r>
        <w:rPr>
          <w:rFonts w:hint="eastAsia" w:ascii="宋体" w:hAnsi="宋体" w:cs="宋体"/>
          <w:spacing w:val="-9"/>
          <w:sz w:val="28"/>
          <w:szCs w:val="28"/>
          <w:u w:val="single"/>
        </w:rPr>
        <w:t>3.履约保证金：</w:t>
      </w:r>
      <w:r>
        <w:rPr>
          <w:rFonts w:hint="eastAsia" w:ascii="宋体" w:hAnsi="宋体" w:cs="宋体"/>
          <w:spacing w:val="-9"/>
          <w:sz w:val="28"/>
          <w:szCs w:val="28"/>
          <w:u w:val="single"/>
          <w:lang w:val="en-US" w:eastAsia="zh-CN"/>
        </w:rPr>
        <w:t>合同金额的3%</w:t>
      </w:r>
      <w:r>
        <w:rPr>
          <w:rFonts w:hint="eastAsia" w:ascii="宋体" w:hAnsi="宋体" w:cs="宋体"/>
          <w:spacing w:val="-9"/>
          <w:sz w:val="28"/>
          <w:szCs w:val="28"/>
          <w:u w:val="single"/>
          <w:lang w:eastAsia="zh-CN"/>
        </w:rPr>
        <w:t>，</w:t>
      </w:r>
      <w:r>
        <w:rPr>
          <w:rFonts w:hint="eastAsia" w:ascii="宋体" w:hAnsi="宋体" w:cs="宋体"/>
          <w:spacing w:val="-9"/>
          <w:sz w:val="28"/>
          <w:szCs w:val="28"/>
          <w:u w:val="single"/>
          <w:lang w:val="en-US" w:eastAsia="zh-CN"/>
        </w:rPr>
        <w:t>乙方在合同签订后10日内向甲方支付。</w:t>
      </w:r>
    </w:p>
    <w:p>
      <w:pPr>
        <w:pStyle w:val="3"/>
        <w:spacing w:line="560" w:lineRule="exact"/>
        <w:ind w:firstLine="524" w:firstLineChars="200"/>
        <w:rPr>
          <w:rFonts w:hint="eastAsia" w:ascii="宋体" w:hAnsi="宋体" w:eastAsia="宋体" w:cs="宋体"/>
          <w:spacing w:val="-9"/>
          <w:sz w:val="28"/>
          <w:szCs w:val="28"/>
          <w:lang w:val="en-US" w:eastAsia="zh-CN"/>
        </w:rPr>
      </w:pPr>
      <w:r>
        <w:rPr>
          <w:rFonts w:hint="eastAsia" w:ascii="宋体" w:hAnsi="宋体" w:cs="宋体"/>
          <w:spacing w:val="-9"/>
          <w:sz w:val="28"/>
          <w:szCs w:val="28"/>
        </w:rPr>
        <w:t>4.付款方式：</w:t>
      </w:r>
      <w:r>
        <w:rPr>
          <w:rFonts w:hint="eastAsia" w:ascii="宋体" w:hAnsi="宋体" w:cs="宋体"/>
          <w:spacing w:val="-9"/>
          <w:sz w:val="28"/>
          <w:szCs w:val="28"/>
          <w:lang w:val="en-US" w:eastAsia="zh-CN"/>
        </w:rPr>
        <w:t>银行转账</w:t>
      </w:r>
    </w:p>
    <w:p>
      <w:pPr>
        <w:pStyle w:val="3"/>
        <w:spacing w:line="560" w:lineRule="exact"/>
        <w:ind w:firstLine="524" w:firstLineChars="200"/>
        <w:rPr>
          <w:rFonts w:hint="eastAsia" w:ascii="宋体" w:hAnsi="宋体" w:cs="宋体"/>
          <w:spacing w:val="-9"/>
          <w:sz w:val="28"/>
          <w:szCs w:val="28"/>
          <w:lang w:eastAsia="zh-Hans"/>
        </w:rPr>
      </w:pPr>
      <w:r>
        <w:rPr>
          <w:rFonts w:hint="eastAsia" w:ascii="宋体" w:hAnsi="宋体" w:cs="宋体"/>
          <w:spacing w:val="-9"/>
          <w:sz w:val="28"/>
          <w:szCs w:val="28"/>
        </w:rPr>
        <w:t>银行转账，</w:t>
      </w:r>
      <w:r>
        <w:rPr>
          <w:rFonts w:hint="eastAsia" w:ascii="宋体" w:hAnsi="宋体" w:cs="宋体"/>
          <w:spacing w:val="-9"/>
          <w:sz w:val="28"/>
          <w:szCs w:val="28"/>
          <w:lang w:val="en-US" w:eastAsia="zh-CN"/>
        </w:rPr>
        <w:t>乙方</w:t>
      </w:r>
      <w:r>
        <w:rPr>
          <w:rFonts w:hint="eastAsia" w:ascii="宋体" w:hAnsi="宋体" w:cs="宋体"/>
          <w:spacing w:val="-9"/>
          <w:sz w:val="28"/>
          <w:szCs w:val="28"/>
        </w:rPr>
        <w:t>按照</w:t>
      </w:r>
      <w:r>
        <w:rPr>
          <w:rFonts w:hint="eastAsia" w:ascii="宋体" w:hAnsi="宋体" w:cs="宋体"/>
          <w:spacing w:val="-9"/>
          <w:sz w:val="28"/>
          <w:szCs w:val="28"/>
          <w:lang w:val="en-US" w:eastAsia="zh-CN"/>
        </w:rPr>
        <w:t>甲方</w:t>
      </w:r>
      <w:r>
        <w:rPr>
          <w:rFonts w:hint="eastAsia" w:ascii="宋体" w:hAnsi="宋体" w:cs="宋体"/>
          <w:spacing w:val="-9"/>
          <w:sz w:val="28"/>
          <w:szCs w:val="28"/>
        </w:rPr>
        <w:t>采购订单送货，并向</w:t>
      </w:r>
      <w:r>
        <w:rPr>
          <w:rFonts w:hint="eastAsia" w:ascii="宋体" w:hAnsi="宋体" w:cs="宋体"/>
          <w:spacing w:val="-9"/>
          <w:sz w:val="28"/>
          <w:szCs w:val="28"/>
          <w:lang w:val="en-US" w:eastAsia="zh-CN"/>
        </w:rPr>
        <w:t>甲方</w:t>
      </w:r>
      <w:r>
        <w:rPr>
          <w:rFonts w:hint="eastAsia" w:ascii="宋体" w:hAnsi="宋体" w:cs="宋体"/>
          <w:spacing w:val="-9"/>
          <w:sz w:val="28"/>
          <w:szCs w:val="28"/>
        </w:rPr>
        <w:t>提供合法有效的增值税发票(发票须由</w:t>
      </w:r>
      <w:r>
        <w:rPr>
          <w:rFonts w:hint="eastAsia" w:ascii="宋体" w:hAnsi="宋体" w:cs="宋体"/>
          <w:spacing w:val="-9"/>
          <w:sz w:val="28"/>
          <w:szCs w:val="28"/>
          <w:lang w:val="en-US" w:eastAsia="zh-CN"/>
        </w:rPr>
        <w:t>乙方</w:t>
      </w:r>
      <w:r>
        <w:rPr>
          <w:rFonts w:hint="eastAsia" w:ascii="宋体" w:hAnsi="宋体" w:cs="宋体"/>
          <w:spacing w:val="-9"/>
          <w:sz w:val="28"/>
          <w:szCs w:val="28"/>
        </w:rPr>
        <w:t>自行验证真伪，验证记录随同发票一并提供)和货物随行单等相关凭证。货物经</w:t>
      </w:r>
      <w:r>
        <w:rPr>
          <w:rFonts w:hint="eastAsia" w:ascii="宋体" w:hAnsi="宋体" w:cs="宋体"/>
          <w:spacing w:val="-9"/>
          <w:sz w:val="28"/>
          <w:szCs w:val="28"/>
          <w:lang w:val="en-US" w:eastAsia="zh-CN"/>
        </w:rPr>
        <w:t>甲方</w:t>
      </w:r>
      <w:r>
        <w:rPr>
          <w:rFonts w:hint="eastAsia" w:ascii="宋体" w:hAnsi="宋体" w:cs="宋体"/>
          <w:spacing w:val="-9"/>
          <w:sz w:val="28"/>
          <w:szCs w:val="28"/>
        </w:rPr>
        <w:t>验收合格后办理入库手续。入库满12个月后，</w:t>
      </w:r>
      <w:r>
        <w:rPr>
          <w:rFonts w:hint="eastAsia" w:ascii="宋体" w:hAnsi="宋体" w:cs="宋体"/>
          <w:spacing w:val="-9"/>
          <w:sz w:val="28"/>
          <w:szCs w:val="28"/>
          <w:lang w:val="en-US" w:eastAsia="zh-CN"/>
        </w:rPr>
        <w:t>乙方</w:t>
      </w:r>
      <w:r>
        <w:rPr>
          <w:rFonts w:hint="eastAsia" w:ascii="宋体" w:hAnsi="宋体" w:cs="宋体"/>
          <w:spacing w:val="-9"/>
          <w:sz w:val="28"/>
          <w:szCs w:val="28"/>
        </w:rPr>
        <w:t>向</w:t>
      </w:r>
      <w:r>
        <w:rPr>
          <w:rFonts w:hint="eastAsia" w:ascii="宋体" w:hAnsi="宋体" w:cs="宋体"/>
          <w:spacing w:val="-9"/>
          <w:sz w:val="28"/>
          <w:szCs w:val="28"/>
          <w:lang w:val="en-US" w:eastAsia="zh-CN"/>
        </w:rPr>
        <w:t>甲方</w:t>
      </w:r>
      <w:r>
        <w:rPr>
          <w:rFonts w:hint="eastAsia" w:ascii="宋体" w:hAnsi="宋体" w:cs="宋体"/>
          <w:spacing w:val="-9"/>
          <w:sz w:val="28"/>
          <w:szCs w:val="28"/>
        </w:rPr>
        <w:t>提交付款申请书及合同等相关凭证，</w:t>
      </w:r>
      <w:r>
        <w:rPr>
          <w:rFonts w:hint="eastAsia" w:ascii="宋体" w:hAnsi="宋体" w:cs="宋体"/>
          <w:spacing w:val="-9"/>
          <w:sz w:val="28"/>
          <w:szCs w:val="28"/>
          <w:lang w:val="en-US" w:eastAsia="zh-CN"/>
        </w:rPr>
        <w:t>甲方</w:t>
      </w:r>
      <w:r>
        <w:rPr>
          <w:rFonts w:hint="eastAsia" w:ascii="宋体" w:hAnsi="宋体" w:cs="宋体"/>
          <w:spacing w:val="-9"/>
          <w:sz w:val="28"/>
          <w:szCs w:val="28"/>
        </w:rPr>
        <w:t>在收到相关凭证并审核无误后在30个工作日内将款项支付。</w:t>
      </w:r>
    </w:p>
    <w:p>
      <w:pPr>
        <w:pStyle w:val="3"/>
        <w:spacing w:line="560" w:lineRule="exact"/>
        <w:ind w:firstLine="524" w:firstLineChars="200"/>
        <w:rPr>
          <w:rFonts w:hint="eastAsia" w:ascii="宋体" w:hAnsi="宋体" w:cs="宋体"/>
          <w:spacing w:val="-9"/>
          <w:sz w:val="28"/>
          <w:szCs w:val="28"/>
          <w:lang w:eastAsia="zh-Hans"/>
        </w:rPr>
      </w:pPr>
      <w:r>
        <w:rPr>
          <w:rFonts w:hint="eastAsia" w:ascii="宋体" w:hAnsi="宋体" w:cs="宋体"/>
          <w:spacing w:val="-9"/>
          <w:sz w:val="28"/>
          <w:szCs w:val="28"/>
          <w:lang w:eastAsia="zh-Hans"/>
        </w:rPr>
        <w:t>因财政拨款、不可抗力等原因造成甲方逾期付款的，乙方表示理解，不视为甲方违约。乙方应按照本合同约定继续履行己方义务。</w:t>
      </w:r>
    </w:p>
    <w:p>
      <w:pPr>
        <w:pStyle w:val="3"/>
        <w:tabs>
          <w:tab w:val="left" w:pos="5123"/>
          <w:tab w:val="left" w:pos="5723"/>
          <w:tab w:val="left" w:pos="7403"/>
          <w:tab w:val="left" w:pos="8003"/>
        </w:tabs>
        <w:spacing w:line="560" w:lineRule="exact"/>
        <w:ind w:firstLine="526" w:firstLineChars="200"/>
        <w:rPr>
          <w:rFonts w:hint="eastAsia" w:ascii="宋体" w:hAnsi="宋体" w:cs="宋体"/>
          <w:spacing w:val="-9"/>
          <w:sz w:val="28"/>
          <w:szCs w:val="28"/>
        </w:rPr>
      </w:pPr>
      <w:r>
        <w:rPr>
          <w:rFonts w:hint="eastAsia" w:ascii="宋体" w:hAnsi="宋体" w:cs="宋体"/>
          <w:b/>
          <w:bCs/>
          <w:spacing w:val="-9"/>
          <w:sz w:val="28"/>
          <w:szCs w:val="28"/>
        </w:rPr>
        <w:t>第三条 合同期限：</w:t>
      </w:r>
      <w:r>
        <w:rPr>
          <w:rFonts w:hint="eastAsia" w:ascii="宋体" w:hAnsi="宋体" w:cs="宋体"/>
          <w:spacing w:val="-9"/>
          <w:sz w:val="28"/>
          <w:szCs w:val="28"/>
        </w:rPr>
        <w:t>自</w:t>
      </w:r>
      <w:r>
        <w:rPr>
          <w:rFonts w:hint="eastAsia" w:ascii="宋体" w:hAnsi="宋体" w:cs="宋体"/>
          <w:spacing w:val="-9"/>
          <w:sz w:val="28"/>
          <w:szCs w:val="28"/>
          <w:lang w:val="en-US" w:eastAsia="zh-CN"/>
        </w:rPr>
        <w:t xml:space="preserve">    </w:t>
      </w:r>
      <w:r>
        <w:rPr>
          <w:rFonts w:hint="eastAsia" w:ascii="宋体" w:hAnsi="宋体" w:cs="宋体"/>
          <w:spacing w:val="-9"/>
          <w:sz w:val="28"/>
          <w:szCs w:val="28"/>
          <w:u w:val="single"/>
        </w:rPr>
        <w:t xml:space="preserve"> </w:t>
      </w:r>
      <w:r>
        <w:rPr>
          <w:rFonts w:hint="eastAsia" w:ascii="宋体" w:hAnsi="宋体" w:cs="宋体"/>
          <w:spacing w:val="-9"/>
          <w:sz w:val="28"/>
          <w:szCs w:val="28"/>
        </w:rPr>
        <w:t>年</w:t>
      </w:r>
      <w:r>
        <w:rPr>
          <w:rFonts w:hint="eastAsia" w:ascii="宋体" w:hAnsi="宋体" w:cs="宋体"/>
          <w:spacing w:val="-9"/>
          <w:sz w:val="28"/>
          <w:szCs w:val="28"/>
          <w:u w:val="single"/>
        </w:rPr>
        <w:t xml:space="preserve"> </w:t>
      </w:r>
      <w:r>
        <w:rPr>
          <w:rFonts w:hint="eastAsia" w:ascii="宋体" w:hAnsi="宋体" w:cs="宋体"/>
          <w:spacing w:val="-9"/>
          <w:sz w:val="28"/>
          <w:szCs w:val="28"/>
          <w:u w:val="single"/>
          <w:lang w:val="en-US" w:eastAsia="zh-CN"/>
        </w:rPr>
        <w:t xml:space="preserve">   </w:t>
      </w:r>
      <w:r>
        <w:rPr>
          <w:rFonts w:hint="eastAsia" w:ascii="宋体" w:hAnsi="宋体" w:cs="宋体"/>
          <w:spacing w:val="-9"/>
          <w:sz w:val="28"/>
          <w:szCs w:val="28"/>
          <w:u w:val="single"/>
        </w:rPr>
        <w:t xml:space="preserve"> </w:t>
      </w:r>
      <w:r>
        <w:rPr>
          <w:rFonts w:hint="eastAsia" w:ascii="宋体" w:hAnsi="宋体" w:cs="宋体"/>
          <w:spacing w:val="-9"/>
          <w:sz w:val="28"/>
          <w:szCs w:val="28"/>
        </w:rPr>
        <w:t>月</w:t>
      </w:r>
      <w:r>
        <w:rPr>
          <w:rFonts w:hint="eastAsia" w:ascii="宋体" w:hAnsi="宋体" w:cs="宋体"/>
          <w:spacing w:val="-9"/>
          <w:sz w:val="28"/>
          <w:szCs w:val="28"/>
          <w:u w:val="single"/>
        </w:rPr>
        <w:t xml:space="preserve">  </w:t>
      </w:r>
      <w:r>
        <w:rPr>
          <w:rFonts w:hint="eastAsia" w:ascii="宋体" w:hAnsi="宋体" w:cs="宋体"/>
          <w:spacing w:val="-9"/>
          <w:sz w:val="28"/>
          <w:szCs w:val="28"/>
          <w:u w:val="single"/>
          <w:lang w:val="en-US" w:eastAsia="zh-CN"/>
        </w:rPr>
        <w:t xml:space="preserve">   </w:t>
      </w:r>
      <w:r>
        <w:rPr>
          <w:rFonts w:hint="eastAsia" w:ascii="宋体" w:hAnsi="宋体" w:cs="宋体"/>
          <w:spacing w:val="-9"/>
          <w:sz w:val="28"/>
          <w:szCs w:val="28"/>
        </w:rPr>
        <w:t>日至</w:t>
      </w:r>
      <w:r>
        <w:rPr>
          <w:rFonts w:hint="eastAsia" w:ascii="宋体" w:hAnsi="宋体" w:cs="宋体"/>
          <w:spacing w:val="-9"/>
          <w:sz w:val="28"/>
          <w:szCs w:val="28"/>
          <w:u w:val="single"/>
        </w:rPr>
        <w:t xml:space="preserve">   </w:t>
      </w:r>
      <w:r>
        <w:rPr>
          <w:rFonts w:hint="eastAsia" w:ascii="宋体" w:hAnsi="宋体" w:cs="宋体"/>
          <w:spacing w:val="-9"/>
          <w:sz w:val="28"/>
          <w:szCs w:val="28"/>
          <w:u w:val="single"/>
          <w:lang w:val="en-US" w:eastAsia="zh-CN"/>
        </w:rPr>
        <w:t xml:space="preserve">  </w:t>
      </w:r>
      <w:r>
        <w:rPr>
          <w:rFonts w:hint="eastAsia" w:ascii="宋体" w:hAnsi="宋体" w:cs="宋体"/>
          <w:spacing w:val="-9"/>
          <w:sz w:val="28"/>
          <w:szCs w:val="28"/>
          <w:u w:val="single"/>
        </w:rPr>
        <w:t xml:space="preserve"> </w:t>
      </w:r>
      <w:r>
        <w:rPr>
          <w:rFonts w:hint="eastAsia" w:ascii="宋体" w:hAnsi="宋体" w:cs="宋体"/>
          <w:spacing w:val="-9"/>
          <w:sz w:val="28"/>
          <w:szCs w:val="28"/>
        </w:rPr>
        <w:t>年</w:t>
      </w:r>
      <w:r>
        <w:rPr>
          <w:rFonts w:hint="eastAsia" w:ascii="宋体" w:hAnsi="宋体" w:cs="宋体"/>
          <w:spacing w:val="-9"/>
          <w:sz w:val="28"/>
          <w:szCs w:val="28"/>
          <w:u w:val="single"/>
        </w:rPr>
        <w:t xml:space="preserve">  </w:t>
      </w:r>
      <w:r>
        <w:rPr>
          <w:rFonts w:hint="eastAsia" w:ascii="宋体" w:hAnsi="宋体" w:cs="宋体"/>
          <w:spacing w:val="-9"/>
          <w:sz w:val="28"/>
          <w:szCs w:val="28"/>
          <w:u w:val="single"/>
          <w:lang w:val="en-US" w:eastAsia="zh-CN"/>
        </w:rPr>
        <w:t xml:space="preserve">  </w:t>
      </w:r>
      <w:r>
        <w:rPr>
          <w:rFonts w:hint="eastAsia" w:ascii="宋体" w:hAnsi="宋体" w:cs="宋体"/>
          <w:spacing w:val="-9"/>
          <w:sz w:val="28"/>
          <w:szCs w:val="28"/>
          <w:u w:val="single"/>
        </w:rPr>
        <w:t xml:space="preserve">  </w:t>
      </w:r>
      <w:r>
        <w:rPr>
          <w:rFonts w:hint="eastAsia" w:ascii="宋体" w:hAnsi="宋体" w:cs="宋体"/>
          <w:spacing w:val="-9"/>
          <w:sz w:val="28"/>
          <w:szCs w:val="28"/>
        </w:rPr>
        <w:t>月</w:t>
      </w:r>
      <w:r>
        <w:rPr>
          <w:rFonts w:hint="eastAsia" w:ascii="宋体" w:hAnsi="宋体" w:cs="宋体"/>
          <w:spacing w:val="-9"/>
          <w:sz w:val="28"/>
          <w:szCs w:val="28"/>
          <w:lang w:val="en-US" w:eastAsia="zh-CN"/>
        </w:rPr>
        <w:t xml:space="preserve">   </w:t>
      </w:r>
      <w:r>
        <w:rPr>
          <w:rFonts w:hint="eastAsia" w:ascii="宋体" w:hAnsi="宋体" w:cs="宋体"/>
          <w:spacing w:val="-9"/>
          <w:sz w:val="28"/>
          <w:szCs w:val="28"/>
          <w:u w:val="single"/>
        </w:rPr>
        <w:t xml:space="preserve">  </w:t>
      </w:r>
      <w:r>
        <w:rPr>
          <w:rFonts w:hint="eastAsia" w:ascii="宋体" w:hAnsi="宋体" w:cs="宋体"/>
          <w:spacing w:val="-9"/>
          <w:sz w:val="28"/>
          <w:szCs w:val="28"/>
        </w:rPr>
        <w:t>日。</w:t>
      </w:r>
      <w:r>
        <w:rPr>
          <w:rFonts w:hint="eastAsia" w:ascii="宋体" w:hAnsi="宋体" w:cs="宋体"/>
          <w:sz w:val="28"/>
          <w:szCs w:val="28"/>
          <w:lang w:eastAsia="zh-Hans"/>
        </w:rPr>
        <w:t>合同期限届满</w:t>
      </w:r>
      <w:r>
        <w:rPr>
          <w:rFonts w:hint="eastAsia" w:ascii="宋体" w:hAnsi="宋体" w:cs="宋体"/>
          <w:sz w:val="28"/>
          <w:szCs w:val="28"/>
        </w:rPr>
        <w:t xml:space="preserve">   </w:t>
      </w:r>
      <w:r>
        <w:rPr>
          <w:rFonts w:hint="eastAsia" w:ascii="宋体" w:hAnsi="宋体" w:cs="宋体"/>
          <w:sz w:val="28"/>
          <w:szCs w:val="28"/>
          <w:lang w:eastAsia="zh-Hans"/>
        </w:rPr>
        <w:t>后，如双方事实上仍有订单仍在履行的，则按本合同约定执行；双方另有约定的除外</w:t>
      </w:r>
      <w:r>
        <w:rPr>
          <w:rFonts w:hint="eastAsia" w:ascii="宋体" w:hAnsi="宋体" w:cs="宋体"/>
          <w:spacing w:val="-77"/>
          <w:sz w:val="28"/>
          <w:szCs w:val="28"/>
        </w:rPr>
        <w:t>。</w:t>
      </w:r>
    </w:p>
    <w:p>
      <w:pPr>
        <w:spacing w:line="360" w:lineRule="auto"/>
        <w:ind w:firstLine="526" w:firstLineChars="200"/>
        <w:rPr>
          <w:rFonts w:hint="eastAsia" w:ascii="宋体" w:hAnsi="宋体" w:cs="宋体"/>
          <w:sz w:val="28"/>
          <w:szCs w:val="28"/>
        </w:rPr>
      </w:pPr>
      <w:r>
        <w:rPr>
          <w:rFonts w:hint="eastAsia" w:ascii="宋体" w:hAnsi="宋体" w:cs="宋体"/>
          <w:b/>
          <w:bCs/>
          <w:spacing w:val="-9"/>
          <w:sz w:val="28"/>
          <w:szCs w:val="28"/>
        </w:rPr>
        <w:t>第四条 供货地点：</w:t>
      </w:r>
      <w:r>
        <w:rPr>
          <w:rFonts w:hint="eastAsia" w:ascii="宋体" w:hAnsi="宋体" w:eastAsia="仿宋_GB2312" w:cs="宋体"/>
          <w:kern w:val="2"/>
          <w:sz w:val="28"/>
          <w:szCs w:val="28"/>
          <w:lang w:val="en-US" w:eastAsia="zh-Hans" w:bidi="ar-SA"/>
        </w:rPr>
        <w:t>海南医科大学第一附属医院龙华路院区。</w:t>
      </w:r>
    </w:p>
    <w:p>
      <w:pPr>
        <w:pStyle w:val="3"/>
        <w:spacing w:line="560" w:lineRule="exact"/>
        <w:ind w:firstLine="526" w:firstLineChars="200"/>
        <w:rPr>
          <w:rFonts w:hint="eastAsia" w:ascii="宋体" w:hAnsi="宋体" w:cs="宋体"/>
          <w:spacing w:val="-9"/>
          <w:sz w:val="28"/>
          <w:szCs w:val="28"/>
        </w:rPr>
      </w:pPr>
      <w:r>
        <w:rPr>
          <w:rFonts w:hint="eastAsia" w:ascii="宋体" w:hAnsi="宋体" w:cs="宋体"/>
          <w:b/>
          <w:bCs/>
          <w:spacing w:val="-9"/>
          <w:sz w:val="28"/>
          <w:szCs w:val="28"/>
        </w:rPr>
        <w:t>第五条 供货时间：</w:t>
      </w:r>
      <w:r>
        <w:rPr>
          <w:rFonts w:hint="eastAsia" w:ascii="宋体" w:hAnsi="宋体" w:cs="宋体"/>
          <w:sz w:val="28"/>
          <w:szCs w:val="28"/>
        </w:rPr>
        <w:t>乙方应在接到甲方发出的供货通知后，准备货物按照甲方要求将该批货物运至供货地点。接到需求后，如需现场对接调研，1个工作日内到医院对接，确定订单后，10个工作日内送达。</w:t>
      </w:r>
    </w:p>
    <w:p>
      <w:pPr>
        <w:pStyle w:val="3"/>
        <w:spacing w:line="560" w:lineRule="exact"/>
        <w:ind w:firstLine="526" w:firstLineChars="200"/>
        <w:rPr>
          <w:rFonts w:hint="eastAsia" w:ascii="宋体" w:hAnsi="宋体" w:cs="宋体"/>
          <w:spacing w:val="-9"/>
          <w:sz w:val="28"/>
          <w:szCs w:val="28"/>
          <w:lang w:eastAsia="zh-Hans"/>
        </w:rPr>
      </w:pPr>
      <w:r>
        <w:rPr>
          <w:rFonts w:hint="eastAsia" w:ascii="宋体" w:hAnsi="宋体" w:cs="宋体"/>
          <w:b/>
          <w:bCs/>
          <w:spacing w:val="-9"/>
          <w:sz w:val="28"/>
          <w:szCs w:val="28"/>
        </w:rPr>
        <w:t>第六条 到货验收：</w:t>
      </w:r>
    </w:p>
    <w:p>
      <w:pPr>
        <w:pStyle w:val="3"/>
        <w:spacing w:line="560" w:lineRule="exact"/>
        <w:ind w:firstLine="524" w:firstLineChars="200"/>
        <w:rPr>
          <w:rFonts w:ascii="宋体" w:hAnsi="宋体" w:cs="宋体"/>
          <w:sz w:val="28"/>
          <w:szCs w:val="28"/>
        </w:rPr>
      </w:pPr>
      <w:r>
        <w:rPr>
          <w:rFonts w:hint="eastAsia" w:ascii="宋体" w:hAnsi="宋体" w:cs="宋体"/>
          <w:spacing w:val="-9"/>
          <w:sz w:val="28"/>
          <w:szCs w:val="28"/>
        </w:rPr>
        <w:t>1.</w:t>
      </w:r>
      <w:r>
        <w:rPr>
          <w:rFonts w:hint="eastAsia" w:ascii="宋体" w:hAnsi="宋体" w:cs="宋体"/>
          <w:sz w:val="28"/>
          <w:szCs w:val="28"/>
        </w:rPr>
        <w:t>乙方货物运送至供货地点，并在甲方指定地点卸货后，乙方送货人员应当与甲方收货负责人共同办理到货验收。</w:t>
      </w:r>
    </w:p>
    <w:p>
      <w:pPr>
        <w:pStyle w:val="3"/>
        <w:spacing w:line="560" w:lineRule="exact"/>
        <w:ind w:firstLine="560" w:firstLineChars="200"/>
        <w:rPr>
          <w:rFonts w:ascii="宋体" w:hAnsi="宋体" w:cs="宋体"/>
          <w:sz w:val="28"/>
          <w:szCs w:val="28"/>
        </w:rPr>
      </w:pPr>
      <w:r>
        <w:rPr>
          <w:rFonts w:hint="eastAsia" w:ascii="宋体" w:hAnsi="宋体" w:cs="宋体"/>
          <w:sz w:val="28"/>
          <w:szCs w:val="28"/>
        </w:rPr>
        <w:t>2.甲方对货物的品种、规格型号、数量、外面包装当场查验核实，对货物有异议的，甲方有权当场拒收。</w:t>
      </w:r>
    </w:p>
    <w:p>
      <w:pPr>
        <w:pStyle w:val="3"/>
        <w:spacing w:line="560" w:lineRule="exact"/>
        <w:ind w:firstLine="560" w:firstLineChars="200"/>
        <w:rPr>
          <w:rFonts w:ascii="宋体" w:hAnsi="宋体" w:cs="宋体"/>
          <w:sz w:val="28"/>
          <w:szCs w:val="28"/>
        </w:rPr>
      </w:pPr>
      <w:r>
        <w:rPr>
          <w:rFonts w:hint="eastAsia" w:ascii="宋体" w:hAnsi="宋体" w:cs="宋体"/>
          <w:sz w:val="28"/>
          <w:szCs w:val="28"/>
        </w:rPr>
        <w:t>3.到货验收合格后，由乙方送货人员与甲方收货负责人共同签字确认，双方签字确认之日即为该批货物交付之日。货物交付前毁损灭失的风险由乙方承担。</w:t>
      </w:r>
    </w:p>
    <w:p>
      <w:pPr>
        <w:pStyle w:val="3"/>
        <w:spacing w:line="560" w:lineRule="exact"/>
        <w:ind w:firstLine="560" w:firstLineChars="200"/>
        <w:rPr>
          <w:rFonts w:ascii="宋体" w:hAnsi="宋体" w:cs="宋体"/>
          <w:sz w:val="28"/>
          <w:szCs w:val="28"/>
        </w:rPr>
      </w:pPr>
      <w:r>
        <w:rPr>
          <w:rFonts w:hint="eastAsia" w:ascii="宋体" w:hAnsi="宋体" w:cs="宋体"/>
          <w:sz w:val="28"/>
          <w:szCs w:val="28"/>
        </w:rPr>
        <w:t>4.甲方有权从货物中封存样品并对每批货物进行质量复检。货物质量不符合技术质量标准的，甲方有权退货。</w:t>
      </w:r>
    </w:p>
    <w:p>
      <w:pPr>
        <w:pStyle w:val="3"/>
        <w:spacing w:line="560" w:lineRule="exact"/>
        <w:ind w:firstLine="526" w:firstLineChars="200"/>
        <w:rPr>
          <w:rFonts w:ascii="宋体" w:hAnsi="宋体" w:cs="宋体"/>
          <w:sz w:val="28"/>
          <w:szCs w:val="28"/>
        </w:rPr>
      </w:pPr>
      <w:r>
        <w:rPr>
          <w:rFonts w:hint="eastAsia" w:ascii="宋体" w:hAnsi="宋体" w:cs="宋体"/>
          <w:b/>
          <w:bCs/>
          <w:spacing w:val="-9"/>
          <w:sz w:val="28"/>
          <w:szCs w:val="28"/>
        </w:rPr>
        <w:t xml:space="preserve">第七条 </w:t>
      </w:r>
      <w:r>
        <w:rPr>
          <w:rFonts w:hint="eastAsia" w:ascii="宋体" w:hAnsi="宋体" w:cs="宋体"/>
          <w:sz w:val="28"/>
          <w:szCs w:val="28"/>
        </w:rPr>
        <w:t>交付:到货验收合格后，由乙方送货人员与甲方收货负责人共同签字确认，双方签字确认之日即为该批货物交付之日。货物交付前毁损灭失的风险由乙方承担。</w:t>
      </w:r>
    </w:p>
    <w:p>
      <w:pPr>
        <w:pStyle w:val="3"/>
        <w:spacing w:line="560" w:lineRule="exact"/>
        <w:ind w:firstLine="526" w:firstLineChars="200"/>
        <w:rPr>
          <w:rFonts w:hint="eastAsia" w:ascii="宋体" w:hAnsi="宋体" w:cs="宋体"/>
          <w:spacing w:val="-9"/>
          <w:sz w:val="28"/>
          <w:szCs w:val="28"/>
        </w:rPr>
      </w:pPr>
      <w:r>
        <w:rPr>
          <w:rFonts w:hint="eastAsia" w:ascii="宋体" w:hAnsi="宋体" w:cs="宋体"/>
          <w:b/>
          <w:bCs/>
          <w:spacing w:val="-9"/>
          <w:sz w:val="28"/>
          <w:szCs w:val="28"/>
        </w:rPr>
        <w:t>第八条 运输方式、费用负担：</w:t>
      </w:r>
      <w:r>
        <w:rPr>
          <w:rFonts w:hint="eastAsia" w:ascii="宋体" w:hAnsi="宋体" w:cs="宋体"/>
          <w:spacing w:val="-9"/>
          <w:sz w:val="28"/>
          <w:szCs w:val="28"/>
        </w:rPr>
        <w:t>货物的运输及费用由乙方承担。</w:t>
      </w:r>
      <w:r>
        <w:rPr>
          <w:rFonts w:hint="eastAsia" w:ascii="宋体" w:hAnsi="宋体" w:cs="宋体"/>
          <w:spacing w:val="-9"/>
          <w:sz w:val="28"/>
          <w:szCs w:val="28"/>
          <w:lang w:eastAsia="zh-Hans"/>
        </w:rPr>
        <w:t>货物损毁、灭失的风险自交货之日起转移。</w:t>
      </w:r>
    </w:p>
    <w:p>
      <w:pPr>
        <w:pStyle w:val="3"/>
        <w:spacing w:line="560" w:lineRule="exact"/>
        <w:ind w:firstLine="526" w:firstLineChars="200"/>
        <w:rPr>
          <w:rFonts w:hint="eastAsia" w:ascii="宋体" w:hAnsi="宋体" w:cs="宋体"/>
          <w:b/>
          <w:bCs/>
          <w:spacing w:val="-9"/>
          <w:sz w:val="28"/>
          <w:szCs w:val="28"/>
        </w:rPr>
      </w:pPr>
      <w:r>
        <w:rPr>
          <w:rFonts w:hint="eastAsia" w:ascii="宋体" w:hAnsi="宋体" w:cs="宋体"/>
          <w:b/>
          <w:bCs/>
          <w:spacing w:val="-9"/>
          <w:sz w:val="28"/>
          <w:szCs w:val="28"/>
        </w:rPr>
        <w:t>第九条 违约责任</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甲方责任：</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1. 由于甲方提供的收货地址、收货人等信息不准确造成的损失及运输费用等由甲方承担。</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2. 由于甲方无合理原因的退货，甲方应向乙方支付退货部分货款3%的违约金。</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乙方责任：</w:t>
      </w:r>
    </w:p>
    <w:p>
      <w:pPr>
        <w:pStyle w:val="3"/>
        <w:spacing w:line="560" w:lineRule="exact"/>
        <w:ind w:firstLine="560" w:firstLineChars="200"/>
        <w:rPr>
          <w:rFonts w:hint="eastAsia" w:ascii="宋体" w:hAnsi="宋体" w:cs="宋体"/>
          <w:sz w:val="28"/>
          <w:szCs w:val="28"/>
        </w:rPr>
      </w:pPr>
      <w:r>
        <w:rPr>
          <w:rFonts w:hint="eastAsia" w:ascii="宋体" w:hAnsi="宋体" w:cs="宋体"/>
          <w:sz w:val="28"/>
          <w:szCs w:val="28"/>
        </w:rPr>
        <w:t>1.乙方按照投标时确定清单供货，保证货物符合国家相关法律法规要求，杜绝“三无”产品。如果乙方存在所供货物中有“三无”产品的情况，首次出现此情况要求乙方立即更换，三次出现则甲方有权立即终止合同。</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2.乙方所提供产品的品种、型号、规格、质量等不符合本合同约定的，甲方有权解除合同，如甲方同意继续履行合同，则由乙方负责调换，并承担因调换产品而支付的实际费用。造成逾期交货的，应按本条第5项承担逾期交货的违约责任。</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3.乙方保证以上货物及附件均为原厂生产的全新产品；</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4.乙方须提供货物厂家的出厂检验报告及合格证书。</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5.乙方原因所造成的延期交货，每迟延交货一天，乙方应向甲方支付货款总金额3‰的违约金，但违约金的总额不应超过当次供货标的总金额的3%；超过10天仍未能交货的，甲方有权解除合同，乙方应按货款总额的20%向甲方支付违约金，并赔偿甲方因此遭受的经济损失。</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6.乙方在本合同期间内出现以下6.1至6.5所列情形之一的，乙方需承担当期结算金额20%的违约金和由此给甲方造成的一切损失，甲方有权提前解除本合同。</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6.1 常规货物每次配送时长超过10天，累计达5次以上的；</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6.2 货物出现质量问题要求整改累计超过3次的；</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6.3 因乙方原因被投诉超过5次的；</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6.4 因乙方问题造成重大事故，产生不良影响，导致甲方损失的；</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 xml:space="preserve">6.5 </w:t>
      </w:r>
      <w:r>
        <w:rPr>
          <w:rFonts w:hint="eastAsia" w:ascii="宋体" w:hAnsi="宋体" w:cs="宋体"/>
          <w:sz w:val="28"/>
          <w:szCs w:val="28"/>
        </w:rPr>
        <w:t>未经甲方书面同意,乙方私自转让第三方执行的。</w:t>
      </w:r>
    </w:p>
    <w:p>
      <w:pPr>
        <w:pStyle w:val="3"/>
        <w:spacing w:line="560" w:lineRule="exact"/>
        <w:ind w:firstLine="526" w:firstLineChars="200"/>
        <w:rPr>
          <w:rFonts w:hint="eastAsia" w:ascii="宋体" w:hAnsi="宋体" w:cs="宋体"/>
          <w:b/>
          <w:bCs/>
          <w:sz w:val="28"/>
          <w:szCs w:val="28"/>
          <w:lang w:eastAsia="zh-Hans"/>
        </w:rPr>
      </w:pPr>
      <w:r>
        <w:rPr>
          <w:rFonts w:hint="eastAsia" w:ascii="宋体" w:hAnsi="宋体" w:cs="宋体"/>
          <w:b/>
          <w:bCs/>
          <w:spacing w:val="-9"/>
          <w:sz w:val="28"/>
          <w:szCs w:val="28"/>
        </w:rPr>
        <w:t xml:space="preserve">第十条 </w:t>
      </w:r>
      <w:r>
        <w:rPr>
          <w:rFonts w:hint="eastAsia" w:ascii="宋体" w:hAnsi="宋体" w:cs="宋体"/>
          <w:b/>
          <w:bCs/>
          <w:sz w:val="28"/>
          <w:szCs w:val="28"/>
          <w:lang w:eastAsia="zh-Hans"/>
        </w:rPr>
        <w:t>保密</w:t>
      </w:r>
    </w:p>
    <w:p>
      <w:pPr>
        <w:pStyle w:val="3"/>
        <w:spacing w:line="560" w:lineRule="exact"/>
        <w:ind w:firstLine="560" w:firstLineChars="200"/>
        <w:rPr>
          <w:rFonts w:hint="eastAsia" w:ascii="宋体" w:hAnsi="宋体" w:cs="宋体"/>
          <w:spacing w:val="-5"/>
          <w:sz w:val="28"/>
          <w:szCs w:val="28"/>
        </w:rPr>
      </w:pPr>
      <w:r>
        <w:rPr>
          <w:rFonts w:hint="eastAsia" w:ascii="宋体" w:hAnsi="宋体" w:cs="宋体"/>
          <w:sz w:val="28"/>
          <w:szCs w:val="28"/>
        </w:rPr>
        <w:t>合同各方保证</w:t>
      </w:r>
      <w:r>
        <w:rPr>
          <w:rFonts w:hint="eastAsia" w:ascii="宋体" w:hAnsi="宋体" w:cs="宋体"/>
          <w:spacing w:val="-5"/>
          <w:sz w:val="28"/>
          <w:szCs w:val="28"/>
        </w:rPr>
        <w:t>对在讨论、签订、履行本合同过程中所获悉的属于其他方的且无法自公开渠道的文件及资料（包括但不限于商业秘密、公司计划、运营活动、财务信息、技术信息、经营信息及其他商业秘密）予以保密。未经该资料和文件的原提供方同意，其他方不得向任何第三方泄露该商业秘密的全部或部分内容。</w:t>
      </w:r>
    </w:p>
    <w:p>
      <w:pPr>
        <w:pStyle w:val="5"/>
        <w:spacing w:before="0" w:beforeAutospacing="0" w:after="0" w:afterAutospacing="0" w:line="560" w:lineRule="exact"/>
        <w:ind w:firstLine="540" w:firstLineChars="200"/>
        <w:jc w:val="both"/>
        <w:rPr>
          <w:rFonts w:hint="eastAsia" w:cs="宋体"/>
          <w:spacing w:val="-5"/>
          <w:sz w:val="28"/>
          <w:szCs w:val="28"/>
        </w:rPr>
      </w:pPr>
      <w:r>
        <w:rPr>
          <w:rFonts w:hint="eastAsia" w:cs="宋体"/>
          <w:spacing w:val="-5"/>
          <w:sz w:val="28"/>
          <w:szCs w:val="28"/>
        </w:rPr>
        <w:t>上述保密义务，在本合同终止或解除之后仍需履行。</w:t>
      </w:r>
    </w:p>
    <w:p>
      <w:pPr>
        <w:pStyle w:val="3"/>
        <w:spacing w:line="560" w:lineRule="exact"/>
        <w:ind w:firstLine="542" w:firstLineChars="200"/>
        <w:rPr>
          <w:rFonts w:hint="eastAsia" w:ascii="宋体" w:hAnsi="宋体" w:cs="宋体"/>
          <w:b/>
          <w:bCs/>
          <w:sz w:val="28"/>
          <w:szCs w:val="28"/>
          <w:lang w:eastAsia="zh-Hans"/>
        </w:rPr>
      </w:pPr>
      <w:r>
        <w:rPr>
          <w:rFonts w:hint="eastAsia" w:ascii="宋体" w:hAnsi="宋体" w:cs="宋体"/>
          <w:b/>
          <w:bCs/>
          <w:spacing w:val="-5"/>
          <w:sz w:val="28"/>
          <w:szCs w:val="28"/>
          <w:lang w:eastAsia="zh-Hans"/>
        </w:rPr>
        <w:t>第</w:t>
      </w:r>
      <w:r>
        <w:rPr>
          <w:rFonts w:hint="eastAsia" w:ascii="宋体" w:hAnsi="宋体" w:cs="宋体"/>
          <w:b/>
          <w:bCs/>
          <w:spacing w:val="-5"/>
          <w:sz w:val="28"/>
          <w:szCs w:val="28"/>
        </w:rPr>
        <w:t>十一</w:t>
      </w:r>
      <w:r>
        <w:rPr>
          <w:rFonts w:hint="eastAsia" w:ascii="宋体" w:hAnsi="宋体" w:cs="宋体"/>
          <w:b/>
          <w:bCs/>
          <w:spacing w:val="-5"/>
          <w:sz w:val="28"/>
          <w:szCs w:val="28"/>
          <w:lang w:eastAsia="zh-Hans"/>
        </w:rPr>
        <w:t>条</w:t>
      </w:r>
      <w:r>
        <w:rPr>
          <w:rFonts w:hint="eastAsia" w:ascii="宋体" w:hAnsi="宋体" w:cs="宋体"/>
          <w:b/>
          <w:bCs/>
          <w:spacing w:val="-5"/>
          <w:sz w:val="28"/>
          <w:szCs w:val="28"/>
        </w:rPr>
        <w:t xml:space="preserve"> </w:t>
      </w:r>
      <w:r>
        <w:rPr>
          <w:rFonts w:hint="eastAsia" w:ascii="宋体" w:hAnsi="宋体" w:cs="宋体"/>
          <w:b/>
          <w:bCs/>
          <w:spacing w:val="-5"/>
          <w:sz w:val="28"/>
          <w:szCs w:val="28"/>
          <w:lang w:eastAsia="zh-Hans"/>
        </w:rPr>
        <w:t>知识</w:t>
      </w:r>
      <w:r>
        <w:rPr>
          <w:rFonts w:hint="eastAsia" w:ascii="宋体" w:hAnsi="宋体" w:cs="宋体"/>
          <w:b/>
          <w:bCs/>
          <w:sz w:val="28"/>
          <w:szCs w:val="28"/>
          <w:lang w:eastAsia="zh-Hans"/>
        </w:rPr>
        <w:t>产权</w:t>
      </w:r>
    </w:p>
    <w:p>
      <w:pPr>
        <w:pStyle w:val="3"/>
        <w:spacing w:line="560" w:lineRule="exact"/>
        <w:ind w:firstLine="560" w:firstLineChars="200"/>
        <w:rPr>
          <w:rFonts w:hint="eastAsia" w:ascii="宋体" w:hAnsi="宋体" w:cs="宋体"/>
          <w:sz w:val="28"/>
          <w:szCs w:val="28"/>
          <w:lang w:eastAsia="zh-Hans"/>
        </w:rPr>
      </w:pPr>
      <w:r>
        <w:rPr>
          <w:rFonts w:hint="eastAsia" w:ascii="宋体" w:hAnsi="宋体" w:cs="宋体"/>
          <w:sz w:val="28"/>
          <w:szCs w:val="28"/>
          <w:lang w:eastAsia="zh-Hans"/>
        </w:rPr>
        <w:t>乙方保证享有所提供货物所需的完整知识产权，并保证甲方及甲方客户在世界范围内使用（包括但不限于单独使用、结合使用、连接使用、嵌入使用、贴附使用、拼拆使用，下合称“使用”）、生产、销售、许诺销售、运输、仓储、进口、出口货物不会侵犯任何第三方知识产权。</w:t>
      </w:r>
    </w:p>
    <w:p>
      <w:pPr>
        <w:pStyle w:val="3"/>
        <w:spacing w:line="560" w:lineRule="exact"/>
        <w:ind w:firstLine="560" w:firstLineChars="200"/>
        <w:rPr>
          <w:rFonts w:hint="eastAsia" w:ascii="宋体" w:hAnsi="宋体" w:cs="宋体"/>
          <w:b/>
          <w:bCs/>
          <w:spacing w:val="-9"/>
          <w:sz w:val="28"/>
          <w:szCs w:val="28"/>
        </w:rPr>
      </w:pPr>
      <w:r>
        <w:rPr>
          <w:rFonts w:hint="eastAsia" w:ascii="宋体" w:hAnsi="宋体" w:cs="宋体"/>
          <w:sz w:val="28"/>
          <w:szCs w:val="28"/>
          <w:lang w:eastAsia="zh-Hans"/>
        </w:rPr>
        <w:t>除上述情形以外，本合同的签订与履行不意味着知识产权的转让或许可。</w:t>
      </w:r>
    </w:p>
    <w:p>
      <w:pPr>
        <w:pStyle w:val="3"/>
        <w:spacing w:line="560" w:lineRule="exact"/>
        <w:ind w:firstLine="526" w:firstLineChars="200"/>
        <w:rPr>
          <w:rFonts w:hint="eastAsia" w:ascii="宋体" w:hAnsi="宋体" w:cs="宋体"/>
          <w:b/>
          <w:bCs/>
          <w:spacing w:val="-9"/>
          <w:sz w:val="28"/>
          <w:szCs w:val="28"/>
        </w:rPr>
      </w:pPr>
      <w:r>
        <w:rPr>
          <w:rFonts w:hint="eastAsia" w:ascii="宋体" w:hAnsi="宋体" w:cs="宋体"/>
          <w:b/>
          <w:bCs/>
          <w:spacing w:val="-9"/>
          <w:sz w:val="28"/>
          <w:szCs w:val="28"/>
          <w:lang w:eastAsia="zh-Hans"/>
        </w:rPr>
        <w:t>第</w:t>
      </w:r>
      <w:r>
        <w:rPr>
          <w:rFonts w:hint="eastAsia" w:ascii="宋体" w:hAnsi="宋体" w:cs="宋体"/>
          <w:b/>
          <w:bCs/>
          <w:spacing w:val="-9"/>
          <w:sz w:val="28"/>
          <w:szCs w:val="28"/>
        </w:rPr>
        <w:t>十二</w:t>
      </w:r>
      <w:r>
        <w:rPr>
          <w:rFonts w:hint="eastAsia" w:ascii="宋体" w:hAnsi="宋体" w:cs="宋体"/>
          <w:b/>
          <w:bCs/>
          <w:spacing w:val="-9"/>
          <w:sz w:val="28"/>
          <w:szCs w:val="28"/>
          <w:lang w:eastAsia="zh-Hans"/>
        </w:rPr>
        <w:t xml:space="preserve">条 </w:t>
      </w:r>
      <w:r>
        <w:rPr>
          <w:rFonts w:hint="eastAsia" w:ascii="宋体" w:hAnsi="宋体" w:cs="宋体"/>
          <w:b/>
          <w:bCs/>
          <w:spacing w:val="-9"/>
          <w:sz w:val="28"/>
          <w:szCs w:val="28"/>
        </w:rPr>
        <w:t>不可抗力</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甲乙双方任何一方由于不可抗力的原因，包括战争、水灾、火灾、台风及地震等，不能履行合同时，应及时向对方通报不能履行或不能完全履行的理由并在合理的期限内提供证明。在取得对方的同意及谅解后，允许本合同延期履行、部分履行或终止合同，并根据情况可部分或全部免除责任。</w:t>
      </w:r>
    </w:p>
    <w:p>
      <w:pPr>
        <w:pStyle w:val="3"/>
        <w:spacing w:line="560" w:lineRule="exact"/>
        <w:ind w:firstLine="526" w:firstLineChars="200"/>
        <w:rPr>
          <w:rFonts w:hint="eastAsia" w:ascii="宋体" w:hAnsi="宋体" w:cs="宋体"/>
          <w:b/>
          <w:bCs/>
          <w:spacing w:val="-9"/>
          <w:sz w:val="28"/>
          <w:szCs w:val="28"/>
        </w:rPr>
      </w:pPr>
      <w:r>
        <w:rPr>
          <w:rFonts w:hint="eastAsia" w:ascii="宋体" w:hAnsi="宋体" w:cs="宋体"/>
          <w:b/>
          <w:bCs/>
          <w:spacing w:val="-9"/>
          <w:sz w:val="28"/>
          <w:szCs w:val="28"/>
        </w:rPr>
        <w:t>第</w:t>
      </w:r>
      <w:r>
        <w:rPr>
          <w:rFonts w:hint="eastAsia" w:ascii="宋体" w:hAnsi="宋体" w:cs="宋体"/>
          <w:b/>
          <w:bCs/>
          <w:spacing w:val="-9"/>
          <w:sz w:val="28"/>
          <w:szCs w:val="28"/>
          <w:lang w:eastAsia="zh-Hans"/>
        </w:rPr>
        <w:t>十</w:t>
      </w:r>
      <w:r>
        <w:rPr>
          <w:rFonts w:hint="eastAsia" w:ascii="宋体" w:hAnsi="宋体" w:cs="宋体"/>
          <w:b/>
          <w:bCs/>
          <w:spacing w:val="-9"/>
          <w:sz w:val="28"/>
          <w:szCs w:val="28"/>
        </w:rPr>
        <w:t>三条 合同变更及解除</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甲乙双方均不得随意变更或解除合同。经双方协商一致，可以变更或解除合同，双方另签书面补充合同，补充合同与本合同具有同等法律效力。</w:t>
      </w:r>
    </w:p>
    <w:p>
      <w:pPr>
        <w:pStyle w:val="3"/>
        <w:spacing w:line="560" w:lineRule="exact"/>
        <w:ind w:firstLine="526" w:firstLineChars="200"/>
        <w:rPr>
          <w:rFonts w:hint="eastAsia" w:ascii="宋体" w:hAnsi="宋体" w:cs="宋体"/>
          <w:b/>
          <w:bCs/>
          <w:spacing w:val="-9"/>
          <w:sz w:val="28"/>
          <w:szCs w:val="28"/>
        </w:rPr>
      </w:pPr>
      <w:r>
        <w:rPr>
          <w:rFonts w:hint="eastAsia" w:ascii="宋体" w:hAnsi="宋体" w:cs="宋体"/>
          <w:b/>
          <w:bCs/>
          <w:spacing w:val="-9"/>
          <w:sz w:val="28"/>
          <w:szCs w:val="28"/>
        </w:rPr>
        <w:t>第</w:t>
      </w:r>
      <w:r>
        <w:rPr>
          <w:rFonts w:hint="eastAsia" w:ascii="宋体" w:hAnsi="宋体" w:cs="宋体"/>
          <w:b/>
          <w:bCs/>
          <w:spacing w:val="-9"/>
          <w:sz w:val="28"/>
          <w:szCs w:val="28"/>
          <w:lang w:eastAsia="zh-Hans"/>
        </w:rPr>
        <w:t>十</w:t>
      </w:r>
      <w:r>
        <w:rPr>
          <w:rFonts w:hint="eastAsia" w:ascii="宋体" w:hAnsi="宋体" w:cs="宋体"/>
          <w:b/>
          <w:bCs/>
          <w:spacing w:val="-9"/>
          <w:sz w:val="28"/>
          <w:szCs w:val="28"/>
        </w:rPr>
        <w:t>四条 解决合同争议的方式</w:t>
      </w:r>
    </w:p>
    <w:p>
      <w:pPr>
        <w:spacing w:line="560" w:lineRule="exact"/>
        <w:ind w:firstLine="524" w:firstLineChars="200"/>
        <w:rPr>
          <w:rFonts w:hint="eastAsia" w:ascii="宋体" w:hAnsi="宋体" w:cs="宋体"/>
          <w:sz w:val="28"/>
          <w:szCs w:val="28"/>
        </w:rPr>
      </w:pPr>
      <w:r>
        <w:rPr>
          <w:rFonts w:hint="eastAsia" w:ascii="宋体" w:hAnsi="宋体" w:cs="宋体"/>
          <w:spacing w:val="-9"/>
          <w:sz w:val="28"/>
          <w:szCs w:val="28"/>
        </w:rPr>
        <w:t>因本合同引起的或与本合同有关的任何争议，甲乙双方应及时协商解决，协商不成时，任何一方有权向甲方所在地人民法院提起诉讼。</w:t>
      </w:r>
      <w:r>
        <w:rPr>
          <w:rFonts w:hint="eastAsia" w:ascii="宋体" w:hAnsi="宋体" w:cs="宋体"/>
          <w:sz w:val="28"/>
          <w:szCs w:val="28"/>
          <w:lang w:eastAsia="zh-Hans"/>
        </w:rPr>
        <w:t>因诉讼产生的律师费、诉讼费、差旅费等合理支出由违约方承担。</w:t>
      </w:r>
    </w:p>
    <w:p>
      <w:pPr>
        <w:pStyle w:val="3"/>
        <w:spacing w:line="560" w:lineRule="exact"/>
        <w:ind w:firstLine="526" w:firstLineChars="200"/>
        <w:rPr>
          <w:rFonts w:hint="eastAsia" w:ascii="宋体" w:hAnsi="宋体" w:cs="宋体"/>
          <w:b/>
          <w:bCs/>
          <w:spacing w:val="-9"/>
          <w:sz w:val="28"/>
          <w:szCs w:val="28"/>
        </w:rPr>
      </w:pPr>
      <w:r>
        <w:rPr>
          <w:rFonts w:hint="eastAsia" w:ascii="宋体" w:hAnsi="宋体" w:cs="宋体"/>
          <w:b/>
          <w:bCs/>
          <w:spacing w:val="-9"/>
          <w:sz w:val="28"/>
          <w:szCs w:val="28"/>
        </w:rPr>
        <w:t>第十五条 其他约定事项</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1.甲乙双方对本合同的内容具有保密义务，任何一方不得将本合同的内容告知第三方。</w:t>
      </w:r>
    </w:p>
    <w:p>
      <w:pPr>
        <w:pStyle w:val="3"/>
        <w:spacing w:line="560" w:lineRule="exact"/>
        <w:ind w:firstLine="524" w:firstLineChars="200"/>
        <w:rPr>
          <w:rFonts w:hint="eastAsia" w:ascii="宋体" w:hAnsi="宋体" w:cs="宋体"/>
          <w:sz w:val="28"/>
          <w:szCs w:val="28"/>
          <w:u w:val="single"/>
        </w:rPr>
      </w:pPr>
      <w:r>
        <w:rPr>
          <w:rFonts w:hint="eastAsia" w:ascii="宋体" w:hAnsi="宋体" w:cs="宋体"/>
          <w:spacing w:val="-9"/>
          <w:sz w:val="28"/>
          <w:szCs w:val="28"/>
        </w:rPr>
        <w:t>2.</w:t>
      </w:r>
      <w:r>
        <w:rPr>
          <w:rFonts w:hint="eastAsia" w:ascii="宋体" w:hAnsi="宋体" w:cs="宋体"/>
          <w:sz w:val="28"/>
          <w:szCs w:val="28"/>
        </w:rPr>
        <w:t>具体合同附件：</w:t>
      </w:r>
      <w:r>
        <w:rPr>
          <w:rFonts w:hint="eastAsia" w:ascii="宋体" w:hAnsi="宋体" w:cs="宋体"/>
          <w:sz w:val="28"/>
          <w:szCs w:val="28"/>
          <w:u w:val="single"/>
          <w:lang w:val="en-US" w:eastAsia="zh-CN"/>
        </w:rPr>
        <w:t>以实际附件为准</w:t>
      </w:r>
      <w:r>
        <w:rPr>
          <w:rFonts w:hint="eastAsia" w:ascii="宋体" w:hAnsi="宋体" w:cs="宋体"/>
          <w:sz w:val="28"/>
          <w:szCs w:val="28"/>
          <w:u w:val="single"/>
        </w:rPr>
        <w:t>。</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3.补充约定:</w:t>
      </w:r>
    </w:p>
    <w:p>
      <w:pPr>
        <w:pStyle w:val="3"/>
        <w:spacing w:line="560" w:lineRule="exact"/>
        <w:ind w:firstLine="524" w:firstLineChars="200"/>
        <w:rPr>
          <w:rFonts w:ascii="宋体" w:hAnsi="宋体" w:cs="宋体"/>
          <w:sz w:val="28"/>
          <w:szCs w:val="28"/>
        </w:rPr>
      </w:pPr>
      <w:r>
        <w:rPr>
          <w:rFonts w:hint="eastAsia" w:ascii="宋体" w:hAnsi="宋体" w:cs="宋体"/>
          <w:spacing w:val="-9"/>
          <w:sz w:val="28"/>
          <w:szCs w:val="28"/>
        </w:rPr>
        <w:t>（1）</w:t>
      </w:r>
      <w:r>
        <w:rPr>
          <w:rFonts w:hint="eastAsia" w:ascii="宋体" w:hAnsi="宋体" w:cs="宋体"/>
          <w:sz w:val="28"/>
          <w:szCs w:val="28"/>
        </w:rPr>
        <w:t>如遇紧急情况乙方无法满足配送要求，甲方可委托其他供应商进行配送。</w:t>
      </w:r>
    </w:p>
    <w:p>
      <w:pPr>
        <w:pStyle w:val="3"/>
        <w:spacing w:line="560" w:lineRule="exact"/>
        <w:ind w:firstLine="560" w:firstLineChars="200"/>
        <w:rPr>
          <w:rFonts w:hint="eastAsia" w:ascii="宋体" w:hAnsi="宋体" w:cs="宋体"/>
          <w:spacing w:val="-9"/>
          <w:sz w:val="28"/>
          <w:szCs w:val="28"/>
          <w:u w:val="single"/>
        </w:rPr>
      </w:pPr>
      <w:r>
        <w:rPr>
          <w:rFonts w:hint="eastAsia" w:ascii="宋体" w:hAnsi="宋体" w:cs="宋体"/>
          <w:sz w:val="28"/>
          <w:szCs w:val="28"/>
        </w:rPr>
        <w:t>（2）乙方保证货物质量并承担因产品本身质量问题给甲方造成的经济损失(人为对产品造成质量损坏除外);如出现危及到人身健康及安全的质量问题，甲方将追究其法律责任，要求乙方赔偿甲方受到的经济损失,并收取乙方履约保证金50000元以视处罚。</w:t>
      </w:r>
    </w:p>
    <w:p>
      <w:pPr>
        <w:pStyle w:val="3"/>
        <w:spacing w:line="560" w:lineRule="exact"/>
        <w:ind w:firstLine="526" w:firstLineChars="200"/>
        <w:rPr>
          <w:rFonts w:hint="eastAsia" w:ascii="宋体" w:hAnsi="宋体" w:cs="宋体"/>
          <w:b/>
          <w:bCs/>
          <w:spacing w:val="-9"/>
          <w:sz w:val="28"/>
          <w:szCs w:val="28"/>
        </w:rPr>
      </w:pPr>
      <w:r>
        <w:rPr>
          <w:rFonts w:hint="eastAsia" w:ascii="宋体" w:hAnsi="宋体" w:cs="宋体"/>
          <w:b/>
          <w:bCs/>
          <w:spacing w:val="-9"/>
          <w:sz w:val="28"/>
          <w:szCs w:val="28"/>
        </w:rPr>
        <w:t>第十六条 附则</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1. 本合同经双方签字、盖章后生效。合同内容如国家法律、法规及政策另有规定的，从其规定。</w:t>
      </w:r>
    </w:p>
    <w:p>
      <w:pPr>
        <w:pStyle w:val="3"/>
        <w:spacing w:line="560" w:lineRule="exact"/>
        <w:ind w:firstLine="524" w:firstLineChars="200"/>
        <w:rPr>
          <w:rFonts w:hint="eastAsia" w:ascii="宋体" w:hAnsi="宋体" w:cs="宋体"/>
          <w:spacing w:val="-9"/>
          <w:sz w:val="28"/>
          <w:szCs w:val="28"/>
        </w:rPr>
      </w:pPr>
      <w:r>
        <w:rPr>
          <w:rFonts w:hint="eastAsia" w:ascii="宋体" w:hAnsi="宋体" w:cs="宋体"/>
          <w:spacing w:val="-9"/>
          <w:sz w:val="28"/>
          <w:szCs w:val="28"/>
        </w:rPr>
        <w:t>2. 本合同壹式</w:t>
      </w:r>
      <w:r>
        <w:rPr>
          <w:rFonts w:hint="eastAsia" w:ascii="宋体" w:hAnsi="宋体" w:cs="宋体"/>
          <w:spacing w:val="-9"/>
          <w:sz w:val="28"/>
          <w:szCs w:val="28"/>
          <w:lang w:val="en-US" w:eastAsia="zh-CN"/>
        </w:rPr>
        <w:t>五</w:t>
      </w:r>
      <w:r>
        <w:rPr>
          <w:rFonts w:hint="eastAsia" w:ascii="宋体" w:hAnsi="宋体" w:cs="宋体"/>
          <w:spacing w:val="-9"/>
          <w:sz w:val="28"/>
          <w:szCs w:val="28"/>
        </w:rPr>
        <w:t>份，甲方执贰份、乙方执</w:t>
      </w:r>
      <w:r>
        <w:rPr>
          <w:rFonts w:hint="eastAsia" w:ascii="宋体" w:hAnsi="宋体" w:cs="宋体"/>
          <w:spacing w:val="-9"/>
          <w:sz w:val="28"/>
          <w:szCs w:val="28"/>
          <w:lang w:val="en-US" w:eastAsia="zh-CN"/>
        </w:rPr>
        <w:t>贰</w:t>
      </w:r>
      <w:r>
        <w:rPr>
          <w:rFonts w:hint="eastAsia" w:ascii="宋体" w:hAnsi="宋体" w:cs="宋体"/>
          <w:spacing w:val="-9"/>
          <w:sz w:val="28"/>
          <w:szCs w:val="28"/>
        </w:rPr>
        <w:t>份、招标代理机构执壹份，均具有同等法律效力。</w:t>
      </w:r>
    </w:p>
    <w:p>
      <w:pPr>
        <w:pStyle w:val="3"/>
        <w:spacing w:before="1" w:line="520" w:lineRule="exact"/>
        <w:ind w:left="220" w:right="232" w:firstLine="360"/>
        <w:rPr>
          <w:rFonts w:ascii="仿宋" w:hAnsi="仿宋" w:eastAsia="仿宋" w:cs="仿宋"/>
          <w:spacing w:val="-9"/>
        </w:rPr>
      </w:pPr>
    </w:p>
    <w:p>
      <w:pPr>
        <w:spacing w:line="500" w:lineRule="exact"/>
        <w:ind w:left="448" w:leftChars="140" w:right="-1" w:firstLine="0" w:firstLineChars="0"/>
        <w:rPr>
          <w:rFonts w:hint="eastAsia"/>
          <w:spacing w:val="-10"/>
          <w:sz w:val="24"/>
          <w:szCs w:val="24"/>
          <w:lang w:val="en-US"/>
        </w:rPr>
      </w:pPr>
    </w:p>
    <w:p>
      <w:pPr>
        <w:spacing w:line="500" w:lineRule="exact"/>
        <w:ind w:left="448" w:leftChars="140" w:right="-1" w:firstLine="0" w:firstLineChars="0"/>
        <w:rPr>
          <w:rFonts w:hint="eastAsia"/>
          <w:spacing w:val="-10"/>
          <w:sz w:val="24"/>
          <w:szCs w:val="24"/>
          <w:lang w:val="en-US"/>
        </w:rPr>
      </w:pPr>
    </w:p>
    <w:p>
      <w:pPr>
        <w:spacing w:line="500" w:lineRule="exact"/>
        <w:ind w:left="448" w:leftChars="140" w:right="-1" w:firstLine="0" w:firstLineChars="0"/>
        <w:rPr>
          <w:rFonts w:hint="eastAsia"/>
          <w:spacing w:val="-10"/>
          <w:sz w:val="24"/>
          <w:szCs w:val="24"/>
          <w:lang w:val="en-US"/>
        </w:rPr>
      </w:pPr>
    </w:p>
    <w:p>
      <w:pPr>
        <w:spacing w:line="500" w:lineRule="exact"/>
        <w:ind w:left="448" w:leftChars="140" w:right="-1" w:firstLine="0" w:firstLineChars="0"/>
        <w:rPr>
          <w:rFonts w:hint="eastAsia"/>
          <w:spacing w:val="-10"/>
          <w:sz w:val="24"/>
          <w:szCs w:val="24"/>
          <w:lang w:val="en-US"/>
        </w:rPr>
      </w:pPr>
    </w:p>
    <w:p>
      <w:pPr>
        <w:spacing w:line="500" w:lineRule="exact"/>
        <w:ind w:right="-1"/>
        <w:rPr>
          <w:rFonts w:hint="eastAsia" w:ascii="宋体" w:hAnsi="宋体" w:eastAsia="仿宋_GB2312" w:cs="宋体"/>
          <w:kern w:val="2"/>
          <w:sz w:val="28"/>
          <w:szCs w:val="28"/>
          <w:lang w:val="en-US" w:eastAsia="zh-CN" w:bidi="ar-SA"/>
        </w:rPr>
      </w:pPr>
      <w:r>
        <w:rPr>
          <w:rFonts w:hint="eastAsia" w:ascii="宋体" w:hAnsi="宋体" w:eastAsia="仿宋_GB2312" w:cs="宋体"/>
          <w:kern w:val="2"/>
          <w:sz w:val="28"/>
          <w:szCs w:val="28"/>
          <w:lang w:val="en-US" w:eastAsia="zh-CN" w:bidi="ar-SA"/>
        </w:rPr>
        <w:t>甲方：海南医科大学第一附属医院     乙方：</w:t>
      </w:r>
    </w:p>
    <w:p>
      <w:pPr>
        <w:spacing w:line="500" w:lineRule="exact"/>
        <w:ind w:right="-1"/>
        <w:rPr>
          <w:rFonts w:hint="eastAsia" w:ascii="宋体" w:hAnsi="宋体" w:eastAsia="仿宋_GB2312" w:cs="宋体"/>
          <w:kern w:val="2"/>
          <w:sz w:val="28"/>
          <w:szCs w:val="28"/>
          <w:lang w:val="en-US" w:eastAsia="zh-CN" w:bidi="ar-SA"/>
        </w:rPr>
      </w:pPr>
      <w:r>
        <w:rPr>
          <w:rFonts w:hint="eastAsia" w:ascii="宋体" w:hAnsi="宋体" w:cs="宋体"/>
          <w:kern w:val="2"/>
          <w:sz w:val="28"/>
          <w:szCs w:val="28"/>
          <w:lang w:val="en-US" w:eastAsia="zh-CN" w:bidi="ar-SA"/>
        </w:rPr>
        <w:t>（</w:t>
      </w:r>
      <w:r>
        <w:rPr>
          <w:rFonts w:hint="eastAsia" w:ascii="宋体" w:hAnsi="宋体" w:eastAsia="仿宋_GB2312" w:cs="宋体"/>
          <w:kern w:val="2"/>
          <w:sz w:val="28"/>
          <w:szCs w:val="28"/>
          <w:lang w:val="en-US" w:eastAsia="zh-CN" w:bidi="ar-SA"/>
        </w:rPr>
        <w:t xml:space="preserve">盖章）                         （盖章）  </w:t>
      </w:r>
    </w:p>
    <w:p>
      <w:pPr>
        <w:spacing w:line="500" w:lineRule="exact"/>
        <w:ind w:right="-1" w:firstLine="560" w:firstLineChars="200"/>
        <w:rPr>
          <w:rFonts w:hint="default" w:ascii="宋体" w:hAnsi="宋体" w:eastAsia="仿宋_GB2312" w:cs="宋体"/>
          <w:kern w:val="2"/>
          <w:sz w:val="28"/>
          <w:szCs w:val="28"/>
          <w:lang w:val="en-US" w:eastAsia="zh-CN" w:bidi="ar-SA"/>
        </w:rPr>
      </w:pPr>
    </w:p>
    <w:p>
      <w:pPr>
        <w:spacing w:line="500" w:lineRule="exact"/>
        <w:ind w:right="-1"/>
        <w:rPr>
          <w:rFonts w:hint="eastAsia" w:ascii="宋体" w:hAnsi="宋体" w:eastAsia="仿宋_GB2312" w:cs="宋体"/>
          <w:kern w:val="2"/>
          <w:sz w:val="28"/>
          <w:szCs w:val="28"/>
          <w:lang w:val="en-US" w:eastAsia="zh-CN" w:bidi="ar-SA"/>
        </w:rPr>
      </w:pPr>
      <w:r>
        <w:rPr>
          <w:rFonts w:hint="eastAsia" w:ascii="宋体" w:hAnsi="宋体" w:eastAsia="仿宋_GB2312" w:cs="宋体"/>
          <w:kern w:val="2"/>
          <w:sz w:val="28"/>
          <w:szCs w:val="28"/>
          <w:lang w:val="en-US" w:eastAsia="zh-CN" w:bidi="ar-SA"/>
        </w:rPr>
        <w:t>法定代表人/授权代表签字：       法定代表人/授权代表签字：</w:t>
      </w:r>
    </w:p>
    <w:p>
      <w:pPr>
        <w:spacing w:line="500" w:lineRule="exact"/>
        <w:ind w:right="-1" w:firstLine="560" w:firstLineChars="200"/>
        <w:rPr>
          <w:rFonts w:hint="eastAsia" w:ascii="宋体" w:hAnsi="宋体" w:eastAsia="仿宋_GB2312" w:cs="宋体"/>
          <w:kern w:val="2"/>
          <w:sz w:val="28"/>
          <w:szCs w:val="28"/>
          <w:lang w:val="en-US" w:eastAsia="zh-CN" w:bidi="ar-SA"/>
        </w:rPr>
      </w:pPr>
    </w:p>
    <w:p>
      <w:pPr>
        <w:widowControl/>
        <w:spacing w:line="500" w:lineRule="exact"/>
        <w:ind w:right="-1"/>
        <w:rPr>
          <w:rFonts w:hint="eastAsia" w:ascii="宋体" w:hAnsi="宋体" w:eastAsia="仿宋_GB2312" w:cs="宋体"/>
          <w:kern w:val="2"/>
          <w:sz w:val="28"/>
          <w:szCs w:val="28"/>
          <w:lang w:val="en-US" w:eastAsia="zh-CN" w:bidi="ar-SA"/>
        </w:rPr>
      </w:pPr>
      <w:r>
        <w:rPr>
          <w:rFonts w:hint="eastAsia" w:ascii="宋体" w:hAnsi="宋体" w:eastAsia="仿宋_GB2312" w:cs="宋体"/>
          <w:kern w:val="2"/>
          <w:sz w:val="28"/>
          <w:szCs w:val="28"/>
          <w:lang w:val="en-US" w:eastAsia="zh-CN" w:bidi="ar-SA"/>
        </w:rPr>
        <w:t xml:space="preserve">经办人：                   </w:t>
      </w:r>
    </w:p>
    <w:p>
      <w:pPr>
        <w:widowControl/>
        <w:spacing w:line="500" w:lineRule="exact"/>
        <w:ind w:right="-1"/>
        <w:rPr>
          <w:rFonts w:hint="eastAsia" w:ascii="宋体" w:hAnsi="宋体" w:eastAsia="仿宋_GB2312" w:cs="宋体"/>
          <w:kern w:val="2"/>
          <w:sz w:val="28"/>
          <w:szCs w:val="28"/>
          <w:lang w:val="zh-CN" w:eastAsia="zh-CN" w:bidi="ar-SA"/>
        </w:rPr>
      </w:pPr>
    </w:p>
    <w:p>
      <w:pPr>
        <w:pStyle w:val="3"/>
        <w:tabs>
          <w:tab w:val="left" w:pos="5139"/>
        </w:tabs>
        <w:spacing w:before="160" w:line="480" w:lineRule="exact"/>
        <w:rPr>
          <w:rFonts w:hint="eastAsia" w:ascii="宋体" w:hAnsi="宋体" w:eastAsia="仿宋_GB2312" w:cs="宋体"/>
          <w:kern w:val="2"/>
          <w:sz w:val="28"/>
          <w:szCs w:val="28"/>
          <w:lang w:val="zh-CN" w:eastAsia="zh-CN" w:bidi="ar-SA"/>
        </w:rPr>
      </w:pPr>
      <w:r>
        <w:rPr>
          <w:rFonts w:hint="eastAsia" w:ascii="宋体" w:hAnsi="宋体" w:eastAsia="仿宋_GB2312" w:cs="宋体"/>
          <w:kern w:val="2"/>
          <w:sz w:val="28"/>
          <w:szCs w:val="28"/>
          <w:lang w:val="en-US" w:eastAsia="zh-CN" w:bidi="ar-SA"/>
        </w:rPr>
        <w:t>招标</w:t>
      </w:r>
      <w:r>
        <w:rPr>
          <w:rFonts w:hint="eastAsia" w:ascii="宋体" w:hAnsi="宋体" w:eastAsia="仿宋_GB2312" w:cs="宋体"/>
          <w:kern w:val="2"/>
          <w:sz w:val="28"/>
          <w:szCs w:val="28"/>
          <w:lang w:val="zh-CN" w:eastAsia="zh-CN" w:bidi="ar-SA"/>
        </w:rPr>
        <w:t>代理机构：            （盖章）</w:t>
      </w:r>
    </w:p>
    <w:p>
      <w:pPr>
        <w:rPr>
          <w:rFonts w:hint="eastAsia" w:ascii="宋体" w:hAnsi="宋体" w:eastAsia="仿宋_GB2312" w:cs="宋体"/>
          <w:kern w:val="2"/>
          <w:sz w:val="28"/>
          <w:szCs w:val="28"/>
          <w:lang w:val="zh-CN" w:eastAsia="zh-CN" w:bidi="ar-SA"/>
        </w:rPr>
      </w:pPr>
    </w:p>
    <w:p>
      <w:pPr>
        <w:ind w:firstLine="3920" w:firstLineChars="1400"/>
        <w:rPr>
          <w:rFonts w:hint="default" w:ascii="宋体" w:hAnsi="宋体" w:eastAsia="仿宋_GB2312" w:cs="宋体"/>
          <w:kern w:val="2"/>
          <w:sz w:val="28"/>
          <w:szCs w:val="28"/>
          <w:lang w:val="en-US" w:eastAsia="zh-CN" w:bidi="ar-SA"/>
        </w:rPr>
      </w:pPr>
      <w:r>
        <w:rPr>
          <w:rFonts w:hint="eastAsia" w:ascii="宋体" w:hAnsi="宋体" w:eastAsia="仿宋_GB2312" w:cs="宋体"/>
          <w:kern w:val="2"/>
          <w:sz w:val="28"/>
          <w:szCs w:val="28"/>
          <w:lang w:val="en-US" w:eastAsia="zh-CN" w:bidi="ar-SA"/>
        </w:rPr>
        <w:t>签订日期：    年     月     日</w:t>
      </w:r>
    </w:p>
    <w:p>
      <w:pPr>
        <w:spacing w:line="600" w:lineRule="exact"/>
        <w:jc w:val="center"/>
        <w:rPr>
          <w:rFonts w:ascii="宋体" w:hAnsi="宋体"/>
          <w:color w:val="auto"/>
          <w:sz w:val="32"/>
          <w:szCs w:val="32"/>
          <w:highlight w:val="none"/>
        </w:rPr>
      </w:pPr>
    </w:p>
    <w:p>
      <w:pPr>
        <w:autoSpaceDE w:val="0"/>
        <w:autoSpaceDN w:val="0"/>
        <w:ind w:firstLine="497" w:firstLineChars="190"/>
        <w:jc w:val="left"/>
        <w:rPr>
          <w:rFonts w:hint="eastAsia" w:ascii="宋体" w:hAnsi="宋体" w:eastAsia="仿宋_GB2312" w:cs="宋体"/>
          <w:spacing w:val="-9"/>
          <w:kern w:val="2"/>
          <w:sz w:val="28"/>
          <w:szCs w:val="28"/>
          <w:lang w:val="en-US" w:eastAsia="zh-CN" w:bidi="ar-SA"/>
        </w:rPr>
      </w:pPr>
    </w:p>
    <w:p>
      <w:pPr>
        <w:autoSpaceDE w:val="0"/>
        <w:autoSpaceDN w:val="0"/>
        <w:ind w:firstLine="497" w:firstLineChars="190"/>
        <w:jc w:val="left"/>
        <w:rPr>
          <w:rFonts w:hint="eastAsia" w:ascii="宋体" w:hAnsi="宋体" w:eastAsia="仿宋_GB2312" w:cs="宋体"/>
          <w:spacing w:val="-9"/>
          <w:kern w:val="2"/>
          <w:sz w:val="28"/>
          <w:szCs w:val="28"/>
          <w:lang w:val="en-US" w:eastAsia="zh-CN" w:bidi="ar-SA"/>
        </w:rPr>
      </w:pPr>
      <w:r>
        <w:rPr>
          <w:rFonts w:hint="eastAsia" w:ascii="宋体" w:hAnsi="宋体" w:eastAsia="仿宋_GB2312" w:cs="宋体"/>
          <w:spacing w:val="-9"/>
          <w:kern w:val="2"/>
          <w:sz w:val="28"/>
          <w:szCs w:val="28"/>
          <w:lang w:val="en-US" w:eastAsia="zh-CN" w:bidi="ar-SA"/>
        </w:rPr>
        <w:t>附件1：中标（成交）通知书</w:t>
      </w:r>
    </w:p>
    <w:p>
      <w:pPr>
        <w:autoSpaceDE w:val="0"/>
        <w:autoSpaceDN w:val="0"/>
        <w:ind w:firstLine="497" w:firstLineChars="190"/>
        <w:jc w:val="left"/>
        <w:rPr>
          <w:rFonts w:hint="eastAsia" w:ascii="宋体" w:hAnsi="宋体" w:eastAsia="仿宋_GB2312" w:cs="宋体"/>
          <w:spacing w:val="-9"/>
          <w:kern w:val="2"/>
          <w:sz w:val="28"/>
          <w:szCs w:val="28"/>
          <w:lang w:val="en-US" w:eastAsia="zh-CN" w:bidi="ar-SA"/>
        </w:rPr>
      </w:pPr>
    </w:p>
    <w:p>
      <w:pPr>
        <w:autoSpaceDE w:val="0"/>
        <w:autoSpaceDN w:val="0"/>
        <w:ind w:firstLine="497" w:firstLineChars="190"/>
        <w:jc w:val="left"/>
        <w:rPr>
          <w:rFonts w:hint="eastAsia" w:ascii="宋体" w:hAnsi="宋体" w:eastAsia="仿宋_GB2312" w:cs="宋体"/>
          <w:spacing w:val="-9"/>
          <w:kern w:val="2"/>
          <w:sz w:val="28"/>
          <w:szCs w:val="28"/>
          <w:lang w:val="en-US" w:eastAsia="zh-CN" w:bidi="ar-SA"/>
        </w:rPr>
      </w:pPr>
      <w:r>
        <w:rPr>
          <w:rFonts w:hint="eastAsia" w:ascii="宋体" w:hAnsi="宋体" w:eastAsia="仿宋_GB2312" w:cs="宋体"/>
          <w:spacing w:val="-9"/>
          <w:kern w:val="2"/>
          <w:sz w:val="28"/>
          <w:szCs w:val="28"/>
          <w:lang w:val="en-US" w:eastAsia="zh-CN" w:bidi="ar-SA"/>
        </w:rPr>
        <w:t>附件2：技术、需求响应表</w:t>
      </w:r>
    </w:p>
    <w:p>
      <w:pPr>
        <w:autoSpaceDE w:val="0"/>
        <w:autoSpaceDN w:val="0"/>
        <w:ind w:firstLine="497" w:firstLineChars="190"/>
        <w:jc w:val="left"/>
        <w:rPr>
          <w:rFonts w:hint="eastAsia" w:ascii="宋体" w:hAnsi="宋体" w:eastAsia="仿宋_GB2312" w:cs="宋体"/>
          <w:spacing w:val="-9"/>
          <w:kern w:val="2"/>
          <w:sz w:val="28"/>
          <w:szCs w:val="28"/>
          <w:lang w:val="en-US" w:eastAsia="zh-CN" w:bidi="ar-SA"/>
        </w:rPr>
      </w:pPr>
    </w:p>
    <w:p>
      <w:pPr>
        <w:snapToGrid w:val="0"/>
        <w:spacing w:before="19" w:line="360" w:lineRule="exact"/>
        <w:ind w:firstLine="497" w:firstLineChars="190"/>
        <w:rPr>
          <w:rFonts w:hint="eastAsia" w:ascii="宋体" w:hAnsi="宋体" w:eastAsia="仿宋_GB2312" w:cs="宋体"/>
          <w:spacing w:val="-9"/>
          <w:kern w:val="2"/>
          <w:sz w:val="28"/>
          <w:szCs w:val="28"/>
          <w:lang w:val="en-US" w:eastAsia="zh-CN" w:bidi="ar-SA"/>
        </w:rPr>
      </w:pPr>
      <w:r>
        <w:rPr>
          <w:rFonts w:hint="eastAsia" w:ascii="宋体" w:hAnsi="宋体" w:eastAsia="仿宋_GB2312" w:cs="宋体"/>
          <w:spacing w:val="-9"/>
          <w:kern w:val="2"/>
          <w:sz w:val="28"/>
          <w:szCs w:val="28"/>
          <w:lang w:val="en-US" w:eastAsia="zh-CN" w:bidi="ar-SA"/>
        </w:rPr>
        <w:t>附件3：中标产品清单（包含价格、品牌、规格、型号等）</w:t>
      </w:r>
    </w:p>
    <w:p>
      <w:pPr>
        <w:widowControl/>
        <w:jc w:val="left"/>
        <w:rPr>
          <w:rFonts w:hint="eastAsia" w:ascii="宋体" w:hAnsi="宋体" w:eastAsia="仿宋_GB2312" w:cs="宋体"/>
          <w:spacing w:val="-9"/>
          <w:kern w:val="2"/>
          <w:sz w:val="28"/>
          <w:szCs w:val="28"/>
          <w:lang w:val="en-US" w:eastAsia="zh-CN" w:bidi="ar-S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modern"/>
    <w:pitch w:val="default"/>
    <w:sig w:usb0="00000000" w:usb1="00000000" w:usb2="00000000" w:usb3="00000000" w:csb0="00040000" w:csb1="00000000"/>
  </w:font>
  <w:font w:name="新宋体">
    <w:altName w:val="方正书宋_GBK"/>
    <w:panose1 w:val="02010609030101010101"/>
    <w:charset w:val="00"/>
    <w:family w:val="modern"/>
    <w:pitch w:val="default"/>
    <w:sig w:usb0="00000000" w:usb1="00000000" w:usb2="00000006" w:usb3="00000000" w:csb0="00040001" w:csb1="00000000"/>
  </w:font>
  <w:font w:name="楷体_GB2312">
    <w:altName w:val="汉仪楷体简"/>
    <w:panose1 w:val="02010609030101010101"/>
    <w:charset w:val="00"/>
    <w:family w:val="modern"/>
    <w:pitch w:val="default"/>
    <w:sig w:usb0="00000000" w:usb1="00000000" w:usb2="00000000" w:usb3="00000000" w:csb0="00040000" w:csb1="00000000"/>
  </w:font>
  <w:font w:name="隶书">
    <w:altName w:val="报隶-简"/>
    <w:panose1 w:val="02010509060101010101"/>
    <w:charset w:val="00"/>
    <w:family w:val="modern"/>
    <w:pitch w:val="default"/>
    <w:sig w:usb0="00000000" w:usb1="00000000" w:usb2="00000000" w:usb3="00000000" w:csb0="00040000" w:csb1="00000000"/>
  </w:font>
  <w:font w:name="仿宋">
    <w:altName w:val="方正仿宋_GBK"/>
    <w:panose1 w:val="02010609060101010101"/>
    <w:charset w:val="00"/>
    <w:family w:val="roma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报隶-简">
    <w:panose1 w:val="02010600040101010101"/>
    <w:charset w:val="86"/>
    <w:family w:val="auto"/>
    <w:pitch w:val="default"/>
    <w:sig w:usb0="80000287" w:usb1="280F3C52" w:usb2="00000016" w:usb3="00000000" w:csb0="0004001F"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方正书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693FF3"/>
    <w:rsid w:val="5EF57527"/>
    <w:rsid w:val="7F693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caption"/>
    <w:basedOn w:val="1"/>
    <w:next w:val="1"/>
    <w:qFormat/>
    <w:uiPriority w:val="0"/>
    <w:rPr>
      <w:rFonts w:ascii="Arial" w:hAnsi="Arial" w:eastAsia="黑体"/>
      <w:sz w:val="20"/>
    </w:rPr>
  </w:style>
  <w:style w:type="paragraph" w:styleId="3">
    <w:name w:val="Body Text"/>
    <w:basedOn w:val="1"/>
    <w:next w:val="1"/>
    <w:qFormat/>
    <w:uiPriority w:val="0"/>
    <w:pPr>
      <w:spacing w:after="120" w:afterLines="0"/>
    </w:pPr>
  </w:style>
  <w:style w:type="paragraph" w:styleId="4">
    <w:name w:val="header"/>
    <w:basedOn w:val="1"/>
    <w:next w:val="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分类号"/>
    <w:basedOn w:val="1"/>
    <w:qFormat/>
    <w:uiPriority w:val="0"/>
    <w:pPr>
      <w:autoSpaceDE/>
      <w:autoSpaceDN/>
      <w:spacing w:before="0" w:after="0" w:line="240" w:lineRule="auto"/>
      <w:ind w:left="0" w:right="0"/>
      <w:jc w:val="both"/>
    </w:pPr>
    <w:rPr>
      <w:rFonts w:ascii="仿宋_GB2312" w:hAnsi="Times New Roman" w:eastAsia="仿宋_GB2312" w:cs="Times New Roman"/>
      <w:kern w:val="2"/>
      <w:sz w:val="28"/>
      <w:szCs w:val="28"/>
      <w:lang w:val="en-US" w:bidi="ar-SA"/>
    </w:rPr>
  </w:style>
  <w:style w:type="paragraph" w:customStyle="1" w:styleId="9">
    <w:name w:val="硕士学位论文"/>
    <w:basedOn w:val="1"/>
    <w:qFormat/>
    <w:uiPriority w:val="0"/>
    <w:pPr>
      <w:autoSpaceDE/>
      <w:autoSpaceDN/>
      <w:spacing w:before="240" w:after="0" w:line="240" w:lineRule="auto"/>
      <w:ind w:left="0" w:right="0"/>
      <w:jc w:val="center"/>
    </w:pPr>
    <w:rPr>
      <w:rFonts w:ascii="Times New Roman" w:hAnsi="Times New Roman" w:eastAsia="宋体" w:cs="Times New Roman"/>
      <w:kern w:val="2"/>
      <w:sz w:val="44"/>
      <w:szCs w:val="44"/>
      <w:lang w:val="en-US" w:bidi="ar-SA"/>
    </w:rPr>
  </w:style>
  <w:style w:type="paragraph" w:customStyle="1" w:styleId="10">
    <w:name w:val="论文标题"/>
    <w:basedOn w:val="1"/>
    <w:qFormat/>
    <w:uiPriority w:val="0"/>
    <w:pPr>
      <w:autoSpaceDE/>
      <w:autoSpaceDN/>
      <w:spacing w:before="0" w:after="0" w:line="240" w:lineRule="auto"/>
      <w:ind w:left="0" w:right="0"/>
      <w:jc w:val="center"/>
    </w:pPr>
    <w:rPr>
      <w:rFonts w:ascii="Times New Roman" w:hAnsi="Times New Roman" w:eastAsia="楷体_GB2312" w:cs="Times New Roman"/>
      <w:b/>
      <w:kern w:val="36"/>
      <w:sz w:val="52"/>
      <w:szCs w:val="52"/>
      <w:lang w:val="en-US" w:bidi="ar-SA"/>
    </w:rPr>
  </w:style>
  <w:style w:type="paragraph" w:customStyle="1" w:styleId="11">
    <w:name w:val="研究生姓名"/>
    <w:basedOn w:val="1"/>
    <w:qFormat/>
    <w:uiPriority w:val="0"/>
    <w:pPr>
      <w:autoSpaceDE/>
      <w:autoSpaceDN/>
      <w:spacing w:before="0" w:after="0" w:line="240" w:lineRule="auto"/>
      <w:ind w:left="0" w:right="0" w:firstLine="700" w:firstLineChars="700"/>
      <w:jc w:val="both"/>
    </w:pPr>
    <w:rPr>
      <w:rFonts w:ascii="Times New Roman" w:hAnsi="Times New Roman" w:eastAsia="宋体" w:cs="Times New Roman"/>
      <w:kern w:val="2"/>
      <w:sz w:val="28"/>
      <w:szCs w:val="28"/>
      <w:lang w:val="en-US" w:bidi="ar-SA"/>
    </w:rPr>
  </w:style>
  <w:style w:type="paragraph" w:customStyle="1" w:styleId="12">
    <w:name w:val="封面日期"/>
    <w:basedOn w:val="1"/>
    <w:qFormat/>
    <w:uiPriority w:val="0"/>
    <w:pPr>
      <w:autoSpaceDE/>
      <w:autoSpaceDN/>
      <w:spacing w:before="0" w:after="0" w:line="240" w:lineRule="auto"/>
      <w:ind w:left="0" w:right="0"/>
      <w:jc w:val="center"/>
    </w:pPr>
    <w:rPr>
      <w:rFonts w:ascii="黑体" w:hAnsi="Times New Roman" w:eastAsia="黑体" w:cs="Times New Roman"/>
      <w:kern w:val="2"/>
      <w:sz w:val="32"/>
      <w:szCs w:val="32"/>
      <w:lang w:val="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2026-03-20T23:22:00Z</dcterms:created>
  <dc:creator>ring凤澄</dc:creator>
  <cp:lastModifiedBy>ring凤澄</cp:lastModifiedBy>
  <dcterms:modified xsi:type="dcterms:W3CDTF">2026-03-20T15:33:49Z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FFA324081F131817AEF5BC69DDE80D9B_41</vt:lpwstr>
  </property>
</Properties>
</file>