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F2B5A">
      <w:pPr>
        <w:snapToGrid w:val="0"/>
        <w:jc w:val="center"/>
        <w:rPr>
          <w:rFonts w:ascii="宋体" w:hAnsi="宋体" w:cs="Lucida Sans Unicode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Lucida Sans Unicode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技术响应表</w:t>
      </w:r>
    </w:p>
    <w:p w14:paraId="00320384">
      <w:pPr>
        <w:snapToGrid w:val="0"/>
        <w:ind w:firstLine="446" w:firstLineChars="148"/>
        <w:jc w:val="center"/>
        <w:rPr>
          <w:rFonts w:ascii="宋体" w:hAnsi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55227BBF">
      <w:pPr>
        <w:spacing w:line="360" w:lineRule="auto"/>
        <w:ind w:firstLine="480" w:firstLineChars="200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必须仔细阅读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招标文件“第三章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采购需求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”要求在《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响应表》中需要进行响应的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条款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即：第三章 采购需求-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二、技术和服务要求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-技术参数与性能指标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上述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条款的响应情况逐项列入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该表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以及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对其响应情况进行说明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未列入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该表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的视作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不响应。</w:t>
      </w:r>
    </w:p>
    <w:p w14:paraId="625F77C2">
      <w:pPr>
        <w:spacing w:line="360" w:lineRule="auto"/>
        <w:ind w:firstLine="482" w:firstLineChars="20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必须根据</w:t>
      </w: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标的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的实际情况如实填写，</w:t>
      </w: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评标委员会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如发现有虚假描述的，该</w:t>
      </w: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投标文件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作无效</w:t>
      </w:r>
      <w:r>
        <w:rPr>
          <w:rFonts w:hint="eastAsia" w:ascii="宋体" w:hAnsi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投标文件</w:t>
      </w:r>
      <w:r>
        <w:rPr>
          <w:rFonts w:hint="eastAsia" w:ascii="宋体" w:hAnsi="宋体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处理。</w:t>
      </w:r>
    </w:p>
    <w:tbl>
      <w:tblPr>
        <w:tblStyle w:val="2"/>
        <w:tblW w:w="9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2251"/>
        <w:gridCol w:w="2251"/>
        <w:gridCol w:w="1902"/>
        <w:gridCol w:w="1287"/>
        <w:gridCol w:w="1051"/>
      </w:tblGrid>
      <w:tr w14:paraId="201A4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348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483F5BC3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3761CB98">
            <w:pPr>
              <w:snapToGrid w:val="0"/>
              <w:jc w:val="center"/>
              <w:rPr>
                <w:rFonts w:hint="default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标的名称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05EDBA49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条款描述</w:t>
            </w:r>
          </w:p>
        </w:tc>
        <w:tc>
          <w:tcPr>
            <w:tcW w:w="190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6ACC12B8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投标人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响应情况描述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7CB6B18C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响应情况说明（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＋/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=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05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4CCE62C1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CC47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348" w:type="dxa"/>
            <w:noWrap w:val="0"/>
            <w:vAlign w:val="center"/>
          </w:tcPr>
          <w:p w14:paraId="2F0C0288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51" w:type="dxa"/>
            <w:vMerge w:val="restart"/>
            <w:noWrap w:val="0"/>
            <w:vAlign w:val="center"/>
          </w:tcPr>
          <w:p w14:paraId="06D77719">
            <w:pPr>
              <w:snapToGrid w:val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C99000000-其他服务</w:t>
            </w:r>
          </w:p>
        </w:tc>
        <w:tc>
          <w:tcPr>
            <w:tcW w:w="2251" w:type="dxa"/>
            <w:noWrap w:val="0"/>
            <w:vAlign w:val="center"/>
          </w:tcPr>
          <w:p w14:paraId="7F33ADC5">
            <w:pPr>
              <w:snapToGrid w:val="0"/>
              <w:spacing w:line="160" w:lineRule="atLeast"/>
              <w:rPr>
                <w:rFonts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center"/>
          </w:tcPr>
          <w:p w14:paraId="6C804E42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noWrap w:val="0"/>
            <w:vAlign w:val="center"/>
          </w:tcPr>
          <w:p w14:paraId="753648D8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1" w:type="dxa"/>
            <w:noWrap w:val="0"/>
            <w:vAlign w:val="center"/>
          </w:tcPr>
          <w:p w14:paraId="190F0E74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6EC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555FB12F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51" w:type="dxa"/>
            <w:vMerge w:val="continue"/>
            <w:noWrap w:val="0"/>
            <w:vAlign w:val="center"/>
          </w:tcPr>
          <w:p w14:paraId="1E743741">
            <w:pPr>
              <w:snapToGrid w:val="0"/>
              <w:spacing w:line="160" w:lineRule="atLeast"/>
              <w:rPr>
                <w:rFonts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1" w:type="dxa"/>
            <w:noWrap w:val="0"/>
            <w:vAlign w:val="center"/>
          </w:tcPr>
          <w:p w14:paraId="4AA8677D">
            <w:pPr>
              <w:snapToGrid w:val="0"/>
              <w:spacing w:line="160" w:lineRule="atLeast"/>
              <w:rPr>
                <w:rFonts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center"/>
          </w:tcPr>
          <w:p w14:paraId="1538A07C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noWrap w:val="0"/>
            <w:vAlign w:val="center"/>
          </w:tcPr>
          <w:p w14:paraId="596055EA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1" w:type="dxa"/>
            <w:noWrap w:val="0"/>
            <w:vAlign w:val="center"/>
          </w:tcPr>
          <w:p w14:paraId="04DCA7B8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E49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1D0C9ED2"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3</w:t>
            </w:r>
          </w:p>
        </w:tc>
        <w:tc>
          <w:tcPr>
            <w:tcW w:w="2251" w:type="dxa"/>
            <w:vMerge w:val="continue"/>
            <w:noWrap w:val="0"/>
            <w:vAlign w:val="center"/>
          </w:tcPr>
          <w:p w14:paraId="4189ED5B">
            <w:pPr>
              <w:snapToGrid w:val="0"/>
              <w:spacing w:line="160" w:lineRule="atLeast"/>
              <w:rPr>
                <w:rFonts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1" w:type="dxa"/>
            <w:noWrap w:val="0"/>
            <w:vAlign w:val="center"/>
          </w:tcPr>
          <w:p w14:paraId="5DACE881">
            <w:pPr>
              <w:snapToGrid w:val="0"/>
              <w:spacing w:line="160" w:lineRule="atLeast"/>
              <w:rPr>
                <w:rFonts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center"/>
          </w:tcPr>
          <w:p w14:paraId="435518EC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noWrap w:val="0"/>
            <w:vAlign w:val="center"/>
          </w:tcPr>
          <w:p w14:paraId="5CA93BDA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1" w:type="dxa"/>
            <w:noWrap w:val="0"/>
            <w:vAlign w:val="center"/>
          </w:tcPr>
          <w:p w14:paraId="3DBA7C18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4F7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64075BA2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251" w:type="dxa"/>
            <w:vMerge w:val="continue"/>
            <w:noWrap w:val="0"/>
            <w:vAlign w:val="center"/>
          </w:tcPr>
          <w:p w14:paraId="63F5A67D">
            <w:pPr>
              <w:snapToGrid w:val="0"/>
              <w:spacing w:line="160" w:lineRule="atLeast"/>
              <w:rPr>
                <w:rFonts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1" w:type="dxa"/>
            <w:noWrap w:val="0"/>
            <w:vAlign w:val="center"/>
          </w:tcPr>
          <w:p w14:paraId="0078FE88">
            <w:pPr>
              <w:snapToGrid w:val="0"/>
              <w:spacing w:line="160" w:lineRule="atLeast"/>
              <w:rPr>
                <w:rFonts w:ascii="宋体" w:hAnsi="宋体" w:cs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02" w:type="dxa"/>
            <w:noWrap w:val="0"/>
            <w:vAlign w:val="center"/>
          </w:tcPr>
          <w:p w14:paraId="07F68703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noWrap w:val="0"/>
            <w:vAlign w:val="center"/>
          </w:tcPr>
          <w:p w14:paraId="558DA75A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1" w:type="dxa"/>
            <w:noWrap w:val="0"/>
            <w:vAlign w:val="center"/>
          </w:tcPr>
          <w:p w14:paraId="4B8A50E1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13D8E5F">
      <w:pPr>
        <w:spacing w:line="360" w:lineRule="auto"/>
        <w:ind w:firstLine="360" w:firstLineChars="200"/>
        <w:rPr>
          <w:rFonts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2DA3B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注：1</w:t>
      </w:r>
      <w:r>
        <w:rPr>
          <w:rFonts w:hint="eastAsia" w:ascii="宋体" w:hAnsi="宋体" w:eastAsia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此表为表样，行数可自行添加，但表式不变。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ab/>
      </w:r>
    </w:p>
    <w:p w14:paraId="2B6BC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招标文件“第三章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 采购需求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”未要求在该表中进行响应的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条款，投标人无需填写；可是，</w:t>
      </w:r>
      <w:r>
        <w:rPr>
          <w:rFonts w:hint="eastAsia" w:ascii="宋体" w:hAnsi="宋体" w:eastAsia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宋体" w:hAnsi="宋体" w:eastAsia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项目情况需要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添加的设备、材料</w:t>
      </w:r>
      <w:r>
        <w:rPr>
          <w:rFonts w:hint="eastAsia" w:ascii="宋体" w:hAnsi="宋体" w:eastAsia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、服务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宋体" w:hAnsi="宋体" w:eastAsia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列出</w:t>
      </w:r>
      <w:r>
        <w:rPr>
          <w:rFonts w:hint="eastAsia" w:ascii="宋体" w:hAnsi="宋体"/>
          <w:color w:val="000000" w:themeColor="text1"/>
          <w:sz w:val="18"/>
          <w:szCs w:val="18"/>
          <w:lang w:val="en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但不作为无效投标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的依据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。</w:t>
      </w:r>
    </w:p>
    <w:p w14:paraId="7F537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请在“</w:t>
      </w:r>
      <w:r>
        <w:rPr>
          <w:rFonts w:hint="eastAsia" w:ascii="宋体" w:hAnsi="宋体" w:eastAsia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响应情况描述” 中列出</w:t>
      </w:r>
      <w:r>
        <w:rPr>
          <w:rFonts w:hint="eastAsia" w:ascii="宋体" w:hAnsi="宋体" w:eastAsia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标的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的详细参数情况。</w:t>
      </w:r>
    </w:p>
    <w:p w14:paraId="706D3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“响应情况说明”应按下列规定填写</w:t>
      </w:r>
      <w:r>
        <w:rPr>
          <w:rFonts w:hint="eastAsia" w:ascii="宋体" w:hAnsi="宋体" w:eastAsia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对招标文件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技术条款</w:t>
      </w:r>
      <w:r>
        <w:rPr>
          <w:rFonts w:hint="eastAsia" w:ascii="宋体" w:hAnsi="宋体" w:eastAsia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的响应情况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：</w:t>
      </w:r>
    </w:p>
    <w:p w14:paraId="43C0A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b w:val="0"/>
          <w:bCs w:val="0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 w:val="0"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eastAsia="宋体"/>
          <w:b w:val="0"/>
          <w:bCs w:val="0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优于的</w:t>
      </w:r>
      <w:r>
        <w:rPr>
          <w:rFonts w:hint="eastAsia" w:ascii="宋体" w:hAnsi="宋体" w:eastAsia="宋体"/>
          <w:b w:val="0"/>
          <w:bCs w:val="0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视为正偏离</w:t>
      </w:r>
      <w:r>
        <w:rPr>
          <w:rFonts w:hint="eastAsia" w:ascii="宋体" w:hAnsi="宋体" w:eastAsia="宋体"/>
          <w:b w:val="0"/>
          <w:bCs w:val="0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，填写“＋”；符合的</w:t>
      </w:r>
      <w:r>
        <w:rPr>
          <w:rFonts w:hint="eastAsia" w:ascii="宋体" w:hAnsi="宋体" w:eastAsia="宋体"/>
          <w:b w:val="0"/>
          <w:bCs w:val="0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视为满足</w:t>
      </w:r>
      <w:r>
        <w:rPr>
          <w:rFonts w:hint="eastAsia" w:ascii="宋体" w:hAnsi="宋体" w:eastAsia="宋体"/>
          <w:b w:val="0"/>
          <w:bCs w:val="0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，填写“=”；低于的</w:t>
      </w:r>
      <w:r>
        <w:rPr>
          <w:rFonts w:hint="eastAsia" w:ascii="宋体" w:hAnsi="宋体" w:eastAsia="宋体"/>
          <w:b w:val="0"/>
          <w:bCs w:val="0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视为负偏离或不满足</w:t>
      </w:r>
      <w:r>
        <w:rPr>
          <w:rFonts w:hint="eastAsia" w:ascii="宋体" w:hAnsi="宋体" w:eastAsia="宋体"/>
          <w:b w:val="0"/>
          <w:bCs w:val="0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，填写“-”</w:t>
      </w:r>
      <w:r>
        <w:rPr>
          <w:rFonts w:hint="eastAsia" w:ascii="宋体" w:hAnsi="宋体" w:eastAsia="宋体"/>
          <w:b w:val="0"/>
          <w:bCs w:val="0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；如不按规定填写或不填写的</w:t>
      </w:r>
      <w:r>
        <w:rPr>
          <w:rFonts w:hint="eastAsia" w:ascii="宋体" w:hAnsi="宋体" w:eastAsia="宋体"/>
          <w:b w:val="0"/>
          <w:bCs w:val="0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均视为不响应</w:t>
      </w:r>
      <w:r>
        <w:rPr>
          <w:rFonts w:hint="eastAsia" w:ascii="宋体" w:hAnsi="宋体" w:eastAsia="宋体"/>
          <w:b w:val="0"/>
          <w:bCs w:val="0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6D7C8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b w:val="0"/>
          <w:bCs w:val="0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 w:val="0"/>
          <w:bCs w:val="0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②不得仅以“满足”或“不满足”应答。</w:t>
      </w:r>
    </w:p>
    <w:p w14:paraId="72687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default" w:eastAsia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招标文件有标注“★”条款</w:t>
      </w:r>
      <w:r>
        <w:rPr>
          <w:rFonts w:hint="eastAsia" w:ascii="宋体" w:hAnsi="宋体" w:eastAsia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为实质性条款，若有任何一条负偏离或不满足则导致投标无效。</w:t>
      </w:r>
      <w:r>
        <w:rPr>
          <w:rFonts w:hint="eastAsia" w:ascii="宋体" w:hAnsi="宋体" w:eastAsia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非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“★”号条款未响应或不满足</w:t>
      </w: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（负偏离）</w:t>
      </w:r>
      <w:r>
        <w:rPr>
          <w:rFonts w:hint="eastAsia" w:ascii="宋体" w:hAnsi="宋体" w:eastAsia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，将根据评审要求影响其得分，但不作为无效投标条款。</w:t>
      </w:r>
    </w:p>
    <w:p w14:paraId="56C78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1" w:firstLineChars="200"/>
        <w:textAlignment w:val="auto"/>
        <w:rPr>
          <w:rFonts w:hint="eastAsia" w:ascii="宋体" w:hAnsi="宋体" w:eastAsia="宋体"/>
          <w:b/>
          <w:bCs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6.后附相关证明材料（若有），格式自拟。</w:t>
      </w:r>
    </w:p>
    <w:p w14:paraId="29197D1F">
      <w:pPr>
        <w:jc w:val="right"/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</w:p>
    <w:p w14:paraId="60E2A95E">
      <w:pPr>
        <w:jc w:val="right"/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</w:p>
    <w:p w14:paraId="57B433D2">
      <w:pPr>
        <w:jc w:val="right"/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</w:pPr>
    </w:p>
    <w:p w14:paraId="3EBE000B">
      <w:pPr>
        <w:jc w:val="right"/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全称（公章）： </w:t>
      </w:r>
    </w:p>
    <w:p w14:paraId="48F0C4AF">
      <w:pP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br w:type="page"/>
      </w:r>
    </w:p>
    <w:p w14:paraId="593F795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cs="宋体"/>
          <w:b/>
          <w:snapToGrid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napToGrid w:val="0"/>
          <w:color w:val="000000"/>
          <w:kern w:val="0"/>
          <w:sz w:val="28"/>
          <w:szCs w:val="28"/>
          <w:lang w:val="en-US" w:eastAsia="zh-CN"/>
        </w:rPr>
        <w:t>附件一</w:t>
      </w:r>
    </w:p>
    <w:p w14:paraId="250B71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/>
        <w:jc w:val="center"/>
        <w:textAlignment w:val="baseline"/>
        <w:rPr>
          <w:rFonts w:hint="eastAsia" w:ascii="宋体" w:hAnsi="宋体" w:eastAsia="宋体" w:cs="宋体"/>
          <w:b w:val="0"/>
          <w:bCs/>
          <w:snapToGrid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napToGrid w:val="0"/>
          <w:color w:val="000000"/>
          <w:kern w:val="0"/>
          <w:sz w:val="24"/>
          <w:szCs w:val="24"/>
          <w:lang w:val="en-US" w:eastAsia="zh-CN"/>
        </w:rPr>
        <w:t>主要原材料为全生物降解材料，供应商提供的配送物品质量符合国家及行业相关要求（提供国家认证认可监督管理委员会认可的检验检测机构出具的检验（测）报告复印件加盖公章，检验检测机构在全国认证认可信息公共服务平台http://cx.cnca.cn/CertECloud/index/index/page可查，并提供查询截图）。</w:t>
      </w:r>
    </w:p>
    <w:p w14:paraId="323754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/>
        <w:jc w:val="center"/>
        <w:textAlignment w:val="baseline"/>
        <w:rPr>
          <w:rFonts w:hint="eastAsia" w:ascii="宋体" w:hAnsi="宋体" w:eastAsia="宋体" w:cs="宋体"/>
          <w:b/>
          <w:snapToGrid w:val="0"/>
          <w:color w:val="000000"/>
          <w:kern w:val="0"/>
          <w:sz w:val="28"/>
          <w:szCs w:val="28"/>
          <w:lang w:val="en-US" w:eastAsia="zh-CN"/>
        </w:rPr>
      </w:pPr>
    </w:p>
    <w:p w14:paraId="4C268B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/>
        <w:jc w:val="center"/>
        <w:textAlignment w:val="baseline"/>
        <w:rPr>
          <w:rFonts w:hint="eastAsia" w:ascii="宋体" w:hAnsi="宋体" w:eastAsia="宋体" w:cs="宋体"/>
          <w:b/>
          <w:snapToGrid w:val="0"/>
          <w:color w:val="000000"/>
          <w:kern w:val="0"/>
          <w:sz w:val="28"/>
          <w:szCs w:val="28"/>
          <w:lang w:val="en-US" w:eastAsia="zh-CN"/>
        </w:rPr>
      </w:pPr>
    </w:p>
    <w:p w14:paraId="596F50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/>
        <w:jc w:val="center"/>
        <w:textAlignment w:val="baseline"/>
        <w:rPr>
          <w:rFonts w:hint="eastAsia" w:ascii="宋体" w:hAnsi="宋体" w:eastAsia="宋体" w:cs="宋体"/>
          <w:b/>
          <w:snapToGrid w:val="0"/>
          <w:color w:val="000000"/>
          <w:kern w:val="0"/>
          <w:sz w:val="28"/>
          <w:szCs w:val="28"/>
          <w:lang w:val="en-US" w:eastAsia="zh-CN"/>
        </w:rPr>
      </w:pPr>
    </w:p>
    <w:p w14:paraId="52C290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cs="宋体"/>
          <w:b/>
          <w:snapToGrid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napToGrid w:val="0"/>
          <w:color w:val="000000"/>
          <w:kern w:val="0"/>
          <w:sz w:val="28"/>
          <w:szCs w:val="28"/>
          <w:lang w:val="en-US" w:eastAsia="zh-CN"/>
        </w:rPr>
        <w:t>附件二</w:t>
      </w:r>
    </w:p>
    <w:p w14:paraId="6A85D0B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 w:val="0"/>
          <w:bCs/>
          <w:snapToGrid w:val="0"/>
          <w:color w:val="000000"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cs="宋体"/>
          <w:b w:val="0"/>
          <w:bCs/>
          <w:snapToGrid w:val="0"/>
          <w:color w:val="000000"/>
          <w:kern w:val="0"/>
          <w:sz w:val="28"/>
          <w:szCs w:val="28"/>
          <w:lang w:val="en-US" w:eastAsia="zh-CN"/>
        </w:rPr>
        <w:t>其他证明材料（若有）</w:t>
      </w:r>
    </w:p>
    <w:p w14:paraId="2C376B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ascii="宋体" w:hAnsi="宋体" w:cs="宋体"/>
          <w:b w:val="0"/>
          <w:bCs/>
          <w:snapToGrid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napToGrid w:val="0"/>
          <w:color w:val="000000"/>
          <w:kern w:val="0"/>
          <w:sz w:val="28"/>
          <w:szCs w:val="28"/>
          <w:lang w:val="en-US" w:eastAsia="zh-CN"/>
        </w:rPr>
        <w:t>（格式自拟）</w:t>
      </w:r>
    </w:p>
    <w:bookmarkEnd w:id="0"/>
    <w:p w14:paraId="1C300F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/>
        <w:jc w:val="left"/>
        <w:textAlignment w:val="baseline"/>
        <w:rPr>
          <w:rFonts w:hint="default" w:ascii="宋体" w:hAnsi="宋体" w:eastAsia="宋体" w:cs="宋体"/>
          <w:b/>
          <w:snapToGrid w:val="0"/>
          <w:color w:val="000000"/>
          <w:kern w:val="0"/>
          <w:sz w:val="28"/>
          <w:szCs w:val="28"/>
          <w:lang w:val="en-US" w:eastAsia="zh-CN"/>
        </w:rPr>
      </w:pPr>
    </w:p>
    <w:p w14:paraId="34950767">
      <w:pPr>
        <w:jc w:val="left"/>
        <w:rPr>
          <w:rFonts w:hint="eastAsia" w:ascii="宋体" w:hAnsi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4AAD4D06">
      <w:pPr>
        <w:rPr>
          <w:rFonts w:hint="eastAsia" w:ascii="宋体" w:hAnsi="宋体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064B4E4F"/>
    <w:rsid w:val="065B6DF1"/>
    <w:rsid w:val="081A270D"/>
    <w:rsid w:val="0AC22D4B"/>
    <w:rsid w:val="0C032502"/>
    <w:rsid w:val="0E0C4198"/>
    <w:rsid w:val="1FDEC8A2"/>
    <w:rsid w:val="21714572"/>
    <w:rsid w:val="28ED384B"/>
    <w:rsid w:val="29BE224D"/>
    <w:rsid w:val="342E3830"/>
    <w:rsid w:val="3AA92DF5"/>
    <w:rsid w:val="3DDF6C81"/>
    <w:rsid w:val="48C4659A"/>
    <w:rsid w:val="51C62E9E"/>
    <w:rsid w:val="57785D8E"/>
    <w:rsid w:val="5BD02A52"/>
    <w:rsid w:val="60800299"/>
    <w:rsid w:val="634560D1"/>
    <w:rsid w:val="6484176C"/>
    <w:rsid w:val="659645AB"/>
    <w:rsid w:val="6BCD0492"/>
    <w:rsid w:val="6E9A19C7"/>
    <w:rsid w:val="6F0C0E1C"/>
    <w:rsid w:val="715E7CA3"/>
    <w:rsid w:val="720C5E0E"/>
    <w:rsid w:val="74CD12D2"/>
    <w:rsid w:val="D6B542FB"/>
    <w:rsid w:val="DDFF65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577</Words>
  <Characters>594</Characters>
  <Lines>0</Lines>
  <Paragraphs>0</Paragraphs>
  <TotalTime>4</TotalTime>
  <ScaleCrop>false</ScaleCrop>
  <LinksUpToDate>false</LinksUpToDate>
  <CharactersWithSpaces>606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2024-08-23T18:31:00Z</dcterms:created>
  <dc:creator>JIAO</dc:creator>
  <cp:lastModifiedBy>ring凤澄</cp:lastModifiedBy>
  <dcterms:modified xsi:type="dcterms:W3CDTF">2026-03-20T03:50:01Z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68AEA99F73B14435BF130B78890546EF_13</vt:lpwstr>
  </property>
  <property fmtid="{D5CDD505-2E9C-101B-9397-08002B2CF9AE}" pid="4" name="KSOTemplateDocerSaveRecord">
    <vt:lpwstr>eyJoZGlkIjoiNGU2NmQ0OWM2NzI5NjllMzhhYTgxYzQ3NmI1MTY3YTYiLCJ1c2VySWQiOiIyMDcwNzU4MzMifQ==</vt:lpwstr>
  </property>
</Properties>
</file>