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D2615B">
      <w:pPr>
        <w:snapToGrid w:val="0"/>
        <w:jc w:val="center"/>
        <w:rPr>
          <w:rFonts w:ascii="宋体" w:hAnsi="宋体" w:cs="Lucida Sans Unicode"/>
          <w:b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Lucida Sans Unicode"/>
          <w:b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  <w:t>商务</w:t>
      </w:r>
      <w:r>
        <w:rPr>
          <w:rFonts w:hint="eastAsia" w:ascii="宋体" w:hAnsi="宋体" w:cs="Lucida Sans Unicode"/>
          <w:b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响应表</w:t>
      </w:r>
    </w:p>
    <w:p w14:paraId="2A2FE371">
      <w:pPr>
        <w:snapToGrid w:val="0"/>
        <w:ind w:firstLine="446" w:firstLineChars="148"/>
        <w:jc w:val="center"/>
        <w:rPr>
          <w:rFonts w:ascii="宋体" w:hAnsi="宋体"/>
          <w:b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</w:p>
    <w:p w14:paraId="66161C93">
      <w:pPr>
        <w:spacing w:line="360" w:lineRule="auto"/>
        <w:ind w:firstLine="480" w:firstLineChars="200"/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说明：</w:t>
      </w:r>
      <w:r>
        <w:rPr>
          <w:rFonts w:hint="eastAsia" w:ascii="宋体" w:hAnsi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投标人</w:t>
      </w: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必须仔细阅读</w:t>
      </w:r>
      <w:r>
        <w:rPr>
          <w:rFonts w:hint="eastAsia" w:ascii="宋体" w:hAnsi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招标文件“第三章</w:t>
      </w:r>
      <w:r>
        <w:rPr>
          <w:rFonts w:hint="eastAsia" w:ascii="宋体" w:hAnsi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采购需求</w:t>
      </w:r>
      <w:r>
        <w:rPr>
          <w:rFonts w:hint="eastAsia" w:ascii="宋体" w:hAnsi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”要求在《商务响应表》中需要进行响应的商务</w:t>
      </w: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条款</w:t>
      </w:r>
      <w:r>
        <w:rPr>
          <w:rFonts w:hint="eastAsia" w:ascii="宋体" w:hAnsi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（即：第三章 采购需求-三、商务要求-商务要求明细）</w:t>
      </w: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并</w:t>
      </w: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对</w:t>
      </w:r>
      <w:r>
        <w:rPr>
          <w:rFonts w:hint="eastAsia" w:ascii="宋体" w:hAnsi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上述</w:t>
      </w: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商务条款的响应情况逐项列入</w:t>
      </w:r>
      <w:r>
        <w:rPr>
          <w:rFonts w:hint="eastAsia" w:ascii="宋体" w:hAnsi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该表</w:t>
      </w: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以及</w:t>
      </w: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对其响应情况进行说明</w:t>
      </w:r>
      <w:r>
        <w:rPr>
          <w:rFonts w:hint="eastAsia" w:ascii="宋体" w:hAnsi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；</w:t>
      </w: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未列入</w:t>
      </w:r>
      <w:r>
        <w:rPr>
          <w:rFonts w:hint="eastAsia" w:ascii="宋体" w:hAnsi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该表</w:t>
      </w: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的视作</w:t>
      </w:r>
      <w:r>
        <w:rPr>
          <w:rFonts w:hint="eastAsia" w:ascii="宋体" w:hAnsi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投标人</w:t>
      </w: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不响应。</w:t>
      </w:r>
    </w:p>
    <w:p w14:paraId="4447790E">
      <w:pPr>
        <w:spacing w:line="360" w:lineRule="auto"/>
        <w:ind w:firstLine="482" w:firstLineChars="200"/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投标人</w:t>
      </w:r>
      <w:r>
        <w:rPr>
          <w:rFonts w:hint="eastAsia" w:ascii="宋体" w:hAnsi="宋体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必须根据</w:t>
      </w:r>
      <w:r>
        <w:rPr>
          <w:rFonts w:hint="eastAsia" w:ascii="宋体" w:hAnsi="宋体"/>
          <w:b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标的</w:t>
      </w:r>
      <w:r>
        <w:rPr>
          <w:rFonts w:hint="eastAsia" w:ascii="宋体" w:hAnsi="宋体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的实际情况如实填写，</w:t>
      </w:r>
      <w:r>
        <w:rPr>
          <w:rFonts w:hint="eastAsia" w:ascii="宋体" w:hAnsi="宋体"/>
          <w:b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评标委员会</w:t>
      </w:r>
      <w:r>
        <w:rPr>
          <w:rFonts w:hint="eastAsia" w:ascii="宋体" w:hAnsi="宋体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如发现有虚假描述的，该</w:t>
      </w:r>
      <w:r>
        <w:rPr>
          <w:rFonts w:hint="eastAsia" w:ascii="宋体" w:hAnsi="宋体"/>
          <w:b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投标文件</w:t>
      </w:r>
      <w:r>
        <w:rPr>
          <w:rFonts w:hint="eastAsia" w:ascii="宋体" w:hAnsi="宋体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作无效</w:t>
      </w:r>
      <w:r>
        <w:rPr>
          <w:rFonts w:hint="eastAsia" w:ascii="宋体" w:hAnsi="宋体"/>
          <w:b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投标文件</w:t>
      </w:r>
      <w:r>
        <w:rPr>
          <w:rFonts w:hint="eastAsia" w:ascii="宋体" w:hAnsi="宋体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处理。</w:t>
      </w:r>
    </w:p>
    <w:tbl>
      <w:tblPr>
        <w:tblStyle w:val="2"/>
        <w:tblW w:w="80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8"/>
        <w:gridCol w:w="2402"/>
        <w:gridCol w:w="2207"/>
        <w:gridCol w:w="1287"/>
        <w:gridCol w:w="1756"/>
      </w:tblGrid>
      <w:tr w14:paraId="450CE6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tblHeader/>
          <w:jc w:val="center"/>
        </w:trPr>
        <w:tc>
          <w:tcPr>
            <w:tcW w:w="348" w:type="dxa"/>
            <w:tcBorders>
              <w:bottom w:val="single" w:color="auto" w:sz="4" w:space="0"/>
            </w:tcBorders>
            <w:shd w:val="clear" w:color="auto" w:fill="D9D9D9"/>
            <w:noWrap w:val="0"/>
            <w:vAlign w:val="center"/>
          </w:tcPr>
          <w:p w14:paraId="10637FFA">
            <w:pPr>
              <w:snapToGrid w:val="0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2402" w:type="dxa"/>
            <w:tcBorders>
              <w:bottom w:val="single" w:color="auto" w:sz="4" w:space="0"/>
            </w:tcBorders>
            <w:shd w:val="clear" w:color="auto" w:fill="D9D9D9"/>
            <w:noWrap w:val="0"/>
            <w:vAlign w:val="center"/>
          </w:tcPr>
          <w:p w14:paraId="5E7AFD77">
            <w:pPr>
              <w:snapToGrid w:val="0"/>
              <w:jc w:val="center"/>
              <w:rPr>
                <w:rFonts w:hint="eastAsia" w:ascii="宋体" w:hAnsi="宋体" w:eastAsia="宋体" w:cs="Times New Roman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招标文件</w:t>
            </w: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商务条款描述</w:t>
            </w:r>
          </w:p>
        </w:tc>
        <w:tc>
          <w:tcPr>
            <w:tcW w:w="2207" w:type="dxa"/>
            <w:tcBorders>
              <w:bottom w:val="single" w:color="auto" w:sz="4" w:space="0"/>
            </w:tcBorders>
            <w:shd w:val="clear" w:color="auto" w:fill="D9D9D9"/>
            <w:noWrap w:val="0"/>
            <w:vAlign w:val="center"/>
          </w:tcPr>
          <w:p w14:paraId="694048E5">
            <w:pPr>
              <w:snapToGrid w:val="0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投标人</w:t>
            </w: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商务响应情况描述</w:t>
            </w:r>
          </w:p>
        </w:tc>
        <w:tc>
          <w:tcPr>
            <w:tcW w:w="1287" w:type="dxa"/>
            <w:tcBorders>
              <w:bottom w:val="single" w:color="auto" w:sz="4" w:space="0"/>
            </w:tcBorders>
            <w:shd w:val="clear" w:color="auto" w:fill="D9D9D9"/>
            <w:noWrap w:val="0"/>
            <w:vAlign w:val="center"/>
          </w:tcPr>
          <w:p w14:paraId="79CD08BE">
            <w:pPr>
              <w:snapToGrid w:val="0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响应情况说明（</w:t>
            </w: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＋/</w:t>
            </w:r>
            <w:r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=</w:t>
            </w: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/</w:t>
            </w:r>
            <w:r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756" w:type="dxa"/>
            <w:tcBorders>
              <w:bottom w:val="single" w:color="auto" w:sz="4" w:space="0"/>
            </w:tcBorders>
            <w:shd w:val="clear" w:color="auto" w:fill="D9D9D9"/>
            <w:noWrap w:val="0"/>
            <w:vAlign w:val="center"/>
          </w:tcPr>
          <w:p w14:paraId="7DF41570">
            <w:pPr>
              <w:snapToGrid w:val="0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 w14:paraId="2F9CAB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  <w:tblHeader/>
          <w:jc w:val="center"/>
        </w:trPr>
        <w:tc>
          <w:tcPr>
            <w:tcW w:w="348" w:type="dxa"/>
            <w:noWrap w:val="0"/>
            <w:vAlign w:val="center"/>
          </w:tcPr>
          <w:p w14:paraId="7BF9AE2F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2402" w:type="dxa"/>
            <w:noWrap w:val="0"/>
            <w:vAlign w:val="center"/>
          </w:tcPr>
          <w:p w14:paraId="208FD6B7">
            <w:pPr>
              <w:snapToGrid w:val="0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07" w:type="dxa"/>
            <w:noWrap w:val="0"/>
            <w:vAlign w:val="center"/>
          </w:tcPr>
          <w:p w14:paraId="622D5482">
            <w:pPr>
              <w:snapToGrid w:val="0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7" w:type="dxa"/>
            <w:noWrap w:val="0"/>
            <w:vAlign w:val="center"/>
          </w:tcPr>
          <w:p w14:paraId="37871CDA">
            <w:pPr>
              <w:snapToGrid w:val="0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56" w:type="dxa"/>
            <w:noWrap w:val="0"/>
            <w:vAlign w:val="center"/>
          </w:tcPr>
          <w:p w14:paraId="46B546A7">
            <w:pPr>
              <w:snapToGrid w:val="0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62823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tblHeader/>
          <w:jc w:val="center"/>
        </w:trPr>
        <w:tc>
          <w:tcPr>
            <w:tcW w:w="348" w:type="dxa"/>
            <w:noWrap w:val="0"/>
            <w:vAlign w:val="center"/>
          </w:tcPr>
          <w:p w14:paraId="6815E453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2402" w:type="dxa"/>
            <w:noWrap w:val="0"/>
            <w:vAlign w:val="center"/>
          </w:tcPr>
          <w:p w14:paraId="1B95AA2C">
            <w:pPr>
              <w:snapToGrid w:val="0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07" w:type="dxa"/>
            <w:noWrap w:val="0"/>
            <w:vAlign w:val="center"/>
          </w:tcPr>
          <w:p w14:paraId="1A9865D5">
            <w:pPr>
              <w:snapToGrid w:val="0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7" w:type="dxa"/>
            <w:noWrap w:val="0"/>
            <w:vAlign w:val="center"/>
          </w:tcPr>
          <w:p w14:paraId="4F5A24E2">
            <w:pPr>
              <w:snapToGrid w:val="0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56" w:type="dxa"/>
            <w:noWrap w:val="0"/>
            <w:vAlign w:val="center"/>
          </w:tcPr>
          <w:p w14:paraId="0C5DFC8D">
            <w:pPr>
              <w:snapToGrid w:val="0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9AEC1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tblHeader/>
          <w:jc w:val="center"/>
        </w:trPr>
        <w:tc>
          <w:tcPr>
            <w:tcW w:w="348" w:type="dxa"/>
            <w:noWrap w:val="0"/>
            <w:vAlign w:val="center"/>
          </w:tcPr>
          <w:p w14:paraId="46DBE7F4">
            <w:pP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  3</w:t>
            </w:r>
          </w:p>
        </w:tc>
        <w:tc>
          <w:tcPr>
            <w:tcW w:w="2402" w:type="dxa"/>
            <w:noWrap w:val="0"/>
            <w:vAlign w:val="center"/>
          </w:tcPr>
          <w:p w14:paraId="5ADAEC5B">
            <w:pPr>
              <w:snapToGrid w:val="0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07" w:type="dxa"/>
            <w:noWrap w:val="0"/>
            <w:vAlign w:val="center"/>
          </w:tcPr>
          <w:p w14:paraId="74656FBF">
            <w:pPr>
              <w:snapToGrid w:val="0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7" w:type="dxa"/>
            <w:noWrap w:val="0"/>
            <w:vAlign w:val="center"/>
          </w:tcPr>
          <w:p w14:paraId="733EB783">
            <w:pPr>
              <w:snapToGrid w:val="0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56" w:type="dxa"/>
            <w:noWrap w:val="0"/>
            <w:vAlign w:val="center"/>
          </w:tcPr>
          <w:p w14:paraId="2CD895DB">
            <w:pPr>
              <w:snapToGrid w:val="0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18BAB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tblHeader/>
          <w:jc w:val="center"/>
        </w:trPr>
        <w:tc>
          <w:tcPr>
            <w:tcW w:w="348" w:type="dxa"/>
            <w:noWrap w:val="0"/>
            <w:vAlign w:val="center"/>
          </w:tcPr>
          <w:p w14:paraId="278C080A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……</w:t>
            </w:r>
          </w:p>
        </w:tc>
        <w:tc>
          <w:tcPr>
            <w:tcW w:w="2402" w:type="dxa"/>
            <w:noWrap w:val="0"/>
            <w:vAlign w:val="center"/>
          </w:tcPr>
          <w:p w14:paraId="7A5FE282">
            <w:pPr>
              <w:snapToGrid w:val="0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07" w:type="dxa"/>
            <w:noWrap w:val="0"/>
            <w:vAlign w:val="center"/>
          </w:tcPr>
          <w:p w14:paraId="4551D793">
            <w:pPr>
              <w:snapToGrid w:val="0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7" w:type="dxa"/>
            <w:noWrap w:val="0"/>
            <w:vAlign w:val="center"/>
          </w:tcPr>
          <w:p w14:paraId="3FC8DE59">
            <w:pPr>
              <w:snapToGrid w:val="0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56" w:type="dxa"/>
            <w:noWrap w:val="0"/>
            <w:vAlign w:val="center"/>
          </w:tcPr>
          <w:p w14:paraId="5782D36A">
            <w:pPr>
              <w:snapToGrid w:val="0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7FB9D801">
      <w:pPr>
        <w:spacing w:line="360" w:lineRule="auto"/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 xml:space="preserve">       </w:t>
      </w:r>
    </w:p>
    <w:p w14:paraId="43794E83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ind w:firstLine="360" w:firstLineChars="200"/>
        <w:textAlignment w:val="auto"/>
        <w:rPr>
          <w:rFonts w:hint="eastAsia" w:ascii="宋体" w:hAnsi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注：1</w:t>
      </w:r>
      <w:r>
        <w:rPr>
          <w:rFonts w:hint="eastAsia" w:ascii="宋体" w:hAnsi="宋体"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宋体" w:hAnsi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此表为表样，行数可自行添加，但表式不变。</w:t>
      </w:r>
      <w:r>
        <w:rPr>
          <w:rFonts w:hint="eastAsia" w:ascii="宋体" w:hAnsi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ab/>
      </w:r>
    </w:p>
    <w:p w14:paraId="29E37794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ind w:firstLine="360" w:firstLineChars="200"/>
        <w:textAlignment w:val="auto"/>
        <w:rPr>
          <w:rFonts w:hint="eastAsia" w:ascii="宋体" w:hAnsi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宋体" w:hAnsi="宋体"/>
          <w:color w:val="000000" w:themeColor="text1"/>
          <w:sz w:val="18"/>
          <w:szCs w:val="18"/>
          <w:lang w:eastAsia="zh-CN"/>
          <w14:textFill>
            <w14:solidFill>
              <w14:schemeClr w14:val="tx1"/>
            </w14:solidFill>
          </w14:textFill>
        </w:rPr>
        <w:t>招标文件“第三章</w:t>
      </w:r>
      <w:r>
        <w:rPr>
          <w:rFonts w:hint="eastAsia" w:ascii="宋体" w:hAnsi="宋体"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 xml:space="preserve"> 采购需求</w:t>
      </w:r>
      <w:r>
        <w:rPr>
          <w:rFonts w:hint="eastAsia" w:ascii="宋体" w:hAnsi="宋体"/>
          <w:color w:val="000000" w:themeColor="text1"/>
          <w:sz w:val="18"/>
          <w:szCs w:val="18"/>
          <w:lang w:eastAsia="zh-CN"/>
          <w14:textFill>
            <w14:solidFill>
              <w14:schemeClr w14:val="tx1"/>
            </w14:solidFill>
          </w14:textFill>
        </w:rPr>
        <w:t>”未要求在该表中进行响应的商务条款，投标人无需填写；可是，投标人</w:t>
      </w:r>
      <w:r>
        <w:rPr>
          <w:rFonts w:hint="eastAsia" w:ascii="宋体" w:hAnsi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根据</w:t>
      </w:r>
      <w:r>
        <w:rPr>
          <w:rFonts w:hint="eastAsia" w:ascii="宋体" w:hAnsi="宋体"/>
          <w:color w:val="000000" w:themeColor="text1"/>
          <w:sz w:val="18"/>
          <w:szCs w:val="18"/>
          <w:lang w:eastAsia="zh-CN"/>
          <w14:textFill>
            <w14:solidFill>
              <w14:schemeClr w14:val="tx1"/>
            </w14:solidFill>
          </w14:textFill>
        </w:rPr>
        <w:t>项目情况需要</w:t>
      </w:r>
      <w:r>
        <w:rPr>
          <w:rFonts w:hint="eastAsia" w:ascii="宋体" w:hAnsi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添加的设备、材料</w:t>
      </w:r>
      <w:r>
        <w:rPr>
          <w:rFonts w:hint="eastAsia" w:ascii="宋体" w:hAnsi="宋体"/>
          <w:color w:val="000000" w:themeColor="text1"/>
          <w:sz w:val="18"/>
          <w:szCs w:val="18"/>
          <w:lang w:eastAsia="zh-CN"/>
          <w14:textFill>
            <w14:solidFill>
              <w14:schemeClr w14:val="tx1"/>
            </w14:solidFill>
          </w14:textFill>
        </w:rPr>
        <w:t>、服务</w:t>
      </w:r>
      <w:r>
        <w:rPr>
          <w:rFonts w:hint="eastAsia" w:ascii="宋体" w:hAnsi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等</w:t>
      </w:r>
      <w:r>
        <w:rPr>
          <w:rFonts w:hint="eastAsia" w:ascii="宋体" w:hAnsi="宋体"/>
          <w:color w:val="000000" w:themeColor="text1"/>
          <w:sz w:val="18"/>
          <w:szCs w:val="18"/>
          <w:lang w:eastAsia="zh-CN"/>
          <w14:textFill>
            <w14:solidFill>
              <w14:schemeClr w14:val="tx1"/>
            </w14:solidFill>
          </w14:textFill>
        </w:rPr>
        <w:t>请</w:t>
      </w:r>
      <w:r>
        <w:rPr>
          <w:rFonts w:hint="eastAsia" w:ascii="宋体" w:hAnsi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列出</w:t>
      </w:r>
      <w:r>
        <w:rPr>
          <w:rFonts w:hint="eastAsia" w:ascii="宋体" w:hAnsi="宋体"/>
          <w:color w:val="000000" w:themeColor="text1"/>
          <w:sz w:val="18"/>
          <w:szCs w:val="18"/>
          <w:lang w:val="en"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但不作为无效投标</w:t>
      </w:r>
      <w:r>
        <w:rPr>
          <w:rFonts w:hint="eastAsia" w:ascii="宋体" w:hAnsi="宋体"/>
          <w:color w:val="000000" w:themeColor="text1"/>
          <w:sz w:val="18"/>
          <w:szCs w:val="18"/>
          <w:lang w:eastAsia="zh-CN"/>
          <w14:textFill>
            <w14:solidFill>
              <w14:schemeClr w14:val="tx1"/>
            </w14:solidFill>
          </w14:textFill>
        </w:rPr>
        <w:t>的依据</w:t>
      </w:r>
      <w:r>
        <w:rPr>
          <w:rFonts w:hint="eastAsia" w:ascii="宋体" w:hAnsi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。</w:t>
      </w:r>
    </w:p>
    <w:p w14:paraId="185CA271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ind w:firstLine="360" w:firstLineChars="200"/>
        <w:textAlignment w:val="auto"/>
        <w:rPr>
          <w:rFonts w:hint="eastAsia" w:ascii="宋体" w:hAnsi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宋体" w:hAnsi="宋体"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宋体" w:hAnsi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请在“</w:t>
      </w:r>
      <w:r>
        <w:rPr>
          <w:rFonts w:hint="eastAsia" w:ascii="宋体" w:hAnsi="宋体"/>
          <w:color w:val="000000" w:themeColor="text1"/>
          <w:sz w:val="18"/>
          <w:szCs w:val="18"/>
          <w:lang w:eastAsia="zh-CN"/>
          <w14:textFill>
            <w14:solidFill>
              <w14:schemeClr w14:val="tx1"/>
            </w14:solidFill>
          </w14:textFill>
        </w:rPr>
        <w:t>投标人</w:t>
      </w:r>
      <w:r>
        <w:rPr>
          <w:rFonts w:hint="eastAsia" w:ascii="宋体" w:hAnsi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商务响应情况描述” 中列出</w:t>
      </w:r>
      <w:r>
        <w:rPr>
          <w:rFonts w:hint="eastAsia" w:ascii="宋体" w:hAnsi="宋体"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商务</w:t>
      </w:r>
      <w:r>
        <w:rPr>
          <w:rFonts w:hint="eastAsia" w:ascii="宋体" w:hAnsi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响应情况</w:t>
      </w:r>
      <w:r>
        <w:rPr>
          <w:rFonts w:hint="eastAsia" w:ascii="宋体" w:hAnsi="宋体"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描述</w:t>
      </w:r>
      <w:r>
        <w:rPr>
          <w:rFonts w:hint="eastAsia" w:ascii="宋体" w:hAnsi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。</w:t>
      </w:r>
    </w:p>
    <w:p w14:paraId="259FB48C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ind w:firstLine="360" w:firstLineChars="200"/>
        <w:textAlignment w:val="auto"/>
        <w:rPr>
          <w:rFonts w:hint="eastAsia" w:ascii="宋体" w:hAnsi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宋体" w:hAnsi="宋体"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宋体" w:hAnsi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“响应情况说明”应按下列规定填写</w:t>
      </w:r>
      <w:r>
        <w:rPr>
          <w:rFonts w:hint="eastAsia" w:ascii="宋体" w:hAnsi="宋体"/>
          <w:color w:val="000000" w:themeColor="text1"/>
          <w:sz w:val="18"/>
          <w:szCs w:val="18"/>
          <w:lang w:eastAsia="zh-CN"/>
          <w14:textFill>
            <w14:solidFill>
              <w14:schemeClr w14:val="tx1"/>
            </w14:solidFill>
          </w14:textFill>
        </w:rPr>
        <w:t>对招标文件</w:t>
      </w:r>
      <w:r>
        <w:rPr>
          <w:rFonts w:hint="eastAsia" w:ascii="宋体" w:hAnsi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商务条款</w:t>
      </w:r>
      <w:r>
        <w:rPr>
          <w:rFonts w:hint="eastAsia" w:ascii="宋体" w:hAnsi="宋体"/>
          <w:color w:val="000000" w:themeColor="text1"/>
          <w:sz w:val="18"/>
          <w:szCs w:val="18"/>
          <w:lang w:eastAsia="zh-CN"/>
          <w14:textFill>
            <w14:solidFill>
              <w14:schemeClr w14:val="tx1"/>
            </w14:solidFill>
          </w14:textFill>
        </w:rPr>
        <w:t>的响应情况</w:t>
      </w:r>
      <w:r>
        <w:rPr>
          <w:rFonts w:hint="eastAsia" w:ascii="宋体" w:hAnsi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：优于的</w:t>
      </w:r>
      <w:r>
        <w:rPr>
          <w:rFonts w:hint="eastAsia" w:ascii="宋体" w:hAnsi="宋体"/>
          <w:color w:val="000000" w:themeColor="text1"/>
          <w:sz w:val="18"/>
          <w:szCs w:val="18"/>
          <w:lang w:eastAsia="zh-CN"/>
          <w14:textFill>
            <w14:solidFill>
              <w14:schemeClr w14:val="tx1"/>
            </w14:solidFill>
          </w14:textFill>
        </w:rPr>
        <w:t>视为正偏离</w:t>
      </w:r>
      <w:r>
        <w:rPr>
          <w:rFonts w:hint="eastAsia" w:ascii="宋体" w:hAnsi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，填写“＋”；符合的</w:t>
      </w:r>
      <w:r>
        <w:rPr>
          <w:rFonts w:hint="eastAsia" w:ascii="宋体" w:hAnsi="宋体"/>
          <w:color w:val="000000" w:themeColor="text1"/>
          <w:sz w:val="18"/>
          <w:szCs w:val="18"/>
          <w:lang w:eastAsia="zh-CN"/>
          <w14:textFill>
            <w14:solidFill>
              <w14:schemeClr w14:val="tx1"/>
            </w14:solidFill>
          </w14:textFill>
        </w:rPr>
        <w:t>视为满足</w:t>
      </w:r>
      <w:r>
        <w:rPr>
          <w:rFonts w:hint="eastAsia" w:ascii="宋体" w:hAnsi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，填写“=”；低于的</w:t>
      </w:r>
      <w:r>
        <w:rPr>
          <w:rFonts w:hint="eastAsia" w:ascii="宋体" w:hAnsi="宋体"/>
          <w:color w:val="000000" w:themeColor="text1"/>
          <w:sz w:val="18"/>
          <w:szCs w:val="18"/>
          <w:lang w:eastAsia="zh-CN"/>
          <w14:textFill>
            <w14:solidFill>
              <w14:schemeClr w14:val="tx1"/>
            </w14:solidFill>
          </w14:textFill>
        </w:rPr>
        <w:t>视为负偏离或不满足</w:t>
      </w:r>
      <w:r>
        <w:rPr>
          <w:rFonts w:hint="eastAsia" w:ascii="宋体" w:hAnsi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，填写“-”</w:t>
      </w:r>
      <w:r>
        <w:rPr>
          <w:rFonts w:hint="eastAsia" w:ascii="宋体" w:hAnsi="宋体"/>
          <w:color w:val="000000" w:themeColor="text1"/>
          <w:sz w:val="18"/>
          <w:szCs w:val="18"/>
          <w:lang w:eastAsia="zh-CN"/>
          <w14:textFill>
            <w14:solidFill>
              <w14:schemeClr w14:val="tx1"/>
            </w14:solidFill>
          </w14:textFill>
        </w:rPr>
        <w:t>；如不按规定填写或不填写的，均视为不响应</w:t>
      </w:r>
      <w:r>
        <w:rPr>
          <w:rFonts w:hint="eastAsia" w:ascii="宋体" w:hAnsi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。</w:t>
      </w:r>
    </w:p>
    <w:p w14:paraId="4CF1A2B9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ind w:firstLine="360" w:firstLineChars="200"/>
        <w:textAlignment w:val="auto"/>
        <w:rPr>
          <w:rFonts w:hint="eastAsia" w:ascii="宋体" w:hAnsi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宋体" w:hAnsi="宋体"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宋体" w:hAnsi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招标文件有标注“★”条款</w:t>
      </w:r>
      <w:r>
        <w:rPr>
          <w:rFonts w:hint="eastAsia" w:ascii="宋体" w:hAnsi="宋体"/>
          <w:color w:val="000000" w:themeColor="text1"/>
          <w:sz w:val="18"/>
          <w:szCs w:val="18"/>
          <w:lang w:eastAsia="zh-CN"/>
          <w14:textFill>
            <w14:solidFill>
              <w14:schemeClr w14:val="tx1"/>
            </w14:solidFill>
          </w14:textFill>
        </w:rPr>
        <w:t>的</w:t>
      </w:r>
      <w:r>
        <w:rPr>
          <w:rFonts w:hint="eastAsia" w:ascii="宋体" w:hAnsi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为实质性条款，若有任何一条负偏离或不满足则导致投标无效。</w:t>
      </w:r>
      <w:r>
        <w:rPr>
          <w:rFonts w:hint="eastAsia" w:ascii="宋体" w:hAnsi="宋体"/>
          <w:color w:val="000000" w:themeColor="text1"/>
          <w:sz w:val="18"/>
          <w:szCs w:val="18"/>
          <w:lang w:eastAsia="zh-CN"/>
          <w14:textFill>
            <w14:solidFill>
              <w14:schemeClr w14:val="tx1"/>
            </w14:solidFill>
          </w14:textFill>
        </w:rPr>
        <w:t>非</w:t>
      </w:r>
      <w:r>
        <w:rPr>
          <w:rFonts w:hint="eastAsia" w:ascii="宋体" w:hAnsi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“★”号条款未响应或不满足</w:t>
      </w:r>
      <w:r>
        <w:rPr>
          <w:rFonts w:hint="eastAsia" w:ascii="宋体" w:hAnsi="宋体"/>
          <w:color w:val="000000" w:themeColor="text1"/>
          <w:sz w:val="18"/>
          <w:szCs w:val="18"/>
          <w:lang w:eastAsia="zh-CN"/>
          <w14:textFill>
            <w14:solidFill>
              <w14:schemeClr w14:val="tx1"/>
            </w14:solidFill>
          </w14:textFill>
        </w:rPr>
        <w:t>（负偏离）</w:t>
      </w:r>
      <w:r>
        <w:rPr>
          <w:rFonts w:hint="eastAsia" w:ascii="宋体" w:hAnsi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，将根据评审要求影响其得分，但不作为无效投标条款。</w:t>
      </w:r>
    </w:p>
    <w:p w14:paraId="5450A2D5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200"/>
        <w:jc w:val="right"/>
        <w:textAlignment w:val="auto"/>
        <w:rPr>
          <w:rFonts w:hint="eastAsia" w:ascii="宋体" w:hAnsi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  <w:bookmarkStart w:id="0" w:name="_GoBack"/>
      <w:bookmarkEnd w:id="0"/>
    </w:p>
    <w:p w14:paraId="2E2F9C79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200"/>
        <w:jc w:val="right"/>
        <w:textAlignment w:val="auto"/>
        <w:rPr>
          <w:rFonts w:hint="eastAsia" w:ascii="宋体" w:hAnsi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</w:p>
    <w:p w14:paraId="57912043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200"/>
        <w:jc w:val="right"/>
        <w:textAlignment w:val="auto"/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投标人</w:t>
      </w: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全称（公章）： </w:t>
      </w:r>
    </w:p>
    <w:p w14:paraId="08CE0D54">
      <w:pPr>
        <w:rPr>
          <w:rFonts w:hint="default" w:ascii="宋体" w:hAnsi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Lucida Sans Unicode">
    <w:panose1 w:val="020B0602030504020204"/>
    <w:charset w:val="00"/>
    <w:family w:val="swiss"/>
    <w:pitch w:val="default"/>
    <w:sig w:usb0="80001AFF" w:usb1="0000396B" w:usb2="00000000" w:usb3="00000000" w:csb0="200000BF" w:csb1="D7F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RhYjFhOTQyNDUzMjc4YWU5NDZiNmJiNTQ3YmM4ZGIifQ=="/>
  </w:docVars>
  <w:rsids>
    <w:rsidRoot w:val="00000000"/>
    <w:rsid w:val="016B47C5"/>
    <w:rsid w:val="0A18625F"/>
    <w:rsid w:val="13EBF1D2"/>
    <w:rsid w:val="228B27E7"/>
    <w:rsid w:val="4A245F41"/>
    <w:rsid w:val="4ECC73DD"/>
    <w:rsid w:val="4EEB27F3"/>
    <w:rsid w:val="61C024F8"/>
    <w:rsid w:val="62355113"/>
    <w:rsid w:val="62AA4B06"/>
    <w:rsid w:val="6ADF78DD"/>
    <w:rsid w:val="74760D6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543</Words>
  <Characters>551</Characters>
  <Lines>0</Lines>
  <Paragraphs>0</Paragraphs>
  <TotalTime>9</TotalTime>
  <ScaleCrop>false</ScaleCrop>
  <LinksUpToDate>false</LinksUpToDate>
  <CharactersWithSpaces>567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2024-08-23T10:32:00Z</dcterms:created>
  <dc:creator>JIAO</dc:creator>
  <cp:lastModifiedBy>ring凤澄</cp:lastModifiedBy>
  <dcterms:modified xsi:type="dcterms:W3CDTF">2026-03-20T03:05:47Z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8B6BE474784D47FC94AABD2D87BA1A8D_13</vt:lpwstr>
  </property>
  <property fmtid="{D5CDD505-2E9C-101B-9397-08002B2CF9AE}" pid="4" name="KSOTemplateDocerSaveRecord">
    <vt:lpwstr>eyJoZGlkIjoiNGU2NmQ0OWM2NzI5NjllMzhhYTgxYzQ3NmI1MTY3YTYiLCJ1c2VySWQiOiIyMDcwNzU4MzMifQ==</vt:lpwstr>
  </property>
</Properties>
</file>