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13C60">
      <w:pPr>
        <w:pStyle w:val="7"/>
        <w:jc w:val="center"/>
        <w:outlineLvl w:val="1"/>
        <w:rPr>
          <w:color w:val="000000" w:themeColor="text1"/>
          <w:highlight w:val="none"/>
          <w14:textFill>
            <w14:solidFill>
              <w14:schemeClr w14:val="tx1"/>
            </w14:solidFill>
          </w14:textFill>
        </w:rPr>
      </w:pPr>
      <w:bookmarkStart w:id="0" w:name="_Toc27831"/>
      <w:r>
        <w:rPr>
          <w:rFonts w:ascii="仿宋_GB2312" w:hAnsi="仿宋_GB2312" w:eastAsia="仿宋_GB2312" w:cs="仿宋_GB2312"/>
          <w:b/>
          <w:color w:val="000000" w:themeColor="text1"/>
          <w:sz w:val="36"/>
          <w:highlight w:val="none"/>
          <w14:textFill>
            <w14:solidFill>
              <w14:schemeClr w14:val="tx1"/>
            </w14:solidFill>
          </w14:textFill>
        </w:rPr>
        <w:t>第三章 采购需求</w:t>
      </w:r>
      <w:bookmarkEnd w:id="0"/>
    </w:p>
    <w:p w14:paraId="29FD8081">
      <w:pPr>
        <w:pStyle w:val="7"/>
        <w:jc w:val="center"/>
        <w:outlineLvl w:val="2"/>
        <w:rPr>
          <w:rFonts w:hint="default" w:ascii="仿宋_GB2312" w:hAnsi="仿宋_GB2312" w:eastAsia="仿宋_GB2312" w:cs="仿宋_GB2312"/>
          <w:b/>
          <w:color w:val="000000" w:themeColor="text1"/>
          <w:sz w:val="28"/>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8"/>
          <w:highlight w:val="none"/>
          <w:lang w:val="en-US" w:eastAsia="zh-CN"/>
          <w14:textFill>
            <w14:solidFill>
              <w14:schemeClr w14:val="tx1"/>
            </w14:solidFill>
          </w14:textFill>
        </w:rPr>
        <w:t>A包（粮食及食用油）</w:t>
      </w:r>
    </w:p>
    <w:p w14:paraId="4C656D58">
      <w:pPr>
        <w:pStyle w:val="7"/>
        <w:jc w:val="left"/>
        <w:outlineLvl w:val="2"/>
        <w:rPr>
          <w:color w:val="000000" w:themeColor="text1"/>
          <w:sz w:val="24"/>
          <w:szCs w:val="24"/>
          <w:highlight w:val="none"/>
          <w14:textFill>
            <w14:solidFill>
              <w14:schemeClr w14:val="tx1"/>
            </w14:solidFill>
          </w14:textFill>
        </w:rPr>
      </w:pPr>
      <w:r>
        <w:rPr>
          <w:rFonts w:ascii="仿宋_GB2312" w:hAnsi="仿宋_GB2312" w:eastAsia="仿宋_GB2312" w:cs="仿宋_GB2312"/>
          <w:b/>
          <w:color w:val="000000" w:themeColor="text1"/>
          <w:sz w:val="24"/>
          <w:szCs w:val="24"/>
          <w:highlight w:val="none"/>
          <w14:textFill>
            <w14:solidFill>
              <w14:schemeClr w14:val="tx1"/>
            </w14:solidFill>
          </w14:textFill>
        </w:rPr>
        <w:t>一、项目概况</w:t>
      </w:r>
    </w:p>
    <w:p w14:paraId="7F0F4280">
      <w:pPr>
        <w:pStyle w:val="7"/>
        <w:spacing w:line="360" w:lineRule="auto"/>
        <w:ind w:firstLine="480"/>
        <w:jc w:val="left"/>
        <w:rPr>
          <w:b/>
          <w:bCs/>
          <w:color w:val="000000" w:themeColor="text1"/>
          <w:sz w:val="20"/>
          <w:szCs w:val="20"/>
          <w:highlight w:val="none"/>
          <w14:textFill>
            <w14:solidFill>
              <w14:schemeClr w14:val="tx1"/>
            </w14:solidFill>
          </w14:textFill>
        </w:rPr>
      </w:pPr>
    </w:p>
    <w:p w14:paraId="45670C72">
      <w:pPr>
        <w:pStyle w:val="7"/>
        <w:spacing w:line="360" w:lineRule="auto"/>
        <w:ind w:firstLine="400" w:firstLineChars="200"/>
        <w:jc w:val="both"/>
        <w:rPr>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一</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ascii="仿宋_GB2312" w:hAnsi="仿宋_GB2312" w:eastAsia="仿宋_GB2312" w:cs="仿宋_GB2312"/>
          <w:color w:val="000000" w:themeColor="text1"/>
          <w:sz w:val="20"/>
          <w:szCs w:val="20"/>
          <w:highlight w:val="none"/>
          <w14:textFill>
            <w14:solidFill>
              <w14:schemeClr w14:val="tx1"/>
            </w14:solidFill>
          </w14:textFill>
        </w:rPr>
        <w:t>项目名称：</w:t>
      </w:r>
      <w:r>
        <w:rPr>
          <w:rFonts w:hint="eastAsia" w:ascii="仿宋_GB2312" w:hAnsi="仿宋_GB2312" w:eastAsia="仿宋_GB2312" w:cs="仿宋_GB2312"/>
          <w:color w:val="000000" w:themeColor="text1"/>
          <w:highlight w:val="none"/>
          <w14:textFill>
            <w14:solidFill>
              <w14:schemeClr w14:val="tx1"/>
            </w14:solidFill>
          </w14:textFill>
        </w:rPr>
        <w:t>海南省监狱系统第一片区（海南省琼山、美兰、新康监狱）2026年度罪犯大宗生活物资（粮食及食用油、肉类及水产品）采购项目</w:t>
      </w:r>
      <w:r>
        <w:rPr>
          <w:rFonts w:ascii="仿宋_GB2312" w:hAnsi="仿宋_GB2312" w:eastAsia="仿宋_GB2312" w:cs="仿宋_GB2312"/>
          <w:color w:val="000000" w:themeColor="text1"/>
          <w:sz w:val="20"/>
          <w:szCs w:val="20"/>
          <w:highlight w:val="none"/>
          <w14:textFill>
            <w14:solidFill>
              <w14:schemeClr w14:val="tx1"/>
            </w14:solidFill>
          </w14:textFill>
        </w:rPr>
        <w:t>；</w:t>
      </w:r>
    </w:p>
    <w:p w14:paraId="121CFF3C">
      <w:pPr>
        <w:pStyle w:val="7"/>
        <w:spacing w:line="360" w:lineRule="auto"/>
        <w:ind w:firstLine="400" w:firstLineChars="200"/>
        <w:jc w:val="both"/>
        <w:rPr>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二</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ascii="仿宋_GB2312" w:hAnsi="仿宋_GB2312" w:eastAsia="仿宋_GB2312" w:cs="仿宋_GB2312"/>
          <w:color w:val="000000" w:themeColor="text1"/>
          <w:sz w:val="20"/>
          <w:szCs w:val="20"/>
          <w:highlight w:val="none"/>
          <w14:textFill>
            <w14:solidFill>
              <w14:schemeClr w14:val="tx1"/>
            </w14:solidFill>
          </w14:textFill>
        </w:rPr>
        <w:t>预算金额：</w:t>
      </w:r>
      <w:r>
        <w:rPr>
          <w:rFonts w:hint="eastAsia" w:ascii="仿宋_GB2312" w:hAnsi="仿宋_GB2312" w:eastAsia="仿宋_GB2312" w:cs="仿宋_GB2312"/>
          <w:color w:val="000000" w:themeColor="text1"/>
          <w:highlight w:val="none"/>
          <w14:textFill>
            <w14:solidFill>
              <w14:schemeClr w14:val="tx1"/>
            </w14:solidFill>
          </w14:textFill>
        </w:rPr>
        <w:t>¥15,869,285.30</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元,</w:t>
      </w:r>
      <w:r>
        <w:rPr>
          <w:rFonts w:ascii="仿宋_GB2312" w:hAnsi="仿宋_GB2312" w:eastAsia="仿宋_GB2312" w:cs="仿宋_GB2312"/>
          <w:color w:val="000000" w:themeColor="text1"/>
          <w:sz w:val="20"/>
          <w:szCs w:val="20"/>
          <w:highlight w:val="none"/>
          <w14:textFill>
            <w14:solidFill>
              <w14:schemeClr w14:val="tx1"/>
            </w14:solidFill>
          </w14:textFill>
        </w:rPr>
        <w:t>本项目分</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A、B</w:t>
      </w:r>
      <w:r>
        <w:rPr>
          <w:rFonts w:ascii="仿宋_GB2312" w:hAnsi="仿宋_GB2312" w:eastAsia="仿宋_GB2312" w:cs="仿宋_GB2312"/>
          <w:color w:val="000000" w:themeColor="text1"/>
          <w:sz w:val="20"/>
          <w:szCs w:val="20"/>
          <w:highlight w:val="none"/>
          <w14:textFill>
            <w14:solidFill>
              <w14:schemeClr w14:val="tx1"/>
            </w14:solidFill>
          </w14:textFill>
        </w:rPr>
        <w:t>包</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所需物资按各监狱需求分期分批供应，</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A包（</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粮食及食用油</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采购总金额为6,396,931.00元，其中海南省琼山监狱975,315.00元、海南省美兰监狱4,121,616.00元、海南省新康监狱1,300,000.00元，以实际采购数量为准（最高限价及参考数值请看汇总表）</w:t>
      </w:r>
      <w:r>
        <w:rPr>
          <w:rFonts w:ascii="仿宋_GB2312" w:hAnsi="仿宋_GB2312" w:eastAsia="仿宋_GB2312" w:cs="仿宋_GB2312"/>
          <w:color w:val="000000" w:themeColor="text1"/>
          <w:sz w:val="20"/>
          <w:szCs w:val="20"/>
          <w:highlight w:val="none"/>
          <w14:textFill>
            <w14:solidFill>
              <w14:schemeClr w14:val="tx1"/>
            </w14:solidFill>
          </w14:textFill>
        </w:rPr>
        <w:t>。</w:t>
      </w:r>
    </w:p>
    <w:p w14:paraId="321F2977">
      <w:pPr>
        <w:pStyle w:val="7"/>
        <w:jc w:val="left"/>
        <w:rPr>
          <w:rFonts w:hint="eastAsia" w:ascii="仿宋_GB2312" w:hAnsi="仿宋_GB2312" w:eastAsia="仿宋_GB2312" w:cs="仿宋_GB2312"/>
          <w:color w:val="000000" w:themeColor="text1"/>
          <w:highlight w:val="none"/>
          <w:lang w:eastAsia="zh-CN"/>
          <w14:textFill>
            <w14:solidFill>
              <w14:schemeClr w14:val="tx1"/>
            </w14:solidFill>
          </w14:textFill>
        </w:rPr>
      </w:pPr>
    </w:p>
    <w:tbl>
      <w:tblPr>
        <w:tblStyle w:val="5"/>
        <w:tblpPr w:leftFromText="180" w:rightFromText="180" w:vertAnchor="text" w:horzAnchor="page" w:tblpX="1136" w:tblpY="103"/>
        <w:tblOverlap w:val="never"/>
        <w:tblW w:w="95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1"/>
        <w:gridCol w:w="864"/>
        <w:gridCol w:w="1027"/>
        <w:gridCol w:w="893"/>
        <w:gridCol w:w="1453"/>
        <w:gridCol w:w="1267"/>
        <w:gridCol w:w="1401"/>
        <w:gridCol w:w="1227"/>
        <w:gridCol w:w="693"/>
      </w:tblGrid>
      <w:tr w14:paraId="60D53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6" w:hRule="atLeast"/>
        </w:trPr>
        <w:tc>
          <w:tcPr>
            <w:tcW w:w="9546" w:type="dxa"/>
            <w:gridSpan w:val="9"/>
            <w:tcBorders>
              <w:top w:val="nil"/>
              <w:left w:val="nil"/>
              <w:bottom w:val="nil"/>
              <w:right w:val="nil"/>
            </w:tcBorders>
            <w:shd w:val="clear" w:color="auto" w:fill="FFFFFF"/>
            <w:noWrap w:val="0"/>
            <w:vAlign w:val="center"/>
          </w:tcPr>
          <w:p w14:paraId="7A6A04D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8"/>
                <w:szCs w:val="28"/>
                <w:highlight w:val="none"/>
                <w:u w:val="none"/>
                <w:lang w:val="en-US" w:eastAsia="zh-CN" w:bidi="ar"/>
                <w14:textFill>
                  <w14:solidFill>
                    <w14:schemeClr w14:val="tx1"/>
                  </w14:solidFill>
                </w14:textFill>
              </w:rPr>
              <w:t>采购需求汇总表</w:t>
            </w:r>
          </w:p>
        </w:tc>
      </w:tr>
      <w:tr w14:paraId="1AC67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897AF6">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序 号</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98BA7A">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类 别</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0D5731">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商品名称</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42E81D">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单 位</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BD680F">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 xml:space="preserve"> 最高限价 </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EEC662">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琼山计划量</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311B28">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 xml:space="preserve"> 美兰计划量 </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A6C87C">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 xml:space="preserve">新康计划量 </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E09F34">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备注</w:t>
            </w:r>
          </w:p>
        </w:tc>
      </w:tr>
      <w:tr w14:paraId="2AC1C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36FD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CD56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粮食</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82CCE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籼 米</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FC077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 斤</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6BEE0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￥4.70 </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182DE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142800.00 </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0E2C8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640320.00 </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A6116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190000.00 </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F3BFC5">
            <w:pPr>
              <w:jc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p>
        </w:tc>
      </w:tr>
      <w:tr w14:paraId="019A8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721" w:type="dxa"/>
            <w:tcBorders>
              <w:top w:val="single" w:color="000000" w:sz="4" w:space="0"/>
              <w:left w:val="single" w:color="000000" w:sz="4" w:space="0"/>
              <w:bottom w:val="single" w:color="000000" w:sz="4" w:space="0"/>
              <w:right w:val="single" w:color="000000" w:sz="4" w:space="0"/>
            </w:tcBorders>
            <w:noWrap/>
            <w:vAlign w:val="center"/>
          </w:tcPr>
          <w:p w14:paraId="6868B2D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w:t>
            </w:r>
          </w:p>
        </w:tc>
        <w:tc>
          <w:tcPr>
            <w:tcW w:w="864" w:type="dxa"/>
            <w:vMerge w:val="continue"/>
            <w:tcBorders>
              <w:top w:val="single" w:color="000000" w:sz="4" w:space="0"/>
              <w:left w:val="single" w:color="000000" w:sz="4" w:space="0"/>
              <w:bottom w:val="single" w:color="000000" w:sz="4" w:space="0"/>
              <w:right w:val="single" w:color="000000" w:sz="4" w:space="0"/>
            </w:tcBorders>
            <w:noWrap/>
            <w:vAlign w:val="center"/>
          </w:tcPr>
          <w:p w14:paraId="79EE712A">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027" w:type="dxa"/>
            <w:tcBorders>
              <w:top w:val="single" w:color="000000" w:sz="4" w:space="0"/>
              <w:left w:val="single" w:color="000000" w:sz="4" w:space="0"/>
              <w:bottom w:val="single" w:color="000000" w:sz="4" w:space="0"/>
              <w:right w:val="single" w:color="000000" w:sz="4" w:space="0"/>
            </w:tcBorders>
            <w:noWrap w:val="0"/>
            <w:vAlign w:val="center"/>
          </w:tcPr>
          <w:p w14:paraId="41955B8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面 粉</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14:paraId="182CD3C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 斤</w:t>
            </w:r>
          </w:p>
        </w:tc>
        <w:tc>
          <w:tcPr>
            <w:tcW w:w="1453" w:type="dxa"/>
            <w:tcBorders>
              <w:top w:val="single" w:color="000000" w:sz="4" w:space="0"/>
              <w:left w:val="single" w:color="000000" w:sz="4" w:space="0"/>
              <w:bottom w:val="single" w:color="000000" w:sz="4" w:space="0"/>
              <w:right w:val="single" w:color="000000" w:sz="4" w:space="0"/>
            </w:tcBorders>
            <w:noWrap w:val="0"/>
            <w:vAlign w:val="center"/>
          </w:tcPr>
          <w:p w14:paraId="2C1DA60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￥4.33 </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5DC6B11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13000.00 </w:t>
            </w: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11B9B36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60015.00 </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7AB0F406">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20000.00 </w:t>
            </w:r>
          </w:p>
        </w:tc>
        <w:tc>
          <w:tcPr>
            <w:tcW w:w="693" w:type="dxa"/>
            <w:tcBorders>
              <w:top w:val="single" w:color="000000" w:sz="4" w:space="0"/>
              <w:left w:val="single" w:color="000000" w:sz="4" w:space="0"/>
              <w:bottom w:val="single" w:color="000000" w:sz="4" w:space="0"/>
              <w:right w:val="single" w:color="000000" w:sz="4" w:space="0"/>
            </w:tcBorders>
            <w:noWrap w:val="0"/>
            <w:vAlign w:val="center"/>
          </w:tcPr>
          <w:p w14:paraId="55430DED">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251EE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721" w:type="dxa"/>
            <w:tcBorders>
              <w:top w:val="single" w:color="000000" w:sz="4" w:space="0"/>
              <w:left w:val="single" w:color="000000" w:sz="4" w:space="0"/>
              <w:bottom w:val="single" w:color="000000" w:sz="4" w:space="0"/>
              <w:right w:val="single" w:color="000000" w:sz="4" w:space="0"/>
            </w:tcBorders>
            <w:noWrap/>
            <w:vAlign w:val="center"/>
          </w:tcPr>
          <w:p w14:paraId="4DD6814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w:t>
            </w:r>
          </w:p>
        </w:tc>
        <w:tc>
          <w:tcPr>
            <w:tcW w:w="864" w:type="dxa"/>
            <w:vMerge w:val="continue"/>
            <w:tcBorders>
              <w:top w:val="single" w:color="000000" w:sz="4" w:space="0"/>
              <w:left w:val="single" w:color="000000" w:sz="4" w:space="0"/>
              <w:bottom w:val="single" w:color="000000" w:sz="4" w:space="0"/>
              <w:right w:val="single" w:color="000000" w:sz="4" w:space="0"/>
            </w:tcBorders>
            <w:noWrap/>
            <w:vAlign w:val="center"/>
          </w:tcPr>
          <w:p w14:paraId="0E23EEC1">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027" w:type="dxa"/>
            <w:tcBorders>
              <w:top w:val="single" w:color="000000" w:sz="4" w:space="0"/>
              <w:left w:val="single" w:color="000000" w:sz="4" w:space="0"/>
              <w:bottom w:val="single" w:color="000000" w:sz="4" w:space="0"/>
              <w:right w:val="single" w:color="000000" w:sz="4" w:space="0"/>
            </w:tcBorders>
            <w:noWrap w:val="0"/>
            <w:vAlign w:val="center"/>
          </w:tcPr>
          <w:p w14:paraId="0B7D8C6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面包粉</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14:paraId="5C9A17C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453" w:type="dxa"/>
            <w:tcBorders>
              <w:top w:val="single" w:color="000000" w:sz="4" w:space="0"/>
              <w:left w:val="single" w:color="000000" w:sz="4" w:space="0"/>
              <w:bottom w:val="single" w:color="000000" w:sz="4" w:space="0"/>
              <w:right w:val="single" w:color="000000" w:sz="4" w:space="0"/>
            </w:tcBorders>
            <w:noWrap w:val="0"/>
            <w:vAlign w:val="center"/>
          </w:tcPr>
          <w:p w14:paraId="1D497D3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￥4.60 </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40D14A3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33467AB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32419FC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4600.00 </w:t>
            </w:r>
          </w:p>
        </w:tc>
        <w:tc>
          <w:tcPr>
            <w:tcW w:w="693" w:type="dxa"/>
            <w:tcBorders>
              <w:top w:val="single" w:color="000000" w:sz="4" w:space="0"/>
              <w:left w:val="single" w:color="000000" w:sz="4" w:space="0"/>
              <w:bottom w:val="single" w:color="000000" w:sz="4" w:space="0"/>
              <w:right w:val="single" w:color="000000" w:sz="4" w:space="0"/>
            </w:tcBorders>
            <w:noWrap w:val="0"/>
            <w:vAlign w:val="center"/>
          </w:tcPr>
          <w:p w14:paraId="50098045">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5099B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721" w:type="dxa"/>
            <w:tcBorders>
              <w:top w:val="single" w:color="000000" w:sz="4" w:space="0"/>
              <w:left w:val="single" w:color="000000" w:sz="4" w:space="0"/>
              <w:bottom w:val="single" w:color="000000" w:sz="4" w:space="0"/>
              <w:right w:val="single" w:color="000000" w:sz="4" w:space="0"/>
            </w:tcBorders>
            <w:noWrap/>
            <w:vAlign w:val="center"/>
          </w:tcPr>
          <w:p w14:paraId="74D02A1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w:t>
            </w:r>
          </w:p>
        </w:tc>
        <w:tc>
          <w:tcPr>
            <w:tcW w:w="864" w:type="dxa"/>
            <w:vMerge w:val="continue"/>
            <w:tcBorders>
              <w:top w:val="single" w:color="000000" w:sz="4" w:space="0"/>
              <w:left w:val="single" w:color="000000" w:sz="4" w:space="0"/>
              <w:bottom w:val="single" w:color="000000" w:sz="4" w:space="0"/>
              <w:right w:val="single" w:color="000000" w:sz="4" w:space="0"/>
            </w:tcBorders>
            <w:noWrap/>
            <w:vAlign w:val="center"/>
          </w:tcPr>
          <w:p w14:paraId="0EDA879C">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027" w:type="dxa"/>
            <w:tcBorders>
              <w:top w:val="single" w:color="000000" w:sz="4" w:space="0"/>
              <w:left w:val="single" w:color="000000" w:sz="4" w:space="0"/>
              <w:bottom w:val="single" w:color="000000" w:sz="4" w:space="0"/>
              <w:right w:val="single" w:color="000000" w:sz="4" w:space="0"/>
            </w:tcBorders>
            <w:noWrap w:val="0"/>
            <w:vAlign w:val="center"/>
          </w:tcPr>
          <w:p w14:paraId="51EA765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面 条</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14:paraId="52D54CA6">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 斤</w:t>
            </w:r>
          </w:p>
        </w:tc>
        <w:tc>
          <w:tcPr>
            <w:tcW w:w="1453" w:type="dxa"/>
            <w:tcBorders>
              <w:top w:val="single" w:color="000000" w:sz="4" w:space="0"/>
              <w:left w:val="single" w:color="000000" w:sz="4" w:space="0"/>
              <w:bottom w:val="single" w:color="000000" w:sz="4" w:space="0"/>
              <w:right w:val="single" w:color="000000" w:sz="4" w:space="0"/>
            </w:tcBorders>
            <w:noWrap w:val="0"/>
            <w:vAlign w:val="center"/>
          </w:tcPr>
          <w:p w14:paraId="1F476CA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￥4.80 </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1621CCC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11500.00 </w:t>
            </w:r>
          </w:p>
        </w:tc>
        <w:tc>
          <w:tcPr>
            <w:tcW w:w="1401" w:type="dxa"/>
            <w:tcBorders>
              <w:top w:val="single" w:color="000000" w:sz="4" w:space="0"/>
              <w:left w:val="single" w:color="000000" w:sz="4" w:space="0"/>
              <w:bottom w:val="single" w:color="000000" w:sz="4" w:space="0"/>
              <w:right w:val="single" w:color="000000" w:sz="4" w:space="0"/>
            </w:tcBorders>
            <w:noWrap w:val="0"/>
            <w:vAlign w:val="center"/>
          </w:tcPr>
          <w:p w14:paraId="0D3DF7F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19926.00 </w:t>
            </w:r>
          </w:p>
        </w:tc>
        <w:tc>
          <w:tcPr>
            <w:tcW w:w="1227" w:type="dxa"/>
            <w:tcBorders>
              <w:top w:val="single" w:color="000000" w:sz="4" w:space="0"/>
              <w:left w:val="single" w:color="000000" w:sz="4" w:space="0"/>
              <w:bottom w:val="single" w:color="000000" w:sz="4" w:space="0"/>
              <w:right w:val="single" w:color="000000" w:sz="4" w:space="0"/>
            </w:tcBorders>
            <w:noWrap w:val="0"/>
            <w:vAlign w:val="center"/>
          </w:tcPr>
          <w:p w14:paraId="74945AE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1500.00 </w:t>
            </w:r>
          </w:p>
        </w:tc>
        <w:tc>
          <w:tcPr>
            <w:tcW w:w="693" w:type="dxa"/>
            <w:tcBorders>
              <w:top w:val="single" w:color="000000" w:sz="4" w:space="0"/>
              <w:left w:val="single" w:color="000000" w:sz="4" w:space="0"/>
              <w:bottom w:val="single" w:color="000000" w:sz="4" w:space="0"/>
              <w:right w:val="single" w:color="000000" w:sz="4" w:space="0"/>
            </w:tcBorders>
            <w:noWrap w:val="0"/>
            <w:vAlign w:val="center"/>
          </w:tcPr>
          <w:p w14:paraId="48211552">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572B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 w:hRule="atLeast"/>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0458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5</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6599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食用油</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A6EAB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食用调和油</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99978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升</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7EECA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￥9.70 </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51F58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23760.00 </w:t>
            </w:r>
          </w:p>
        </w:tc>
        <w:tc>
          <w:tcPr>
            <w:tcW w:w="140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B2717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78000.00 </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B4514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35100.00 </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A7DF79">
            <w:pPr>
              <w:jc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p>
        </w:tc>
      </w:tr>
      <w:tr w14:paraId="57FFC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6" w:hRule="atLeast"/>
        </w:trPr>
        <w:tc>
          <w:tcPr>
            <w:tcW w:w="8853" w:type="dxa"/>
            <w:gridSpan w:val="8"/>
            <w:tcBorders>
              <w:top w:val="nil"/>
              <w:left w:val="nil"/>
              <w:bottom w:val="nil"/>
              <w:right w:val="nil"/>
            </w:tcBorders>
            <w:shd w:val="clear" w:color="auto" w:fill="FFFFFF"/>
            <w:noWrap/>
            <w:vAlign w:val="center"/>
          </w:tcPr>
          <w:p w14:paraId="5C437935">
            <w:pPr>
              <w:keepNext w:val="0"/>
              <w:keepLines w:val="0"/>
              <w:widowControl/>
              <w:suppressLineNumbers w:val="0"/>
              <w:jc w:val="left"/>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备注：以上数量仅供参考。</w:t>
            </w:r>
          </w:p>
        </w:tc>
        <w:tc>
          <w:tcPr>
            <w:tcW w:w="693" w:type="dxa"/>
            <w:tcBorders>
              <w:top w:val="nil"/>
              <w:left w:val="nil"/>
              <w:bottom w:val="nil"/>
              <w:right w:val="nil"/>
            </w:tcBorders>
            <w:shd w:val="clear" w:color="auto" w:fill="FFFFFF"/>
            <w:noWrap/>
            <w:vAlign w:val="center"/>
          </w:tcPr>
          <w:p w14:paraId="4062B2C2">
            <w:pPr>
              <w:jc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p>
        </w:tc>
      </w:tr>
    </w:tbl>
    <w:p w14:paraId="1E012ABF">
      <w:pPr>
        <w:pStyle w:val="7"/>
        <w:spacing w:line="360" w:lineRule="auto"/>
        <w:jc w:val="both"/>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三</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）报价及最高限价</w:t>
      </w:r>
    </w:p>
    <w:p w14:paraId="647FEB56">
      <w:pPr>
        <w:pStyle w:val="7"/>
        <w:spacing w:line="360" w:lineRule="auto"/>
        <w:ind w:firstLine="400" w:firstLineChars="200"/>
        <w:jc w:val="both"/>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报价及最高限价:投标报价包含产品价格、运输、装卸、售后服务、保险、搬运费、税金等所有费用，价格精确到分。如有漏项，视同已包含在其总价中，合同总价不予调整。</w:t>
      </w:r>
    </w:p>
    <w:p w14:paraId="5F7CADAB">
      <w:pPr>
        <w:pStyle w:val="7"/>
        <w:spacing w:line="360" w:lineRule="auto"/>
        <w:ind w:firstLine="400" w:firstLineChars="200"/>
        <w:jc w:val="both"/>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最高限价为:*元/公斤或*元/升，超过最高限价的视为无效投标。</w:t>
      </w:r>
    </w:p>
    <w:p w14:paraId="055FB09C">
      <w:pPr>
        <w:pStyle w:val="7"/>
        <w:spacing w:line="360" w:lineRule="auto"/>
        <w:ind w:firstLine="400" w:firstLineChars="200"/>
        <w:jc w:val="both"/>
        <w:rPr>
          <w:rFonts w:hint="default" w:ascii="仿宋_GB2312" w:hAnsi="仿宋_GB2312" w:eastAsia="仿宋_GB2312" w:cs="仿宋_GB2312"/>
          <w:color w:val="000000" w:themeColor="text1"/>
          <w:sz w:val="20"/>
          <w:szCs w:val="20"/>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投标报价采用统一</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采用报“单价折扣”</w:t>
      </w:r>
      <w:r>
        <w:rPr>
          <w:rFonts w:hint="eastAsia" w:ascii="仿宋_GB2312" w:hAnsi="仿宋_GB2312" w:eastAsia="仿宋_GB2312" w:cs="仿宋_GB2312"/>
          <w:color w:val="000000" w:themeColor="text1"/>
          <w:sz w:val="20"/>
          <w:szCs w:val="20"/>
          <w:highlight w:val="none"/>
          <w14:textFill>
            <w14:solidFill>
              <w14:schemeClr w14:val="tx1"/>
            </w14:solidFill>
          </w14:textFill>
        </w:rPr>
        <w:t>的方式</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单价折扣不得大于1，否则视为无效投标</w:t>
      </w:r>
      <w:r>
        <w:rPr>
          <w:rFonts w:hint="eastAsia" w:ascii="仿宋_GB2312" w:hAnsi="仿宋_GB2312" w:eastAsia="仿宋_GB2312" w:cs="仿宋_GB2312"/>
          <w:color w:val="000000" w:themeColor="text1"/>
          <w:sz w:val="20"/>
          <w:szCs w:val="20"/>
          <w:highlight w:val="none"/>
          <w14:textFill>
            <w14:solidFill>
              <w14:schemeClr w14:val="tx1"/>
            </w14:solidFill>
          </w14:textFill>
        </w:rPr>
        <w:t>。即:合同结算价=</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单个商品最高限价</w:t>
      </w:r>
      <w:r>
        <w:rPr>
          <w:rFonts w:hint="eastAsia" w:ascii="仿宋_GB2312" w:hAnsi="仿宋_GB2312" w:eastAsia="仿宋_GB2312" w:cs="仿宋_GB2312"/>
          <w:color w:val="000000" w:themeColor="text1"/>
          <w:sz w:val="20"/>
          <w:szCs w:val="20"/>
          <w:highlight w:val="none"/>
          <w14:textFill>
            <w14:solidFill>
              <w14:schemeClr w14:val="tx1"/>
            </w14:solidFill>
          </w14:textFill>
        </w:rPr>
        <w:t>x</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单价折扣，结算金额=合同结算单价</w:t>
      </w:r>
      <w:r>
        <w:rPr>
          <w:rFonts w:hint="eastAsia" w:ascii="仿宋_GB2312" w:hAnsi="仿宋_GB2312" w:eastAsia="仿宋_GB2312" w:cs="仿宋_GB2312"/>
          <w:color w:val="000000" w:themeColor="text1"/>
          <w:sz w:val="20"/>
          <w:szCs w:val="20"/>
          <w:highlight w:val="none"/>
          <w14:textFill>
            <w14:solidFill>
              <w14:schemeClr w14:val="tx1"/>
            </w14:solidFill>
          </w14:textFill>
        </w:rPr>
        <w:t>x</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实际供货量。所有采购品种以实际供货量进行结算。合同结算单价确定后，不因市场波动进行任何调整。</w:t>
      </w:r>
    </w:p>
    <w:p w14:paraId="5EF004A3">
      <w:pPr>
        <w:pStyle w:val="7"/>
        <w:spacing w:line="360" w:lineRule="auto"/>
        <w:jc w:val="left"/>
        <w:outlineLvl w:val="2"/>
        <w:rPr>
          <w:color w:val="000000" w:themeColor="text1"/>
          <w:sz w:val="24"/>
          <w:szCs w:val="24"/>
          <w:highlight w:val="none"/>
          <w14:textFill>
            <w14:solidFill>
              <w14:schemeClr w14:val="tx1"/>
            </w14:solidFill>
          </w14:textFill>
        </w:rPr>
      </w:pPr>
      <w:r>
        <w:rPr>
          <w:rFonts w:ascii="仿宋_GB2312" w:hAnsi="仿宋_GB2312" w:eastAsia="仿宋_GB2312" w:cs="仿宋_GB2312"/>
          <w:b/>
          <w:color w:val="000000" w:themeColor="text1"/>
          <w:sz w:val="24"/>
          <w:szCs w:val="24"/>
          <w:highlight w:val="none"/>
          <w14:textFill>
            <w14:solidFill>
              <w14:schemeClr w14:val="tx1"/>
            </w14:solidFill>
          </w14:textFill>
        </w:rPr>
        <w:t>二、技术和服务要求（以“★”标示的内容为不允许负偏离的实质性要求）</w:t>
      </w:r>
    </w:p>
    <w:p w14:paraId="3957D8D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一</w:t>
      </w:r>
      <w:r>
        <w:rPr>
          <w:rFonts w:hint="eastAsia" w:ascii="仿宋_GB2312" w:hAnsi="仿宋_GB2312" w:eastAsia="仿宋_GB2312" w:cs="仿宋_GB2312"/>
          <w:color w:val="000000" w:themeColor="text1"/>
          <w:sz w:val="20"/>
          <w:szCs w:val="20"/>
          <w:highlight w:val="none"/>
          <w14:textFill>
            <w14:solidFill>
              <w14:schemeClr w14:val="tx1"/>
            </w14:solidFill>
          </w14:textFill>
        </w:rPr>
        <w:t>)质量及包装要求:</w:t>
      </w:r>
    </w:p>
    <w:p w14:paraId="1EE5F0A0">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1.粮食:</w:t>
      </w:r>
    </w:p>
    <w:p w14:paraId="6272E092">
      <w:pPr>
        <w:pStyle w:val="7"/>
        <w:spacing w:line="360" w:lineRule="auto"/>
        <w:ind w:firstLine="400" w:firstLineChars="200"/>
        <w:jc w:val="left"/>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ascii="仿宋_GB2312" w:hAnsi="仿宋_GB2312" w:eastAsia="仿宋_GB2312" w:cs="仿宋_GB2312"/>
          <w:color w:val="000000" w:themeColor="text1"/>
          <w:highlight w:val="none"/>
          <w14:textFill>
            <w14:solidFill>
              <w14:schemeClr w14:val="tx1"/>
            </w14:solidFill>
          </w14:textFill>
        </w:rPr>
        <w:t>★</w:t>
      </w:r>
      <w:r>
        <w:rPr>
          <w:rFonts w:hint="eastAsia" w:ascii="仿宋_GB2312" w:hAnsi="仿宋_GB2312" w:eastAsia="仿宋_GB2312" w:cs="仿宋_GB2312"/>
          <w:color w:val="000000" w:themeColor="text1"/>
          <w:sz w:val="20"/>
          <w:szCs w:val="20"/>
          <w:highlight w:val="none"/>
          <w14:textFill>
            <w14:solidFill>
              <w14:schemeClr w14:val="tx1"/>
            </w14:solidFill>
          </w14:textFill>
        </w:rPr>
        <w:t>①不低于《GB/T 1354-2018大米》《GB/T 1355-2021小麦粉》《GB/T 40636-2021挂面》中二级籼米、面粉、面条的要求，符合国家粮食卫生标准，剩余保质期不得少于原保质期的二分之一。</w:t>
      </w:r>
    </w:p>
    <w:p w14:paraId="3ED19464">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投标人需提供用无色透明塑料袋密封包装的大米、面粉、面条样品各500g，中标样品将封存并作为验收对照使用，未中标样品不予退还；每三个月监狱从验收合格的大米、面粉、面条中分别抽取500g替换旧样品，以免样品变质影响验收。</w:t>
      </w:r>
    </w:p>
    <w:p w14:paraId="5AB9C1B6">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样品在开标截止时间后的1小时内由投标人送至开标地点，包装或密封须完好，标签上注明项目名称、项目编号、包号、样品名称、送样日期及投标人名称，不得泄露其他商业信息。</w:t>
      </w:r>
    </w:p>
    <w:p w14:paraId="5C45E197">
      <w:pPr>
        <w:pStyle w:val="7"/>
        <w:spacing w:line="360" w:lineRule="auto"/>
        <w:ind w:firstLine="400" w:firstLineChars="200"/>
        <w:jc w:val="left"/>
        <w:rPr>
          <w:rFonts w:hint="eastAsia" w:ascii="仿宋_GB2312" w:hAnsi="仿宋_GB2312" w:eastAsia="仿宋_GB2312" w:cs="仿宋_GB2312"/>
          <w:color w:val="000000" w:themeColor="text1"/>
          <w:highlight w:val="none"/>
          <w:lang w:eastAsia="zh-CN"/>
          <w14:textFill>
            <w14:solidFill>
              <w14:schemeClr w14:val="tx1"/>
            </w14:solidFill>
          </w14:textFill>
        </w:rPr>
      </w:pPr>
      <w:r>
        <w:rPr>
          <w:rFonts w:ascii="仿宋_GB2312" w:hAnsi="仿宋_GB2312" w:eastAsia="仿宋_GB2312" w:cs="仿宋_GB2312"/>
          <w:color w:val="000000" w:themeColor="text1"/>
          <w:highlight w:val="none"/>
          <w14:textFill>
            <w14:solidFill>
              <w14:schemeClr w14:val="tx1"/>
            </w14:solidFill>
          </w14:textFill>
        </w:rPr>
        <w:t>★</w:t>
      </w:r>
      <w:r>
        <w:rPr>
          <w:rFonts w:hint="eastAsia" w:ascii="仿宋_GB2312" w:hAnsi="仿宋_GB2312" w:eastAsia="仿宋_GB2312" w:cs="仿宋_GB2312"/>
          <w:color w:val="000000" w:themeColor="text1"/>
          <w:highlight w:val="none"/>
          <w:lang w:eastAsia="zh-CN"/>
          <w14:textFill>
            <w14:solidFill>
              <w14:schemeClr w14:val="tx1"/>
            </w14:solidFill>
          </w14:textFill>
        </w:rPr>
        <w:t>②50公斤/包（或25公斤/包），包装符合《GB/T17109-2008粮食销售包装》有关要求，包装材料清洁、卫生，符合国家食品卫生标准的规定。标签需标明产品名称、净含量、生产商名称和地址、生产日期、保质期、产品标准号、质量等级、生产许可证号、产品批号等。</w:t>
      </w:r>
    </w:p>
    <w:p w14:paraId="34EC86CC">
      <w:pPr>
        <w:pStyle w:val="7"/>
        <w:spacing w:line="360" w:lineRule="auto"/>
        <w:ind w:firstLine="400" w:firstLineChars="200"/>
        <w:jc w:val="left"/>
        <w:rPr>
          <w:rFonts w:hint="eastAsia" w:ascii="仿宋_GB2312" w:hAnsi="仿宋_GB2312" w:eastAsia="仿宋_GB2312" w:cs="仿宋_GB2312"/>
          <w:color w:val="000000" w:themeColor="text1"/>
          <w:highlight w:val="none"/>
          <w:lang w:eastAsia="zh-CN"/>
          <w14:textFill>
            <w14:solidFill>
              <w14:schemeClr w14:val="tx1"/>
            </w14:solidFill>
          </w14:textFill>
        </w:rPr>
      </w:pPr>
      <w:r>
        <w:rPr>
          <w:rFonts w:hint="eastAsia" w:ascii="仿宋_GB2312" w:hAnsi="仿宋_GB2312" w:eastAsia="仿宋_GB2312" w:cs="仿宋_GB2312"/>
          <w:color w:val="000000" w:themeColor="text1"/>
          <w:highlight w:val="none"/>
          <w:lang w:eastAsia="zh-CN"/>
          <w14:textFill>
            <w14:solidFill>
              <w14:schemeClr w14:val="tx1"/>
            </w14:solidFill>
          </w14:textFill>
        </w:rPr>
        <w:t>③大米的基本要求：</w:t>
      </w:r>
    </w:p>
    <w:tbl>
      <w:tblPr>
        <w:tblStyle w:val="5"/>
        <w:tblW w:w="7746"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32"/>
        <w:gridCol w:w="1006"/>
        <w:gridCol w:w="1153"/>
        <w:gridCol w:w="2444"/>
        <w:gridCol w:w="2311"/>
      </w:tblGrid>
      <w:tr w14:paraId="1558EEE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490" w:hRule="atLeast"/>
          <w:tblHeader/>
          <w:jc w:val="center"/>
        </w:trPr>
        <w:tc>
          <w:tcPr>
            <w:tcW w:w="832"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1F10975B">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序号</w:t>
            </w:r>
          </w:p>
        </w:tc>
        <w:tc>
          <w:tcPr>
            <w:tcW w:w="1006"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05EFFFAC">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采购品目名称</w:t>
            </w:r>
          </w:p>
        </w:tc>
        <w:tc>
          <w:tcPr>
            <w:tcW w:w="5908" w:type="dxa"/>
            <w:gridSpan w:val="3"/>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711D336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参数要求</w:t>
            </w:r>
          </w:p>
        </w:tc>
      </w:tr>
      <w:tr w14:paraId="5AADB75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394" w:hRule="atLeast"/>
          <w:jc w:val="center"/>
        </w:trPr>
        <w:tc>
          <w:tcPr>
            <w:tcW w:w="832" w:type="dxa"/>
            <w:vMerge w:val="restar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0443705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w:t>
            </w:r>
          </w:p>
        </w:tc>
        <w:tc>
          <w:tcPr>
            <w:tcW w:w="1006" w:type="dxa"/>
            <w:vMerge w:val="restar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73BA5F3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籼米</w:t>
            </w:r>
          </w:p>
        </w:tc>
        <w:tc>
          <w:tcPr>
            <w:tcW w:w="3597" w:type="dxa"/>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270D15A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等级</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34A91322">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GB/T 1354-2018二级</w:t>
            </w:r>
          </w:p>
        </w:tc>
      </w:tr>
      <w:tr w14:paraId="4A6DAE9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45" w:hRule="atLeast"/>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6762D1D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070D6C1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597" w:type="dxa"/>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1F9A345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加工精度</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04C89361">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精碾</w:t>
            </w:r>
          </w:p>
        </w:tc>
      </w:tr>
      <w:tr w14:paraId="6EF1305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0" w:hRule="atLeast"/>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277FAF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7B2917D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597" w:type="dxa"/>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30E1B5A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不完善粒（%）≤</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5B4388B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4.0</w:t>
            </w:r>
          </w:p>
        </w:tc>
      </w:tr>
      <w:tr w14:paraId="443464D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892331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38B04D5B">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153" w:type="dxa"/>
            <w:vMerge w:val="restar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2DC1B77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杂质</w:t>
            </w:r>
          </w:p>
        </w:tc>
        <w:tc>
          <w:tcPr>
            <w:tcW w:w="2444"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3FCDBF4A">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总量（%）≤</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33EBD8A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0.25</w:t>
            </w:r>
          </w:p>
        </w:tc>
      </w:tr>
      <w:tr w14:paraId="4D701FF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55" w:hRule="atLeast"/>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02D408A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51E6073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15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5DC3B1B0">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444"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424E53A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其中：无机杂质含量（%）≤</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5142F2A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0.02</w:t>
            </w:r>
          </w:p>
        </w:tc>
      </w:tr>
      <w:tr w14:paraId="32B515B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90" w:hRule="atLeast"/>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638C917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679E4EB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153" w:type="dxa"/>
            <w:vMerge w:val="restar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491F7451">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碎米（%）</w:t>
            </w:r>
          </w:p>
        </w:tc>
        <w:tc>
          <w:tcPr>
            <w:tcW w:w="2444"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5A4B6C5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总量（%）≤</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5460A28D">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20.0</w:t>
            </w:r>
          </w:p>
        </w:tc>
      </w:tr>
      <w:tr w14:paraId="67E9252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520" w:hRule="atLeast"/>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3D143B6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888C34C">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15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0843C0C8">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444"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633D0EA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其中：小碎米</w:t>
            </w:r>
          </w:p>
          <w:p w14:paraId="1ED7DEE1">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含量（%）≤</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0DC5A422">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1.5</w:t>
            </w:r>
          </w:p>
        </w:tc>
      </w:tr>
      <w:tr w14:paraId="5C08A2B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60" w:hRule="atLeast"/>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405FDDA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5E8FAC19">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597" w:type="dxa"/>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0B053A71">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水分（%）≤</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4D494F5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14.5</w:t>
            </w:r>
          </w:p>
        </w:tc>
      </w:tr>
      <w:tr w14:paraId="31FC61F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2136540">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7E65262D">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597" w:type="dxa"/>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7FF4DC6A">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黄粒米（%）≤</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2872623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1.0</w:t>
            </w:r>
          </w:p>
        </w:tc>
      </w:tr>
      <w:tr w14:paraId="06D9C98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6C72AFC9">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531A3BFC">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597" w:type="dxa"/>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6A52D01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互混率（%）≤</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42977F48">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5.0</w:t>
            </w:r>
          </w:p>
        </w:tc>
      </w:tr>
      <w:tr w14:paraId="78F4748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567" w:hRule="atLeast"/>
          <w:jc w:val="center"/>
        </w:trPr>
        <w:tc>
          <w:tcPr>
            <w:tcW w:w="832"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6181D33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006"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611FFBE2">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597" w:type="dxa"/>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763B62D9">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色泽、气味</w:t>
            </w:r>
          </w:p>
        </w:tc>
        <w:tc>
          <w:tcPr>
            <w:tcW w:w="2311"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0240D8C9">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正常</w:t>
            </w:r>
          </w:p>
        </w:tc>
      </w:tr>
    </w:tbl>
    <w:p w14:paraId="17CADB5E">
      <w:pPr>
        <w:pStyle w:val="7"/>
        <w:jc w:val="left"/>
        <w:rPr>
          <w:rFonts w:hint="eastAsia" w:ascii="仿宋_GB2312" w:hAnsi="仿宋_GB2312" w:eastAsia="仿宋_GB2312" w:cs="仿宋_GB2312"/>
          <w:color w:val="000000" w:themeColor="text1"/>
          <w:highlight w:val="none"/>
          <w:lang w:eastAsia="zh-CN"/>
          <w14:textFill>
            <w14:solidFill>
              <w14:schemeClr w14:val="tx1"/>
            </w14:solidFill>
          </w14:textFill>
        </w:rPr>
      </w:pPr>
    </w:p>
    <w:p w14:paraId="07E1185D">
      <w:pPr>
        <w:pStyle w:val="7"/>
        <w:spacing w:line="360" w:lineRule="auto"/>
        <w:ind w:firstLine="400" w:firstLineChars="200"/>
        <w:jc w:val="left"/>
        <w:rPr>
          <w:rFonts w:hint="eastAsia" w:ascii="仿宋_GB2312" w:hAnsi="仿宋_GB2312" w:eastAsia="仿宋_GB2312" w:cs="仿宋_GB2312"/>
          <w:color w:val="000000" w:themeColor="text1"/>
          <w:highlight w:val="none"/>
          <w:lang w:eastAsia="zh-CN"/>
          <w14:textFill>
            <w14:solidFill>
              <w14:schemeClr w14:val="tx1"/>
            </w14:solidFill>
          </w14:textFill>
        </w:rPr>
      </w:pPr>
      <w:r>
        <w:rPr>
          <w:rFonts w:hint="eastAsia" w:ascii="仿宋_GB2312" w:hAnsi="仿宋_GB2312" w:eastAsia="仿宋_GB2312" w:cs="仿宋_GB2312"/>
          <w:color w:val="000000" w:themeColor="text1"/>
          <w:highlight w:val="none"/>
          <w:lang w:eastAsia="zh-CN"/>
          <w14:textFill>
            <w14:solidFill>
              <w14:schemeClr w14:val="tx1"/>
            </w14:solidFill>
          </w14:textFill>
        </w:rPr>
        <w:t>④面粉的基本要求:</w:t>
      </w:r>
    </w:p>
    <w:tbl>
      <w:tblPr>
        <w:tblStyle w:val="5"/>
        <w:tblW w:w="7631"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657"/>
        <w:gridCol w:w="1433"/>
        <w:gridCol w:w="3205"/>
        <w:gridCol w:w="2336"/>
      </w:tblGrid>
      <w:tr w14:paraId="286655D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blHeader/>
          <w:jc w:val="center"/>
        </w:trPr>
        <w:tc>
          <w:tcPr>
            <w:tcW w:w="657"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406D840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序号</w:t>
            </w:r>
          </w:p>
        </w:tc>
        <w:tc>
          <w:tcPr>
            <w:tcW w:w="1433"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28433C9C">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采购品目</w:t>
            </w:r>
          </w:p>
          <w:p w14:paraId="616BCDF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名称</w:t>
            </w:r>
          </w:p>
        </w:tc>
        <w:tc>
          <w:tcPr>
            <w:tcW w:w="5541" w:type="dxa"/>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70D2EF2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质量指标要求</w:t>
            </w:r>
          </w:p>
        </w:tc>
      </w:tr>
      <w:tr w14:paraId="1C9AF1D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604" w:hRule="atLeast"/>
          <w:jc w:val="center"/>
        </w:trPr>
        <w:tc>
          <w:tcPr>
            <w:tcW w:w="657" w:type="dxa"/>
            <w:vMerge w:val="restar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4C1EADC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w:t>
            </w:r>
          </w:p>
        </w:tc>
        <w:tc>
          <w:tcPr>
            <w:tcW w:w="1433" w:type="dxa"/>
            <w:vMerge w:val="restar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1D6076BA">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p w14:paraId="46DF79EC">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小麦粉</w:t>
            </w:r>
          </w:p>
          <w:p w14:paraId="25EDFADC">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3E1608D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类   别</w:t>
            </w:r>
          </w:p>
        </w:tc>
        <w:tc>
          <w:tcPr>
            <w:tcW w:w="2336"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5DEE0B4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精制粉</w:t>
            </w:r>
          </w:p>
        </w:tc>
      </w:tr>
      <w:tr w14:paraId="16446B9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657"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6CEE58F2">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3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3483EF19">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64E51A1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加工精度</w:t>
            </w:r>
          </w:p>
        </w:tc>
        <w:tc>
          <w:tcPr>
            <w:tcW w:w="2336"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5F9C0BC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按标准样品或仪器测定值对照检验麸星</w:t>
            </w:r>
          </w:p>
        </w:tc>
      </w:tr>
      <w:tr w14:paraId="3B76E57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657"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1B2A4B3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3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1FE206ED">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24EE362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灰分含量（以干基计）</w:t>
            </w:r>
          </w:p>
          <w:p w14:paraId="3C42CF4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w:t>
            </w:r>
          </w:p>
        </w:tc>
        <w:tc>
          <w:tcPr>
            <w:tcW w:w="2336"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1AF6AA49">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0.70</w:t>
            </w:r>
          </w:p>
        </w:tc>
      </w:tr>
      <w:tr w14:paraId="5F8A070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08" w:hRule="atLeast"/>
          <w:jc w:val="center"/>
        </w:trPr>
        <w:tc>
          <w:tcPr>
            <w:tcW w:w="657"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1D731C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3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50B7E38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outset" w:color="auto" w:sz="6" w:space="0"/>
              <w:left w:val="outset" w:color="auto" w:sz="6" w:space="0"/>
              <w:bottom w:val="single" w:color="auto" w:sz="4" w:space="0"/>
              <w:right w:val="outset" w:color="auto" w:sz="6" w:space="0"/>
            </w:tcBorders>
            <w:shd w:val="clear" w:color="auto" w:fill="FFFFFF"/>
            <w:noWrap w:val="0"/>
            <w:tcMar>
              <w:top w:w="75" w:type="dxa"/>
              <w:left w:w="75" w:type="dxa"/>
              <w:bottom w:w="75" w:type="dxa"/>
              <w:right w:w="75" w:type="dxa"/>
            </w:tcMar>
            <w:vAlign w:val="center"/>
          </w:tcPr>
          <w:p w14:paraId="3098AAE0">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脂肪酸值（以湿基，KOH计）/（mg/100g）≤</w:t>
            </w:r>
          </w:p>
        </w:tc>
        <w:tc>
          <w:tcPr>
            <w:tcW w:w="2336" w:type="dxa"/>
            <w:tcBorders>
              <w:top w:val="outset" w:color="auto" w:sz="6" w:space="0"/>
              <w:left w:val="outset" w:color="auto" w:sz="6" w:space="0"/>
              <w:bottom w:val="single" w:color="auto" w:sz="4" w:space="0"/>
              <w:right w:val="outset" w:color="auto" w:sz="6" w:space="0"/>
            </w:tcBorders>
            <w:shd w:val="clear" w:color="auto" w:fill="FFFFFF"/>
            <w:noWrap w:val="0"/>
            <w:tcMar>
              <w:top w:w="75" w:type="dxa"/>
              <w:left w:w="75" w:type="dxa"/>
              <w:bottom w:w="75" w:type="dxa"/>
              <w:right w:w="75" w:type="dxa"/>
            </w:tcMar>
            <w:vAlign w:val="center"/>
          </w:tcPr>
          <w:p w14:paraId="192BE30A">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80</w:t>
            </w:r>
          </w:p>
        </w:tc>
      </w:tr>
      <w:tr w14:paraId="40FDC07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06" w:hRule="atLeast"/>
          <w:jc w:val="center"/>
        </w:trPr>
        <w:tc>
          <w:tcPr>
            <w:tcW w:w="657"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4BB97A2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3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7CBB7CE8">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single" w:color="auto" w:sz="4" w:space="0"/>
              <w:left w:val="outset" w:color="auto" w:sz="6" w:space="0"/>
              <w:bottom w:val="single" w:color="auto" w:sz="4" w:space="0"/>
              <w:right w:val="outset" w:color="auto" w:sz="6" w:space="0"/>
            </w:tcBorders>
            <w:shd w:val="clear" w:color="auto" w:fill="FFFFFF"/>
            <w:noWrap w:val="0"/>
            <w:tcMar>
              <w:top w:w="75" w:type="dxa"/>
              <w:left w:w="75" w:type="dxa"/>
              <w:bottom w:w="75" w:type="dxa"/>
              <w:right w:w="75" w:type="dxa"/>
            </w:tcMar>
            <w:vAlign w:val="center"/>
          </w:tcPr>
          <w:p w14:paraId="7BD29DFB">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水分含量/% ≤              </w:t>
            </w:r>
          </w:p>
        </w:tc>
        <w:tc>
          <w:tcPr>
            <w:tcW w:w="2336" w:type="dxa"/>
            <w:tcBorders>
              <w:top w:val="single" w:color="auto" w:sz="4"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42DAC750">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14.5</w:t>
            </w:r>
          </w:p>
        </w:tc>
      </w:tr>
      <w:tr w14:paraId="71A90AF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4" w:hRule="atLeast"/>
          <w:jc w:val="center"/>
        </w:trPr>
        <w:tc>
          <w:tcPr>
            <w:tcW w:w="657"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A8BABE1">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3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7C507FE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single" w:color="auto" w:sz="4" w:space="0"/>
              <w:left w:val="outset" w:color="auto" w:sz="6" w:space="0"/>
              <w:bottom w:val="outset" w:color="auto" w:sz="6" w:space="0"/>
              <w:right w:val="outset" w:color="auto" w:sz="6" w:space="0"/>
            </w:tcBorders>
            <w:shd w:val="clear" w:color="auto" w:fill="FFFFFF"/>
            <w:noWrap w:val="0"/>
            <w:vAlign w:val="center"/>
          </w:tcPr>
          <w:p w14:paraId="3CBA373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含砂量/%                       </w:t>
            </w:r>
          </w:p>
        </w:tc>
        <w:tc>
          <w:tcPr>
            <w:tcW w:w="2336" w:type="dxa"/>
            <w:tcBorders>
              <w:top w:val="single" w:color="auto" w:sz="4"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71D1E1D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0.02</w:t>
            </w:r>
          </w:p>
        </w:tc>
      </w:tr>
      <w:tr w14:paraId="1B0EC09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657"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48D05F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3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5A6F1E4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outset" w:color="auto" w:sz="6" w:space="0"/>
              <w:left w:val="outset" w:color="auto" w:sz="6" w:space="0"/>
              <w:bottom w:val="single" w:color="auto" w:sz="4" w:space="0"/>
              <w:right w:val="outset" w:color="auto" w:sz="6" w:space="0"/>
            </w:tcBorders>
            <w:shd w:val="clear" w:color="auto" w:fill="FFFFFF"/>
            <w:noWrap w:val="0"/>
            <w:tcMar>
              <w:top w:w="75" w:type="dxa"/>
              <w:left w:w="75" w:type="dxa"/>
              <w:bottom w:w="75" w:type="dxa"/>
              <w:right w:w="75" w:type="dxa"/>
            </w:tcMar>
            <w:vAlign w:val="center"/>
          </w:tcPr>
          <w:p w14:paraId="136E850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磁性金属物/(g/kg)   ≤             </w:t>
            </w:r>
          </w:p>
        </w:tc>
        <w:tc>
          <w:tcPr>
            <w:tcW w:w="2336"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33ADF49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0.003</w:t>
            </w:r>
          </w:p>
        </w:tc>
      </w:tr>
      <w:tr w14:paraId="0CFD75A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657"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C703D5B">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3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0F36EF6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single" w:color="auto" w:sz="4" w:space="0"/>
              <w:left w:val="outset" w:color="auto" w:sz="6" w:space="0"/>
              <w:bottom w:val="outset" w:color="auto" w:sz="6" w:space="0"/>
              <w:right w:val="outset" w:color="auto" w:sz="6" w:space="0"/>
            </w:tcBorders>
            <w:shd w:val="clear" w:color="auto" w:fill="FFFFFF"/>
            <w:noWrap w:val="0"/>
            <w:vAlign w:val="center"/>
          </w:tcPr>
          <w:p w14:paraId="332C94C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色泽、气味</w:t>
            </w:r>
          </w:p>
        </w:tc>
        <w:tc>
          <w:tcPr>
            <w:tcW w:w="2336"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71CB8CA1">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正常</w:t>
            </w:r>
          </w:p>
        </w:tc>
      </w:tr>
      <w:tr w14:paraId="41DCABD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657"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07CD06A0">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3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A78DC2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420796D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外观形态</w:t>
            </w:r>
          </w:p>
        </w:tc>
        <w:tc>
          <w:tcPr>
            <w:tcW w:w="2336"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4F73CCC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粉状或微粒状，无结块</w:t>
            </w:r>
          </w:p>
        </w:tc>
      </w:tr>
      <w:tr w14:paraId="5F5FC5D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657"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47FBC1F8">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33" w:type="dxa"/>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6815FFB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3205"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7D03D72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湿面筋含量/%    ≥               </w:t>
            </w:r>
          </w:p>
        </w:tc>
        <w:tc>
          <w:tcPr>
            <w:tcW w:w="2336" w:type="dxa"/>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center"/>
          </w:tcPr>
          <w:p w14:paraId="08A1250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22.0</w:t>
            </w:r>
          </w:p>
        </w:tc>
      </w:tr>
    </w:tbl>
    <w:p w14:paraId="064E6B12">
      <w:pPr>
        <w:pStyle w:val="7"/>
        <w:jc w:val="left"/>
        <w:rPr>
          <w:rFonts w:hint="eastAsia" w:ascii="仿宋_GB2312" w:hAnsi="仿宋_GB2312" w:eastAsia="仿宋_GB2312" w:cs="仿宋_GB2312"/>
          <w:color w:val="000000" w:themeColor="text1"/>
          <w:highlight w:val="none"/>
          <w:lang w:eastAsia="zh-CN"/>
          <w14:textFill>
            <w14:solidFill>
              <w14:schemeClr w14:val="tx1"/>
            </w14:solidFill>
          </w14:textFill>
        </w:rPr>
      </w:pPr>
    </w:p>
    <w:p w14:paraId="7B306C2F">
      <w:pPr>
        <w:pStyle w:val="7"/>
        <w:spacing w:line="360" w:lineRule="auto"/>
        <w:ind w:firstLine="400" w:firstLineChars="200"/>
        <w:jc w:val="left"/>
        <w:rPr>
          <w:rFonts w:hint="default" w:ascii="仿宋_GB2312" w:hAnsi="仿宋_GB2312" w:eastAsia="仿宋_GB2312" w:cs="仿宋_GB2312"/>
          <w:color w:val="000000" w:themeColor="text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highlight w:val="none"/>
          <w:lang w:eastAsia="zh-CN"/>
          <w14:textFill>
            <w14:solidFill>
              <w14:schemeClr w14:val="tx1"/>
            </w14:solidFill>
          </w14:textFill>
        </w:rPr>
        <w:t>⑤</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面粉包的基本要求：符合GB/T8607-2024《专用小麦粉》国家标准（提供新康监狱）。</w:t>
      </w:r>
    </w:p>
    <w:p w14:paraId="570B7BD2">
      <w:pPr>
        <w:pStyle w:val="7"/>
        <w:spacing w:line="360" w:lineRule="auto"/>
        <w:ind w:firstLine="400" w:firstLineChars="200"/>
        <w:jc w:val="left"/>
        <w:rPr>
          <w:rFonts w:hint="eastAsia" w:ascii="仿宋_GB2312" w:hAnsi="仿宋_GB2312" w:eastAsia="仿宋_GB2312" w:cs="仿宋_GB2312"/>
          <w:color w:val="000000" w:themeColor="text1"/>
          <w:highlight w:val="none"/>
          <w:lang w:eastAsia="zh-CN"/>
          <w14:textFill>
            <w14:solidFill>
              <w14:schemeClr w14:val="tx1"/>
            </w14:solidFill>
          </w14:textFill>
        </w:rPr>
      </w:pPr>
      <w:r>
        <w:rPr>
          <w:rFonts w:hint="eastAsia" w:ascii="仿宋_GB2312" w:hAnsi="仿宋_GB2312" w:eastAsia="仿宋_GB2312" w:cs="仿宋_GB2312"/>
          <w:color w:val="000000" w:themeColor="text1"/>
          <w:highlight w:val="none"/>
          <w:lang w:eastAsia="zh-CN"/>
          <w14:textFill>
            <w14:solidFill>
              <w14:schemeClr w14:val="tx1"/>
            </w14:solidFill>
          </w14:textFill>
        </w:rPr>
        <w:t>⑥面条的基本要求:</w:t>
      </w:r>
    </w:p>
    <w:tbl>
      <w:tblPr>
        <w:tblStyle w:val="5"/>
        <w:tblW w:w="7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7" w:type="dxa"/>
          <w:left w:w="17" w:type="dxa"/>
          <w:bottom w:w="17" w:type="dxa"/>
          <w:right w:w="17" w:type="dxa"/>
        </w:tblCellMar>
      </w:tblPr>
      <w:tblGrid>
        <w:gridCol w:w="657"/>
        <w:gridCol w:w="1465"/>
        <w:gridCol w:w="2081"/>
        <w:gridCol w:w="3390"/>
      </w:tblGrid>
      <w:tr w14:paraId="78C9C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jc w:val="center"/>
        </w:trPr>
        <w:tc>
          <w:tcPr>
            <w:tcW w:w="657" w:type="dxa"/>
            <w:shd w:val="clear" w:color="auto" w:fill="FFFFFF"/>
            <w:noWrap w:val="0"/>
            <w:tcMar>
              <w:top w:w="75" w:type="dxa"/>
              <w:left w:w="75" w:type="dxa"/>
              <w:bottom w:w="75" w:type="dxa"/>
              <w:right w:w="75" w:type="dxa"/>
            </w:tcMar>
            <w:vAlign w:val="center"/>
          </w:tcPr>
          <w:p w14:paraId="55057819">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序号</w:t>
            </w:r>
          </w:p>
        </w:tc>
        <w:tc>
          <w:tcPr>
            <w:tcW w:w="1465" w:type="dxa"/>
            <w:shd w:val="clear" w:color="auto" w:fill="FFFFFF"/>
            <w:noWrap w:val="0"/>
            <w:tcMar>
              <w:top w:w="75" w:type="dxa"/>
              <w:left w:w="75" w:type="dxa"/>
              <w:bottom w:w="75" w:type="dxa"/>
              <w:right w:w="75" w:type="dxa"/>
            </w:tcMar>
            <w:vAlign w:val="center"/>
          </w:tcPr>
          <w:p w14:paraId="6A3613B1">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货物名称</w:t>
            </w:r>
          </w:p>
        </w:tc>
        <w:tc>
          <w:tcPr>
            <w:tcW w:w="2081" w:type="dxa"/>
            <w:shd w:val="clear" w:color="auto" w:fill="FFFFFF"/>
            <w:noWrap w:val="0"/>
            <w:tcMar>
              <w:top w:w="75" w:type="dxa"/>
              <w:left w:w="75" w:type="dxa"/>
              <w:bottom w:w="75" w:type="dxa"/>
              <w:right w:w="75" w:type="dxa"/>
            </w:tcMar>
            <w:vAlign w:val="center"/>
          </w:tcPr>
          <w:p w14:paraId="28417B0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项   目</w:t>
            </w:r>
          </w:p>
        </w:tc>
        <w:tc>
          <w:tcPr>
            <w:tcW w:w="3390" w:type="dxa"/>
            <w:shd w:val="clear" w:color="auto" w:fill="FFFFFF"/>
            <w:noWrap w:val="0"/>
            <w:tcMar>
              <w:top w:w="75" w:type="dxa"/>
              <w:left w:w="75" w:type="dxa"/>
              <w:bottom w:w="75" w:type="dxa"/>
              <w:right w:w="75" w:type="dxa"/>
            </w:tcMar>
            <w:vAlign w:val="center"/>
          </w:tcPr>
          <w:p w14:paraId="2D47F11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要      求</w:t>
            </w:r>
          </w:p>
        </w:tc>
      </w:tr>
      <w:tr w14:paraId="63BA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trHeight w:val="323" w:hRule="atLeast"/>
          <w:jc w:val="center"/>
        </w:trPr>
        <w:tc>
          <w:tcPr>
            <w:tcW w:w="657" w:type="dxa"/>
            <w:vMerge w:val="restart"/>
            <w:shd w:val="clear" w:color="auto" w:fill="FFFFFF"/>
            <w:noWrap w:val="0"/>
            <w:tcMar>
              <w:top w:w="75" w:type="dxa"/>
              <w:left w:w="75" w:type="dxa"/>
              <w:bottom w:w="75" w:type="dxa"/>
              <w:right w:w="75" w:type="dxa"/>
            </w:tcMar>
            <w:vAlign w:val="center"/>
          </w:tcPr>
          <w:p w14:paraId="4ACB5C70">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w:t>
            </w:r>
          </w:p>
        </w:tc>
        <w:tc>
          <w:tcPr>
            <w:tcW w:w="1465" w:type="dxa"/>
            <w:vMerge w:val="restart"/>
            <w:shd w:val="clear" w:color="auto" w:fill="FFFFFF"/>
            <w:noWrap w:val="0"/>
            <w:tcMar>
              <w:top w:w="75" w:type="dxa"/>
              <w:left w:w="75" w:type="dxa"/>
              <w:bottom w:w="75" w:type="dxa"/>
              <w:right w:w="75" w:type="dxa"/>
            </w:tcMar>
            <w:vAlign w:val="center"/>
          </w:tcPr>
          <w:p w14:paraId="1E2609DC">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面条</w:t>
            </w:r>
          </w:p>
          <w:p w14:paraId="3DA19537">
            <w:pPr>
              <w:keepNext w:val="0"/>
              <w:keepLines w:val="0"/>
              <w:pageBreakBefore w:val="0"/>
              <w:widowControl w:val="0"/>
              <w:kinsoku/>
              <w:wordWrap/>
              <w:overflowPunct/>
              <w:topLinePunct w:val="0"/>
              <w:autoSpaceDE/>
              <w:autoSpaceDN/>
              <w:bidi w:val="0"/>
              <w:adjustRightInd/>
              <w:snapToGrid/>
              <w:spacing w:line="320" w:lineRule="exact"/>
              <w:jc w:val="both"/>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081" w:type="dxa"/>
            <w:shd w:val="clear" w:color="auto" w:fill="FFFFFF"/>
            <w:noWrap w:val="0"/>
            <w:tcMar>
              <w:top w:w="75" w:type="dxa"/>
              <w:left w:w="75" w:type="dxa"/>
              <w:bottom w:w="75" w:type="dxa"/>
              <w:right w:w="75" w:type="dxa"/>
            </w:tcMar>
            <w:vAlign w:val="center"/>
          </w:tcPr>
          <w:p w14:paraId="53EFBB62">
            <w:pPr>
              <w:keepNext w:val="0"/>
              <w:keepLines w:val="0"/>
              <w:pageBreakBefore w:val="0"/>
              <w:widowControl w:val="0"/>
              <w:kinsoku/>
              <w:wordWrap/>
              <w:overflowPunct/>
              <w:topLinePunct w:val="0"/>
              <w:autoSpaceDE/>
              <w:autoSpaceDN/>
              <w:bidi w:val="0"/>
              <w:adjustRightInd/>
              <w:snapToGrid/>
              <w:spacing w:line="320" w:lineRule="exact"/>
              <w:jc w:val="center"/>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色   泽</w:t>
            </w:r>
          </w:p>
        </w:tc>
        <w:tc>
          <w:tcPr>
            <w:tcW w:w="3390" w:type="dxa"/>
            <w:shd w:val="clear" w:color="auto" w:fill="FFFFFF"/>
            <w:noWrap w:val="0"/>
            <w:tcMar>
              <w:top w:w="75" w:type="dxa"/>
              <w:left w:w="75" w:type="dxa"/>
              <w:bottom w:w="75" w:type="dxa"/>
              <w:right w:w="75" w:type="dxa"/>
            </w:tcMar>
            <w:vAlign w:val="center"/>
          </w:tcPr>
          <w:p w14:paraId="30D7CA72">
            <w:pPr>
              <w:keepNext w:val="0"/>
              <w:keepLines w:val="0"/>
              <w:pageBreakBefore w:val="0"/>
              <w:widowControl w:val="0"/>
              <w:kinsoku/>
              <w:wordWrap/>
              <w:overflowPunct/>
              <w:topLinePunct w:val="0"/>
              <w:autoSpaceDE/>
              <w:autoSpaceDN/>
              <w:bidi w:val="0"/>
              <w:adjustRightInd/>
              <w:snapToGrid/>
              <w:spacing w:line="320" w:lineRule="exact"/>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均匀一致</w:t>
            </w:r>
          </w:p>
        </w:tc>
      </w:tr>
      <w:tr w14:paraId="4DCF7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trHeight w:val="377" w:hRule="atLeast"/>
          <w:jc w:val="center"/>
        </w:trPr>
        <w:tc>
          <w:tcPr>
            <w:tcW w:w="657" w:type="dxa"/>
            <w:vMerge w:val="continue"/>
            <w:shd w:val="clear" w:color="auto" w:fill="FFFFFF"/>
            <w:noWrap w:val="0"/>
            <w:tcMar>
              <w:top w:w="75" w:type="dxa"/>
              <w:left w:w="75" w:type="dxa"/>
              <w:bottom w:w="75" w:type="dxa"/>
              <w:right w:w="75" w:type="dxa"/>
            </w:tcMar>
            <w:vAlign w:val="center"/>
          </w:tcPr>
          <w:p w14:paraId="692BF171">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65" w:type="dxa"/>
            <w:vMerge w:val="continue"/>
            <w:shd w:val="clear" w:color="auto" w:fill="FFFFFF"/>
            <w:noWrap w:val="0"/>
            <w:tcMar>
              <w:top w:w="75" w:type="dxa"/>
              <w:left w:w="75" w:type="dxa"/>
              <w:bottom w:w="75" w:type="dxa"/>
              <w:right w:w="75" w:type="dxa"/>
            </w:tcMar>
            <w:vAlign w:val="center"/>
          </w:tcPr>
          <w:p w14:paraId="7D72EC4B">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081" w:type="dxa"/>
            <w:shd w:val="clear" w:color="auto" w:fill="FFFFFF"/>
            <w:noWrap w:val="0"/>
            <w:tcMar>
              <w:top w:w="75" w:type="dxa"/>
              <w:left w:w="75" w:type="dxa"/>
              <w:bottom w:w="75" w:type="dxa"/>
              <w:right w:w="75" w:type="dxa"/>
            </w:tcMar>
            <w:vAlign w:val="center"/>
          </w:tcPr>
          <w:p w14:paraId="583E4D4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气   味</w:t>
            </w:r>
          </w:p>
        </w:tc>
        <w:tc>
          <w:tcPr>
            <w:tcW w:w="3390" w:type="dxa"/>
            <w:shd w:val="clear" w:color="auto" w:fill="FFFFFF"/>
            <w:noWrap w:val="0"/>
            <w:tcMar>
              <w:top w:w="75" w:type="dxa"/>
              <w:left w:w="75" w:type="dxa"/>
              <w:bottom w:w="75" w:type="dxa"/>
              <w:right w:w="75" w:type="dxa"/>
            </w:tcMar>
            <w:vAlign w:val="center"/>
          </w:tcPr>
          <w:p w14:paraId="1E93389E">
            <w:pPr>
              <w:keepNext w:val="0"/>
              <w:keepLines w:val="0"/>
              <w:pageBreakBefore w:val="0"/>
              <w:widowControl w:val="0"/>
              <w:kinsoku/>
              <w:wordWrap/>
              <w:overflowPunct/>
              <w:topLinePunct w:val="0"/>
              <w:autoSpaceDE/>
              <w:autoSpaceDN/>
              <w:bidi w:val="0"/>
              <w:adjustRightInd/>
              <w:snapToGrid/>
              <w:spacing w:line="320" w:lineRule="exact"/>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无酸味、霉味及其他异味</w:t>
            </w:r>
          </w:p>
        </w:tc>
      </w:tr>
      <w:tr w14:paraId="69CC8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trHeight w:val="355" w:hRule="atLeast"/>
          <w:jc w:val="center"/>
        </w:trPr>
        <w:tc>
          <w:tcPr>
            <w:tcW w:w="657" w:type="dxa"/>
            <w:vMerge w:val="continue"/>
            <w:shd w:val="clear" w:color="auto" w:fill="FFFFFF"/>
            <w:noWrap w:val="0"/>
            <w:tcMar>
              <w:top w:w="75" w:type="dxa"/>
              <w:left w:w="75" w:type="dxa"/>
              <w:bottom w:w="75" w:type="dxa"/>
              <w:right w:w="75" w:type="dxa"/>
            </w:tcMar>
            <w:vAlign w:val="center"/>
          </w:tcPr>
          <w:p w14:paraId="3933024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65" w:type="dxa"/>
            <w:vMerge w:val="continue"/>
            <w:shd w:val="clear" w:color="auto" w:fill="FFFFFF"/>
            <w:noWrap w:val="0"/>
            <w:tcMar>
              <w:top w:w="75" w:type="dxa"/>
              <w:left w:w="75" w:type="dxa"/>
              <w:bottom w:w="75" w:type="dxa"/>
              <w:right w:w="75" w:type="dxa"/>
            </w:tcMar>
            <w:vAlign w:val="center"/>
          </w:tcPr>
          <w:p w14:paraId="5890768B">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081" w:type="dxa"/>
            <w:shd w:val="clear" w:color="auto" w:fill="FFFFFF"/>
            <w:noWrap w:val="0"/>
            <w:tcMar>
              <w:top w:w="75" w:type="dxa"/>
              <w:left w:w="75" w:type="dxa"/>
              <w:bottom w:w="75" w:type="dxa"/>
              <w:right w:w="75" w:type="dxa"/>
            </w:tcMar>
            <w:vAlign w:val="center"/>
          </w:tcPr>
          <w:p w14:paraId="1A0D1A4A">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杂   质</w:t>
            </w:r>
          </w:p>
        </w:tc>
        <w:tc>
          <w:tcPr>
            <w:tcW w:w="3390" w:type="dxa"/>
            <w:shd w:val="clear" w:color="auto" w:fill="FFFFFF"/>
            <w:noWrap w:val="0"/>
            <w:tcMar>
              <w:top w:w="75" w:type="dxa"/>
              <w:left w:w="75" w:type="dxa"/>
              <w:bottom w:w="75" w:type="dxa"/>
              <w:right w:w="75" w:type="dxa"/>
            </w:tcMar>
            <w:vAlign w:val="center"/>
          </w:tcPr>
          <w:p w14:paraId="701371A0">
            <w:pPr>
              <w:keepNext w:val="0"/>
              <w:keepLines w:val="0"/>
              <w:pageBreakBefore w:val="0"/>
              <w:widowControl w:val="0"/>
              <w:kinsoku/>
              <w:wordWrap/>
              <w:overflowPunct/>
              <w:topLinePunct w:val="0"/>
              <w:autoSpaceDE/>
              <w:autoSpaceDN/>
              <w:bidi w:val="0"/>
              <w:adjustRightInd/>
              <w:snapToGrid/>
              <w:spacing w:line="320" w:lineRule="exact"/>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无正常视力可见的异物</w:t>
            </w:r>
          </w:p>
        </w:tc>
      </w:tr>
      <w:tr w14:paraId="695C4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trHeight w:val="340" w:hRule="atLeast"/>
          <w:jc w:val="center"/>
        </w:trPr>
        <w:tc>
          <w:tcPr>
            <w:tcW w:w="657" w:type="dxa"/>
            <w:vMerge w:val="continue"/>
            <w:shd w:val="clear" w:color="auto" w:fill="FFFFFF"/>
            <w:noWrap w:val="0"/>
            <w:tcMar>
              <w:top w:w="75" w:type="dxa"/>
              <w:left w:w="75" w:type="dxa"/>
              <w:bottom w:w="75" w:type="dxa"/>
              <w:right w:w="75" w:type="dxa"/>
            </w:tcMar>
            <w:vAlign w:val="center"/>
          </w:tcPr>
          <w:p w14:paraId="7C1840A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65" w:type="dxa"/>
            <w:vMerge w:val="continue"/>
            <w:shd w:val="clear" w:color="auto" w:fill="FFFFFF"/>
            <w:noWrap w:val="0"/>
            <w:tcMar>
              <w:top w:w="75" w:type="dxa"/>
              <w:left w:w="75" w:type="dxa"/>
              <w:bottom w:w="75" w:type="dxa"/>
              <w:right w:w="75" w:type="dxa"/>
            </w:tcMar>
            <w:vAlign w:val="center"/>
          </w:tcPr>
          <w:p w14:paraId="5AEAA5CB">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081" w:type="dxa"/>
            <w:shd w:val="clear" w:color="auto" w:fill="FFFFFF"/>
            <w:noWrap w:val="0"/>
            <w:tcMar>
              <w:top w:w="75" w:type="dxa"/>
              <w:left w:w="75" w:type="dxa"/>
              <w:bottom w:w="75" w:type="dxa"/>
              <w:right w:w="75" w:type="dxa"/>
            </w:tcMar>
            <w:vAlign w:val="center"/>
          </w:tcPr>
          <w:p w14:paraId="651E7792">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口   感 </w:t>
            </w:r>
          </w:p>
        </w:tc>
        <w:tc>
          <w:tcPr>
            <w:tcW w:w="3390" w:type="dxa"/>
            <w:shd w:val="clear" w:color="auto" w:fill="FFFFFF"/>
            <w:noWrap w:val="0"/>
            <w:tcMar>
              <w:top w:w="75" w:type="dxa"/>
              <w:left w:w="75" w:type="dxa"/>
              <w:bottom w:w="75" w:type="dxa"/>
              <w:right w:w="75" w:type="dxa"/>
            </w:tcMar>
            <w:vAlign w:val="center"/>
          </w:tcPr>
          <w:p w14:paraId="2558BD4A">
            <w:pPr>
              <w:keepNext w:val="0"/>
              <w:keepLines w:val="0"/>
              <w:pageBreakBefore w:val="0"/>
              <w:widowControl w:val="0"/>
              <w:kinsoku/>
              <w:wordWrap/>
              <w:overflowPunct/>
              <w:topLinePunct w:val="0"/>
              <w:autoSpaceDE/>
              <w:autoSpaceDN/>
              <w:bidi w:val="0"/>
              <w:adjustRightInd/>
              <w:snapToGrid/>
              <w:spacing w:line="320" w:lineRule="exact"/>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煮熟后在口中咀嚼时不牙碜</w:t>
            </w:r>
          </w:p>
        </w:tc>
      </w:tr>
      <w:tr w14:paraId="42FEC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trHeight w:val="340" w:hRule="atLeast"/>
          <w:jc w:val="center"/>
        </w:trPr>
        <w:tc>
          <w:tcPr>
            <w:tcW w:w="657" w:type="dxa"/>
            <w:vMerge w:val="continue"/>
            <w:shd w:val="clear" w:color="auto" w:fill="FFFFFF"/>
            <w:noWrap w:val="0"/>
            <w:tcMar>
              <w:top w:w="75" w:type="dxa"/>
              <w:left w:w="75" w:type="dxa"/>
              <w:bottom w:w="75" w:type="dxa"/>
              <w:right w:w="75" w:type="dxa"/>
            </w:tcMar>
            <w:vAlign w:val="center"/>
          </w:tcPr>
          <w:p w14:paraId="14DF7BA3">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65" w:type="dxa"/>
            <w:vMerge w:val="continue"/>
            <w:shd w:val="clear" w:color="auto" w:fill="FFFFFF"/>
            <w:noWrap w:val="0"/>
            <w:tcMar>
              <w:top w:w="75" w:type="dxa"/>
              <w:left w:w="75" w:type="dxa"/>
              <w:bottom w:w="75" w:type="dxa"/>
              <w:right w:w="75" w:type="dxa"/>
            </w:tcMar>
            <w:vAlign w:val="center"/>
          </w:tcPr>
          <w:p w14:paraId="295D95FB">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081" w:type="dxa"/>
            <w:shd w:val="clear" w:color="auto" w:fill="FFFFFF"/>
            <w:noWrap w:val="0"/>
            <w:tcMar>
              <w:top w:w="75" w:type="dxa"/>
              <w:left w:w="75" w:type="dxa"/>
              <w:bottom w:w="75" w:type="dxa"/>
              <w:right w:w="75" w:type="dxa"/>
            </w:tcMar>
            <w:vAlign w:val="center"/>
          </w:tcPr>
          <w:p w14:paraId="7B65798F">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水分含量/%              ≤</w:t>
            </w:r>
          </w:p>
        </w:tc>
        <w:tc>
          <w:tcPr>
            <w:tcW w:w="3390" w:type="dxa"/>
            <w:shd w:val="clear" w:color="auto" w:fill="FFFFFF"/>
            <w:noWrap w:val="0"/>
            <w:tcMar>
              <w:top w:w="75" w:type="dxa"/>
              <w:left w:w="75" w:type="dxa"/>
              <w:bottom w:w="75" w:type="dxa"/>
              <w:right w:w="75" w:type="dxa"/>
            </w:tcMar>
            <w:vAlign w:val="center"/>
          </w:tcPr>
          <w:p w14:paraId="3D803AC9">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14.5</w:t>
            </w:r>
          </w:p>
        </w:tc>
      </w:tr>
      <w:tr w14:paraId="03FE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trHeight w:val="340" w:hRule="atLeast"/>
          <w:jc w:val="center"/>
        </w:trPr>
        <w:tc>
          <w:tcPr>
            <w:tcW w:w="657" w:type="dxa"/>
            <w:vMerge w:val="continue"/>
            <w:shd w:val="clear" w:color="auto" w:fill="FFFFFF"/>
            <w:noWrap w:val="0"/>
            <w:tcMar>
              <w:top w:w="75" w:type="dxa"/>
              <w:left w:w="75" w:type="dxa"/>
              <w:bottom w:w="75" w:type="dxa"/>
              <w:right w:w="75" w:type="dxa"/>
            </w:tcMar>
            <w:vAlign w:val="center"/>
          </w:tcPr>
          <w:p w14:paraId="3B5E5AC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65" w:type="dxa"/>
            <w:vMerge w:val="continue"/>
            <w:shd w:val="clear" w:color="auto" w:fill="FFFFFF"/>
            <w:noWrap w:val="0"/>
            <w:tcMar>
              <w:top w:w="75" w:type="dxa"/>
              <w:left w:w="75" w:type="dxa"/>
              <w:bottom w:w="75" w:type="dxa"/>
              <w:right w:w="75" w:type="dxa"/>
            </w:tcMar>
            <w:vAlign w:val="center"/>
          </w:tcPr>
          <w:p w14:paraId="3A5998A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081" w:type="dxa"/>
            <w:shd w:val="clear" w:color="auto" w:fill="FFFFFF"/>
            <w:noWrap w:val="0"/>
            <w:tcMar>
              <w:top w:w="75" w:type="dxa"/>
              <w:left w:w="75" w:type="dxa"/>
              <w:bottom w:w="75" w:type="dxa"/>
              <w:right w:w="75" w:type="dxa"/>
            </w:tcMar>
            <w:vAlign w:val="center"/>
          </w:tcPr>
          <w:p w14:paraId="5590E61A">
            <w:pPr>
              <w:keepNext w:val="0"/>
              <w:keepLines w:val="0"/>
              <w:pageBreakBefore w:val="0"/>
              <w:widowControl w:val="0"/>
              <w:kinsoku/>
              <w:wordWrap/>
              <w:overflowPunct/>
              <w:topLinePunct w:val="0"/>
              <w:autoSpaceDE/>
              <w:autoSpaceDN/>
              <w:bidi w:val="0"/>
              <w:adjustRightInd/>
              <w:snapToGrid/>
              <w:spacing w:line="320" w:lineRule="exact"/>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酸度/（mL/10g）         ≤</w:t>
            </w:r>
          </w:p>
        </w:tc>
        <w:tc>
          <w:tcPr>
            <w:tcW w:w="3390" w:type="dxa"/>
            <w:shd w:val="clear" w:color="auto" w:fill="FFFFFF"/>
            <w:noWrap w:val="0"/>
            <w:tcMar>
              <w:top w:w="75" w:type="dxa"/>
              <w:left w:w="75" w:type="dxa"/>
              <w:bottom w:w="75" w:type="dxa"/>
              <w:right w:w="75" w:type="dxa"/>
            </w:tcMar>
            <w:vAlign w:val="center"/>
          </w:tcPr>
          <w:p w14:paraId="5227BC3D">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4.0</w:t>
            </w:r>
          </w:p>
        </w:tc>
      </w:tr>
      <w:tr w14:paraId="318C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trHeight w:val="340" w:hRule="atLeast"/>
          <w:jc w:val="center"/>
        </w:trPr>
        <w:tc>
          <w:tcPr>
            <w:tcW w:w="657" w:type="dxa"/>
            <w:vMerge w:val="continue"/>
            <w:shd w:val="clear" w:color="auto" w:fill="FFFFFF"/>
            <w:noWrap w:val="0"/>
            <w:tcMar>
              <w:top w:w="75" w:type="dxa"/>
              <w:left w:w="75" w:type="dxa"/>
              <w:bottom w:w="75" w:type="dxa"/>
              <w:right w:w="75" w:type="dxa"/>
            </w:tcMar>
            <w:vAlign w:val="center"/>
          </w:tcPr>
          <w:p w14:paraId="306B9EE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65" w:type="dxa"/>
            <w:vMerge w:val="continue"/>
            <w:shd w:val="clear" w:color="auto" w:fill="FFFFFF"/>
            <w:noWrap w:val="0"/>
            <w:tcMar>
              <w:top w:w="75" w:type="dxa"/>
              <w:left w:w="75" w:type="dxa"/>
              <w:bottom w:w="75" w:type="dxa"/>
              <w:right w:w="75" w:type="dxa"/>
            </w:tcMar>
            <w:vAlign w:val="center"/>
          </w:tcPr>
          <w:p w14:paraId="0B0B977D">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081" w:type="dxa"/>
            <w:shd w:val="clear" w:color="auto" w:fill="FFFFFF"/>
            <w:noWrap w:val="0"/>
            <w:tcMar>
              <w:top w:w="75" w:type="dxa"/>
              <w:left w:w="75" w:type="dxa"/>
              <w:bottom w:w="75" w:type="dxa"/>
              <w:right w:w="75" w:type="dxa"/>
            </w:tcMar>
            <w:vAlign w:val="center"/>
          </w:tcPr>
          <w:p w14:paraId="25ADE4C0">
            <w:pPr>
              <w:keepNext w:val="0"/>
              <w:keepLines w:val="0"/>
              <w:pageBreakBefore w:val="0"/>
              <w:widowControl w:val="0"/>
              <w:kinsoku/>
              <w:wordWrap/>
              <w:overflowPunct/>
              <w:topLinePunct w:val="0"/>
              <w:autoSpaceDE/>
              <w:autoSpaceDN/>
              <w:bidi w:val="0"/>
              <w:adjustRightInd/>
              <w:snapToGrid/>
              <w:spacing w:line="320" w:lineRule="exact"/>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自然断条率/%            ≤</w:t>
            </w:r>
          </w:p>
        </w:tc>
        <w:tc>
          <w:tcPr>
            <w:tcW w:w="3390" w:type="dxa"/>
            <w:shd w:val="clear" w:color="auto" w:fill="FFFFFF"/>
            <w:noWrap w:val="0"/>
            <w:tcMar>
              <w:top w:w="75" w:type="dxa"/>
              <w:left w:w="75" w:type="dxa"/>
              <w:bottom w:w="75" w:type="dxa"/>
              <w:right w:w="75" w:type="dxa"/>
            </w:tcMar>
            <w:vAlign w:val="center"/>
          </w:tcPr>
          <w:p w14:paraId="5B14684C">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5.0</w:t>
            </w:r>
          </w:p>
        </w:tc>
      </w:tr>
      <w:tr w14:paraId="07B2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trHeight w:val="340" w:hRule="atLeast"/>
          <w:jc w:val="center"/>
        </w:trPr>
        <w:tc>
          <w:tcPr>
            <w:tcW w:w="657" w:type="dxa"/>
            <w:vMerge w:val="continue"/>
            <w:shd w:val="clear" w:color="auto" w:fill="FFFFFF"/>
            <w:noWrap w:val="0"/>
            <w:tcMar>
              <w:top w:w="75" w:type="dxa"/>
              <w:left w:w="75" w:type="dxa"/>
              <w:bottom w:w="75" w:type="dxa"/>
              <w:right w:w="75" w:type="dxa"/>
            </w:tcMar>
            <w:vAlign w:val="center"/>
          </w:tcPr>
          <w:p w14:paraId="5E4E887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65" w:type="dxa"/>
            <w:vMerge w:val="continue"/>
            <w:shd w:val="clear" w:color="auto" w:fill="FFFFFF"/>
            <w:noWrap w:val="0"/>
            <w:tcMar>
              <w:top w:w="75" w:type="dxa"/>
              <w:left w:w="75" w:type="dxa"/>
              <w:bottom w:w="75" w:type="dxa"/>
              <w:right w:w="75" w:type="dxa"/>
            </w:tcMar>
            <w:vAlign w:val="center"/>
          </w:tcPr>
          <w:p w14:paraId="42E37A3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081" w:type="dxa"/>
            <w:shd w:val="clear" w:color="auto" w:fill="FFFFFF"/>
            <w:noWrap w:val="0"/>
            <w:tcMar>
              <w:top w:w="75" w:type="dxa"/>
              <w:left w:w="75" w:type="dxa"/>
              <w:bottom w:w="75" w:type="dxa"/>
              <w:right w:w="75" w:type="dxa"/>
            </w:tcMar>
            <w:vAlign w:val="center"/>
          </w:tcPr>
          <w:p w14:paraId="3CD3EC6C">
            <w:pPr>
              <w:keepNext w:val="0"/>
              <w:keepLines w:val="0"/>
              <w:pageBreakBefore w:val="0"/>
              <w:widowControl w:val="0"/>
              <w:kinsoku/>
              <w:wordWrap/>
              <w:overflowPunct/>
              <w:topLinePunct w:val="0"/>
              <w:autoSpaceDE/>
              <w:autoSpaceDN/>
              <w:bidi w:val="0"/>
              <w:adjustRightInd/>
              <w:snapToGrid/>
              <w:spacing w:line="320" w:lineRule="exact"/>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煮断条率/%              ≤</w:t>
            </w:r>
          </w:p>
        </w:tc>
        <w:tc>
          <w:tcPr>
            <w:tcW w:w="3390" w:type="dxa"/>
            <w:shd w:val="clear" w:color="auto" w:fill="FFFFFF"/>
            <w:noWrap w:val="0"/>
            <w:tcMar>
              <w:top w:w="75" w:type="dxa"/>
              <w:left w:w="75" w:type="dxa"/>
              <w:bottom w:w="75" w:type="dxa"/>
              <w:right w:w="75" w:type="dxa"/>
            </w:tcMar>
            <w:vAlign w:val="center"/>
          </w:tcPr>
          <w:p w14:paraId="2C07204E">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5.0</w:t>
            </w:r>
          </w:p>
        </w:tc>
      </w:tr>
      <w:tr w14:paraId="75A6A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7" w:type="dxa"/>
            <w:left w:w="17" w:type="dxa"/>
            <w:bottom w:w="17" w:type="dxa"/>
            <w:right w:w="17" w:type="dxa"/>
          </w:tblCellMar>
        </w:tblPrEx>
        <w:trPr>
          <w:trHeight w:val="340" w:hRule="atLeast"/>
          <w:jc w:val="center"/>
        </w:trPr>
        <w:tc>
          <w:tcPr>
            <w:tcW w:w="657" w:type="dxa"/>
            <w:vMerge w:val="continue"/>
            <w:shd w:val="clear" w:color="auto" w:fill="FFFFFF"/>
            <w:noWrap w:val="0"/>
            <w:tcMar>
              <w:top w:w="75" w:type="dxa"/>
              <w:left w:w="75" w:type="dxa"/>
              <w:bottom w:w="75" w:type="dxa"/>
              <w:right w:w="75" w:type="dxa"/>
            </w:tcMar>
            <w:vAlign w:val="center"/>
          </w:tcPr>
          <w:p w14:paraId="179FFFCF">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1465" w:type="dxa"/>
            <w:vMerge w:val="continue"/>
            <w:shd w:val="clear" w:color="auto" w:fill="FFFFFF"/>
            <w:noWrap w:val="0"/>
            <w:tcMar>
              <w:top w:w="75" w:type="dxa"/>
              <w:left w:w="75" w:type="dxa"/>
              <w:bottom w:w="75" w:type="dxa"/>
              <w:right w:w="75" w:type="dxa"/>
            </w:tcMar>
            <w:vAlign w:val="center"/>
          </w:tcPr>
          <w:p w14:paraId="6157858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p>
        </w:tc>
        <w:tc>
          <w:tcPr>
            <w:tcW w:w="2081" w:type="dxa"/>
            <w:shd w:val="clear" w:color="auto" w:fill="FFFFFF"/>
            <w:noWrap w:val="0"/>
            <w:tcMar>
              <w:top w:w="75" w:type="dxa"/>
              <w:left w:w="75" w:type="dxa"/>
              <w:bottom w:w="75" w:type="dxa"/>
              <w:right w:w="75" w:type="dxa"/>
            </w:tcMar>
            <w:vAlign w:val="center"/>
          </w:tcPr>
          <w:p w14:paraId="1A542FA2">
            <w:pPr>
              <w:pStyle w:val="2"/>
              <w:keepNext w:val="0"/>
              <w:keepLines w:val="0"/>
              <w:pageBreakBefore w:val="0"/>
              <w:widowControl w:val="0"/>
              <w:kinsoku/>
              <w:wordWrap/>
              <w:overflowPunct/>
              <w:topLinePunct w:val="0"/>
              <w:autoSpaceDE/>
              <w:autoSpaceDN/>
              <w:bidi w:val="0"/>
              <w:adjustRightInd/>
              <w:snapToGrid/>
              <w:spacing w:line="320" w:lineRule="exact"/>
              <w:ind w:firstLine="0"/>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烹调损失率/%            ≤</w:t>
            </w:r>
          </w:p>
        </w:tc>
        <w:tc>
          <w:tcPr>
            <w:tcW w:w="3390" w:type="dxa"/>
            <w:shd w:val="clear" w:color="auto" w:fill="FFFFFF"/>
            <w:noWrap w:val="0"/>
            <w:tcMar>
              <w:top w:w="75" w:type="dxa"/>
              <w:left w:w="75" w:type="dxa"/>
              <w:bottom w:w="75" w:type="dxa"/>
              <w:right w:w="75" w:type="dxa"/>
            </w:tcMar>
            <w:vAlign w:val="center"/>
          </w:tcPr>
          <w:p w14:paraId="3BC6D2D7">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10.0</w:t>
            </w:r>
          </w:p>
        </w:tc>
      </w:tr>
    </w:tbl>
    <w:p w14:paraId="09728E51">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 食用调和油</w:t>
      </w:r>
    </w:p>
    <w:p w14:paraId="21EE8B6C">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highlight w:val="none"/>
          <w14:textFill>
            <w14:solidFill>
              <w14:schemeClr w14:val="tx1"/>
            </w14:solidFill>
          </w14:textFill>
        </w:rPr>
        <w:t>★</w:t>
      </w:r>
      <w:r>
        <w:rPr>
          <w:rFonts w:hint="eastAsia" w:ascii="仿宋_GB2312" w:hAnsi="仿宋_GB2312" w:eastAsia="仿宋_GB2312" w:cs="仿宋_GB2312"/>
          <w:color w:val="000000" w:themeColor="text1"/>
          <w:sz w:val="21"/>
          <w:szCs w:val="21"/>
          <w:highlight w:val="none"/>
          <w14:textFill>
            <w14:solidFill>
              <w14:schemeClr w14:val="tx1"/>
            </w14:solidFill>
          </w14:textFill>
        </w:rPr>
        <w:t>①不低于《GB/T 40851-2021调和油》中食用调和油的要求,不得掺有其它食用油或非食用油脂,不得添加任何香精、香料，剩余保质期不得少于原保质期的二分之一。</w:t>
      </w:r>
    </w:p>
    <w:p w14:paraId="676F5B29">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hint="default"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中标</w:t>
      </w:r>
      <w:r>
        <w:rPr>
          <w:rFonts w:hint="eastAsia" w:ascii="仿宋_GB2312" w:hAnsi="仿宋_GB2312" w:eastAsia="仿宋_GB2312" w:cs="仿宋_GB2312"/>
          <w:color w:val="000000" w:themeColor="text1"/>
          <w:sz w:val="21"/>
          <w:szCs w:val="21"/>
          <w:highlight w:val="none"/>
          <w14:textFill>
            <w14:solidFill>
              <w14:schemeClr w14:val="tx1"/>
            </w14:solidFill>
          </w14:textFill>
        </w:rPr>
        <w:t>人需提供食用调和油样品1桶，</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该样品为中标人在投标文件所提供的品牌，</w:t>
      </w:r>
      <w:r>
        <w:rPr>
          <w:rFonts w:hint="eastAsia" w:ascii="仿宋_GB2312" w:hAnsi="仿宋_GB2312" w:eastAsia="仿宋_GB2312" w:cs="仿宋_GB2312"/>
          <w:color w:val="000000" w:themeColor="text1"/>
          <w:sz w:val="21"/>
          <w:szCs w:val="21"/>
          <w:highlight w:val="none"/>
          <w14:textFill>
            <w14:solidFill>
              <w14:schemeClr w14:val="tx1"/>
            </w14:solidFill>
          </w14:textFill>
        </w:rPr>
        <w:t>中标样品将封存并作为验收对照使用</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1"/>
          <w:szCs w:val="21"/>
          <w:highlight w:val="none"/>
          <w14:textFill>
            <w14:solidFill>
              <w14:schemeClr w14:val="tx1"/>
            </w14:solidFill>
          </w14:textFill>
        </w:rPr>
        <w:t>每三个月监狱从验收合格的食用调和油中抽取1桶替换旧样品，以免样品变质影响验收。</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送样时间及地点由采购人指定。</w:t>
      </w:r>
    </w:p>
    <w:p w14:paraId="7464EE3E">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ascii="仿宋_GB2312" w:hAnsi="仿宋_GB2312" w:eastAsia="仿宋_GB2312" w:cs="仿宋_GB2312"/>
          <w:color w:val="000000" w:themeColor="text1"/>
          <w:highlight w:val="none"/>
          <w14:textFill>
            <w14:solidFill>
              <w14:schemeClr w14:val="tx1"/>
            </w14:solidFill>
          </w14:textFill>
        </w:rPr>
        <w:t>★</w:t>
      </w:r>
      <w:r>
        <w:rPr>
          <w:rFonts w:hint="eastAsia" w:ascii="仿宋_GB2312" w:hAnsi="仿宋_GB2312" w:eastAsia="仿宋_GB2312" w:cs="仿宋_GB2312"/>
          <w:color w:val="000000" w:themeColor="text1"/>
          <w:sz w:val="21"/>
          <w:szCs w:val="21"/>
          <w:highlight w:val="none"/>
          <w14:textFill>
            <w14:solidFill>
              <w14:schemeClr w14:val="tx1"/>
            </w14:solidFill>
          </w14:textFill>
        </w:rPr>
        <w:t>②20L/桶，包装符合《GB/T 17374-2024食用植物油销售包装》有关要求，包装材料清洁、卫生，符合国家食品卫生标准的规定。标签需标明产品名称、净含量、生产商名称和地址、生产日期、保质期、产品标准号、质量等级、生产许可证号、产品批号等。</w:t>
      </w:r>
    </w:p>
    <w:p w14:paraId="46AFC362">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③食用调和油的基本要求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15" w:type="dxa"/>
          <w:left w:w="15" w:type="dxa"/>
          <w:bottom w:w="15" w:type="dxa"/>
          <w:right w:w="15" w:type="dxa"/>
        </w:tblCellMar>
      </w:tblPr>
      <w:tblGrid>
        <w:gridCol w:w="795"/>
        <w:gridCol w:w="1440"/>
        <w:gridCol w:w="5458"/>
      </w:tblGrid>
      <w:tr w14:paraId="6FDC3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83" w:hRule="atLeast"/>
          <w:jc w:val="center"/>
        </w:trPr>
        <w:tc>
          <w:tcPr>
            <w:tcW w:w="795" w:type="dxa"/>
            <w:shd w:val="clear" w:color="auto" w:fill="FFFFFF"/>
            <w:noWrap w:val="0"/>
            <w:tcMar>
              <w:top w:w="75" w:type="dxa"/>
              <w:left w:w="75" w:type="dxa"/>
              <w:bottom w:w="75" w:type="dxa"/>
              <w:right w:w="75" w:type="dxa"/>
            </w:tcMar>
            <w:vAlign w:val="center"/>
          </w:tcPr>
          <w:p w14:paraId="1499C35C">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序号</w:t>
            </w:r>
          </w:p>
        </w:tc>
        <w:tc>
          <w:tcPr>
            <w:tcW w:w="1440" w:type="dxa"/>
            <w:shd w:val="clear" w:color="auto" w:fill="FFFFFF"/>
            <w:noWrap w:val="0"/>
            <w:tcMar>
              <w:top w:w="75" w:type="dxa"/>
              <w:left w:w="75" w:type="dxa"/>
              <w:bottom w:w="75" w:type="dxa"/>
              <w:right w:w="75" w:type="dxa"/>
            </w:tcMar>
            <w:vAlign w:val="center"/>
          </w:tcPr>
          <w:p w14:paraId="4FBA7296">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货物名称</w:t>
            </w:r>
          </w:p>
        </w:tc>
        <w:tc>
          <w:tcPr>
            <w:tcW w:w="5458" w:type="dxa"/>
            <w:shd w:val="clear" w:color="auto" w:fill="FFFFFF"/>
            <w:noWrap w:val="0"/>
            <w:tcMar>
              <w:top w:w="75" w:type="dxa"/>
              <w:left w:w="75" w:type="dxa"/>
              <w:bottom w:w="75" w:type="dxa"/>
              <w:right w:w="75" w:type="dxa"/>
            </w:tcMar>
            <w:vAlign w:val="center"/>
          </w:tcPr>
          <w:p w14:paraId="1308A288">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质量标准</w:t>
            </w:r>
          </w:p>
        </w:tc>
      </w:tr>
      <w:tr w14:paraId="1B22D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873" w:hRule="atLeast"/>
          <w:jc w:val="center"/>
        </w:trPr>
        <w:tc>
          <w:tcPr>
            <w:tcW w:w="795" w:type="dxa"/>
            <w:shd w:val="clear" w:color="auto" w:fill="FFFFFF"/>
            <w:noWrap w:val="0"/>
            <w:tcMar>
              <w:top w:w="75" w:type="dxa"/>
              <w:left w:w="75" w:type="dxa"/>
              <w:bottom w:w="75" w:type="dxa"/>
              <w:right w:w="75" w:type="dxa"/>
            </w:tcMar>
            <w:vAlign w:val="center"/>
          </w:tcPr>
          <w:p w14:paraId="4309E8D4">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w:t>
            </w:r>
          </w:p>
        </w:tc>
        <w:tc>
          <w:tcPr>
            <w:tcW w:w="1440" w:type="dxa"/>
            <w:shd w:val="clear" w:color="auto" w:fill="FFFFFF"/>
            <w:noWrap w:val="0"/>
            <w:tcMar>
              <w:top w:w="75" w:type="dxa"/>
              <w:left w:w="75" w:type="dxa"/>
              <w:bottom w:w="75" w:type="dxa"/>
              <w:right w:w="75" w:type="dxa"/>
            </w:tcMar>
            <w:vAlign w:val="center"/>
          </w:tcPr>
          <w:p w14:paraId="3DFA7795">
            <w:pPr>
              <w:keepNext w:val="0"/>
              <w:keepLines w:val="0"/>
              <w:pageBreakBefore w:val="0"/>
              <w:widowControl w:val="0"/>
              <w:kinsoku/>
              <w:wordWrap/>
              <w:overflowPunct/>
              <w:topLinePunct w:val="0"/>
              <w:autoSpaceDE/>
              <w:autoSpaceDN/>
              <w:bidi w:val="0"/>
              <w:adjustRightInd/>
              <w:snapToGrid/>
              <w:spacing w:line="320" w:lineRule="exact"/>
              <w:jc w:val="center"/>
              <w:textAlignment w:val="baseline"/>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食用调和油</w:t>
            </w:r>
          </w:p>
        </w:tc>
        <w:tc>
          <w:tcPr>
            <w:tcW w:w="5458" w:type="dxa"/>
            <w:shd w:val="clear" w:color="auto" w:fill="FFFFFF"/>
            <w:noWrap w:val="0"/>
            <w:tcMar>
              <w:top w:w="75" w:type="dxa"/>
              <w:left w:w="75" w:type="dxa"/>
              <w:bottom w:w="75" w:type="dxa"/>
              <w:right w:w="75" w:type="dxa"/>
            </w:tcMar>
            <w:vAlign w:val="center"/>
          </w:tcPr>
          <w:p w14:paraId="221F3F79">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符合GB/T40851-2021 国家标准和SB/T10292-1998 行业标准。卫生指标按 GB2716 和国家有关规定执行。包装应符合 GB/T17374 及国家的有关规定和要求；包装容积及包装材料应符合国家有关卫生标准的规定和要求。主要质量指标：</w:t>
            </w:r>
          </w:p>
          <w:p w14:paraId="18DC34C5">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1.气味、滋味：气味、滋味正常，无异味；</w:t>
            </w:r>
          </w:p>
          <w:p w14:paraId="71CFD188">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2.透明度（20°C）：透明；</w:t>
            </w:r>
          </w:p>
          <w:p w14:paraId="4A8AACF2">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3.色泽：具有产品固有的颜色，如浅黄色至棕红色；</w:t>
            </w:r>
          </w:p>
          <w:p w14:paraId="242A4D42">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4.水分及挥发物含量/%≤0.15；</w:t>
            </w:r>
          </w:p>
          <w:p w14:paraId="68C7E6E3">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5.不溶性杂质含量/%≤0.05；</w:t>
            </w:r>
          </w:p>
          <w:p w14:paraId="48CF4A9C">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6.酸值（以KOH计）（mg/g）≤2.5；</w:t>
            </w:r>
          </w:p>
          <w:p w14:paraId="763EDC75">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7.过氧化值（g/100g）≤0.20；</w:t>
            </w:r>
          </w:p>
          <w:p w14:paraId="6C48736B">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8.饱和脂肪酸含量/%≤25.0；</w:t>
            </w:r>
          </w:p>
          <w:p w14:paraId="2679880F">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9.反式脂肪酸含量/%≤2.0；</w:t>
            </w:r>
          </w:p>
          <w:p w14:paraId="304B9F14">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10.比例一致性：</w:t>
            </w:r>
          </w:p>
          <w:p w14:paraId="64FA1462">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（1）脂肪酸含量范围≥5%，绝对差值≤3%；</w:t>
            </w:r>
          </w:p>
          <w:p w14:paraId="3AA3BA0A">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（2）脂肪酸含量范围0.5%-5%，绝对差值≤0.6%；</w:t>
            </w:r>
          </w:p>
          <w:p w14:paraId="5015D886">
            <w:pPr>
              <w:keepNext w:val="0"/>
              <w:keepLines w:val="0"/>
              <w:pageBreakBefore w:val="0"/>
              <w:widowControl w:val="0"/>
              <w:kinsoku/>
              <w:wordWrap/>
              <w:overflowPunct/>
              <w:topLinePunct w:val="0"/>
              <w:autoSpaceDE/>
              <w:autoSpaceDN/>
              <w:bidi w:val="0"/>
              <w:adjustRightInd/>
              <w:snapToGrid/>
              <w:spacing w:line="320" w:lineRule="exact"/>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（3）脂肪酸含量范围≤0.5%。</w:t>
            </w:r>
          </w:p>
        </w:tc>
      </w:tr>
    </w:tbl>
    <w:p w14:paraId="44D8529D">
      <w:pPr>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以上商品在满足质量要求的前提下，只允许投报一个品牌(需在投标文件中列明品牌)。</w:t>
      </w:r>
    </w:p>
    <w:p w14:paraId="4056E78C">
      <w:pPr>
        <w:pStyle w:val="7"/>
        <w:jc w:val="left"/>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p>
    <w:p w14:paraId="1012CC10">
      <w:pPr>
        <w:pStyle w:val="7"/>
        <w:spacing w:line="360" w:lineRule="auto"/>
        <w:jc w:val="left"/>
        <w:rPr>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二</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w:t>
      </w:r>
      <w:r>
        <w:rPr>
          <w:rFonts w:ascii="仿宋_GB2312" w:hAnsi="仿宋_GB2312" w:eastAsia="仿宋_GB2312" w:cs="仿宋_GB2312"/>
          <w:color w:val="000000" w:themeColor="text1"/>
          <w:sz w:val="21"/>
          <w:szCs w:val="21"/>
          <w:highlight w:val="none"/>
          <w14:textFill>
            <w14:solidFill>
              <w14:schemeClr w14:val="tx1"/>
            </w14:solidFill>
          </w14:textFill>
        </w:rPr>
        <w:t>配送要求</w:t>
      </w:r>
    </w:p>
    <w:p w14:paraId="2653C516">
      <w:pPr>
        <w:pStyle w:val="7"/>
        <w:spacing w:line="360" w:lineRule="auto"/>
        <w:ind w:firstLine="420" w:firstLineChars="200"/>
        <w:jc w:val="left"/>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首次供应时，中标人应提供《营业执照》、《食品经营许可证》及《食品生产许可证》等证照复印件予监狱存档。每次供应时应向监狱提供该批次产品的出厂(库)检验合格报告、盖有公章的货物清单(送货单)。此外，每六个月需提供一次具备资质的质量检验机构出具的针对所供应品牌大米、面粉、面条和食用调和油的质量检验合格报告(大米检测需含重金属检测项目)。</w:t>
      </w:r>
    </w:p>
    <w:p w14:paraId="643EC416">
      <w:pPr>
        <w:pStyle w:val="7"/>
        <w:spacing w:line="360" w:lineRule="auto"/>
        <w:ind w:firstLine="420" w:firstLineChars="200"/>
        <w:jc w:val="left"/>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根据疫情防控有关要求，监狱对货物进行核酸检测、消毒消杀、物资静置等防疫措施的，中标人应予以配合。</w:t>
      </w:r>
    </w:p>
    <w:p w14:paraId="0BA170A9">
      <w:pPr>
        <w:pStyle w:val="7"/>
        <w:spacing w:line="360" w:lineRule="auto"/>
        <w:ind w:firstLine="420" w:firstLineChars="200"/>
        <w:jc w:val="left"/>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货物运输整个过程应科学合理。必须采用符合卫生要求的外包装和运载工具，确保货物不被挤压变形导致质量受到影响；要保持清洁和定期清洗消毒，每次配送前一天完成清洗消杀，保证车辆卫生条件符合国家法律法规相关要求，确保车厢内无不良气味、异味。</w:t>
      </w:r>
    </w:p>
    <w:p w14:paraId="671BBA24">
      <w:pPr>
        <w:pStyle w:val="7"/>
        <w:spacing w:line="360" w:lineRule="auto"/>
        <w:ind w:firstLine="420" w:firstLineChars="200"/>
        <w:jc w:val="left"/>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配送人员的健康条件应符合国家法律法规规定的相关要求，并提供相关健康证明材料。</w:t>
      </w:r>
    </w:p>
    <w:p w14:paraId="71D7E222">
      <w:pPr>
        <w:pStyle w:val="7"/>
        <w:spacing w:line="360" w:lineRule="auto"/>
        <w:ind w:firstLine="420" w:firstLineChars="200"/>
        <w:jc w:val="left"/>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供应商必须保证产品质量安全和运输安全，因产品质量安全问题和向采购人运送二级大米、面粉、面条、食用调和油途中的一切安全问题，均由中标人承担全部责任。</w:t>
      </w:r>
    </w:p>
    <w:p w14:paraId="1EF417DD">
      <w:pPr>
        <w:pStyle w:val="7"/>
        <w:spacing w:line="360" w:lineRule="auto"/>
        <w:ind w:firstLine="420" w:firstLineChars="200"/>
        <w:jc w:val="left"/>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送货时间:监狱根据采购计划和实际需求，提前五日以书面方式将需求通知中标人。</w:t>
      </w:r>
    </w:p>
    <w:p w14:paraId="5F419729">
      <w:pPr>
        <w:pStyle w:val="7"/>
        <w:spacing w:line="360" w:lineRule="auto"/>
        <w:ind w:firstLine="420" w:firstLineChars="200"/>
        <w:jc w:val="left"/>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中标人在接到通知后备齐货物，按时送抵交货地点。除不可抗力外，中标人不得以其他任何理由延迟送货。监狱如遇特殊情况需推迟送货，应至少提前一日通知中标人。中标人不能按时、按质、按量供货，导致监狱无法正常供应伙食的，监狱有权自行采购同等质量的货物，由此造成的采购费用及差额等经济损失由中标人负责，并承担相应的违约责任。</w:t>
      </w:r>
    </w:p>
    <w:p w14:paraId="61E72007">
      <w:pPr>
        <w:pStyle w:val="7"/>
        <w:spacing w:line="360" w:lineRule="auto"/>
        <w:jc w:val="left"/>
        <w:outlineLvl w:val="2"/>
        <w:rPr>
          <w:rFonts w:hint="eastAsia" w:ascii="仿宋_GB2312" w:hAnsi="仿宋_GB2312" w:eastAsia="仿宋_GB2312" w:cs="仿宋_GB2312"/>
          <w:b/>
          <w:color w:val="000000" w:themeColor="text1"/>
          <w:sz w:val="24"/>
          <w:szCs w:val="24"/>
          <w:highlight w:val="none"/>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三</w:t>
      </w:r>
      <w:r>
        <w:rPr>
          <w:rFonts w:hint="eastAsia" w:ascii="仿宋_GB2312" w:hAnsi="仿宋_GB2312" w:eastAsia="仿宋_GB2312" w:cs="仿宋_GB2312"/>
          <w:b/>
          <w:color w:val="000000" w:themeColor="text1"/>
          <w:sz w:val="24"/>
          <w:szCs w:val="24"/>
          <w:highlight w:val="none"/>
          <w14:textFill>
            <w14:solidFill>
              <w14:schemeClr w14:val="tx1"/>
            </w14:solidFill>
          </w14:textFill>
        </w:rPr>
        <w:t>、物资验收</w:t>
      </w:r>
    </w:p>
    <w:p w14:paraId="09760FC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(一)按《海南省监狱管理局（海南省戒毒管理局）监狱罪犯大宗生活物资采购管理暂行办法》有关规定进行验收。</w:t>
      </w:r>
    </w:p>
    <w:p w14:paraId="7A798B0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 双方对货物质量存在争议的，应共同委托双方认可的、具备法定资质的第三方质量检测机构进行检测；若双方就检测机构选定无法达成一致，可随机抽取政府采购名录内的检测机构实施检测。</w:t>
      </w:r>
    </w:p>
    <w:p w14:paraId="599F974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1、若检测结果判定货物质量符合合同约定标准，检测费用由监狱承担，该批次货物正常验收；</w:t>
      </w:r>
    </w:p>
    <w:p w14:paraId="449F155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2、若检测结果判定货物质量不符合合同约定标准，检测费用由中标人承担，监狱有权无条件退货，中标人应在7个工作日内 重新配送与合同要求一致的合格物资，并承担由此产生的往返运输、仓储等全部费用；若中标人逾期未配送合格物资，视为违约，监狱有权依据合同约定追究其违约责任。</w:t>
      </w:r>
    </w:p>
    <w:p w14:paraId="771DA9F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合同期内，省局随机对货物质量进行一到两次抽查(因食品安全事故调查、接到投诉调查而送检的，不受此次数限制)，检验费用由中标人支付。合同期内两次抽查发现不合格的(可为相同或不同货物)，责成监狱扣除全部履约保证金并立即解除合同。</w:t>
      </w:r>
    </w:p>
    <w:p w14:paraId="0D85918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(四)监狱在物资验收时未发现质量问题，而入库后七日内发现质量问题的，且中标人无法证明该质量问题是由于监狱保管、使用不善而导致的，应无条件更换该批次货物。</w:t>
      </w:r>
    </w:p>
    <w:p w14:paraId="5C72C883">
      <w:pPr>
        <w:pStyle w:val="7"/>
        <w:spacing w:line="360" w:lineRule="auto"/>
        <w:jc w:val="left"/>
        <w:outlineLvl w:val="2"/>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四、疫情防控及应急保障</w:t>
      </w:r>
    </w:p>
    <w:p w14:paraId="6092241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(一)中标人需主动落实好疫情防控主体责任，做好所供应物资的产地、来源地、采购地等溯源管理及源头管控，承诺不从国内中高风险地区采购或运输物资，最大限度降低物资涉疫风险。</w:t>
      </w:r>
    </w:p>
    <w:p w14:paraId="40ACDBE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中标人需加强运输车辆(加装定位系统，数据可供监狱查询)和司机行程轨迹管理，签订合同时应将项目相关服务人员报监狱备案，如需调整必须书面提出申请，监狱同意后方可调整。运输车辆行车记录仪在进入监管区前须主动自觉将其关闭。</w:t>
      </w:r>
    </w:p>
    <w:p w14:paraId="4139326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(三)中标人需严格遵守监狱有关疫情防控规定，按照监狱要求在指定地点装卸货物，配合做好消毒消杀、核酸检测及静置管理等防疫相关措施，由此产生的相关费用均由中标人承担。</w:t>
      </w:r>
    </w:p>
    <w:p w14:paraId="3466805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(四)投标人要有自己的货源保障能力，即自有或租赁的种植、养殖基地，自有或租赁的配送中心、仓储库，自有或租赁的生产线或生产车间等，相关面积及运输距离须满足本项目的实际需要。</w:t>
      </w:r>
    </w:p>
    <w:p w14:paraId="07850D1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(五)投标人应制定详细、科学、合理，可行性和针对性强的特殊情况应急保障方案，承诺在合同期内(包括国家法定节假日及休息日)保持 24小时沟通联系，从收到监狱需紧急配送物资的通知起算，必须在2小时内完成配送。</w:t>
      </w:r>
    </w:p>
    <w:p w14:paraId="2273035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(六)中标人需具备足够的运输车及相关设备、配送人员，确保满足本项目的服务需求。中标人不得随意变更监狱采购计划，否则监狱有权拒收。确因市场流通问题需变更的，须向监狱书面提出申请。</w:t>
      </w:r>
    </w:p>
    <w:p w14:paraId="3445BAA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七)除不可抗力外，因中标人不能完成合同约定的疫情防控及应急保障内容,导致监狱出现涉疫情况、供应中断等重大安全风险的，监狱有权采取扣除履约保证金、单方面解除合同等措施，并要求中标人承担所造成的一切经济损失。</w:t>
      </w:r>
    </w:p>
    <w:p w14:paraId="28316EC2">
      <w:pPr>
        <w:pStyle w:val="7"/>
        <w:spacing w:line="360" w:lineRule="auto"/>
        <w:jc w:val="left"/>
        <w:outlineLvl w:val="2"/>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五、中标人管理要求</w:t>
      </w:r>
    </w:p>
    <w:p w14:paraId="72B0335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(一)中标人有以下行为之一并经调查属实的，监狱有权立即解除合同，并扣除全部履约保证金:</w:t>
      </w:r>
    </w:p>
    <w:p w14:paraId="54A9144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1.弄虚作假，提供虚假材料取得中标供应资格的;</w:t>
      </w:r>
    </w:p>
    <w:p w14:paraId="470561D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2.中标供应项目有违规转包、分包行为的;</w:t>
      </w:r>
    </w:p>
    <w:p w14:paraId="5458856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3.经营情况发生重大变更，已不具备承接中标项目能力的;</w:t>
      </w:r>
    </w:p>
    <w:p w14:paraId="6A98ECC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4.无正当理由拒绝履行合同约定的;</w:t>
      </w:r>
    </w:p>
    <w:p w14:paraId="6FD8B04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5.存在行贿、受贿等违法违纪行为的;</w:t>
      </w:r>
    </w:p>
    <w:p w14:paraId="2B7F262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6.食品安全责任险有效期未覆盖项目合同期，或续保的保额低于投标时所购买保额的。</w:t>
      </w:r>
    </w:p>
    <w:p w14:paraId="1336D7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中标人必须依据国家有关法律法规，建立健全各项管理制度，保证食品安全，有明确的食品安全责任人。因所供货物原因导致狱内发生食品安全事故或监管安全事故的,除扣除全部履约保证金并解除合同外，中标人还需赔偿监狱由此产生的一切经济损失(包括但不限于医疗救治、护理、康复等费用)。</w:t>
      </w:r>
    </w:p>
    <w:p w14:paraId="3F7F855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中标人应严格按招标要求及合同约定(品种、质量等)供应，不得随意变更监狱采购计划。对监狱验收认为不符合规格要求或质量标准的货物，中标人应无条件予以退货或更换，并承担由此造成的全部经济损失。</w:t>
      </w:r>
    </w:p>
    <w:p w14:paraId="4A08819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(四)因生产商原因停产、改变生产规格的，中标人凭生产商出具的证明告知监狱，监狱经市场调查选择替换的品种、规格，报省局狱政管理处（生活卫生处）备案后与中标人协商予以更换。</w:t>
      </w:r>
    </w:p>
    <w:p w14:paraId="3A839D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(五)中标人须按所供应商品的实际销售额开具国家正式发票。</w:t>
      </w:r>
    </w:p>
    <w:p w14:paraId="6730A02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六)食品溯源要求:中标人需建立完整的食品溯源管理机制，确保所有食品及原材料的生产、加工、运输、贮存等各环节链条清晰、源头可控，来源应当是受地方政府部门监管的流通市场或具有相关资质的厂家生产，物资生产企业必须获得生产许可证，生产食品的源头与供应商要有固定的合法的供应关系，并主动接受属地市场监督管理部门的监管。</w:t>
      </w:r>
    </w:p>
    <w:p w14:paraId="28E9642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(七)中标人应保存以下资料备查:1.与食品生产企业的销售/代理合同;2.食品生产企业的送货单据和销售发票;3.与经销商/代理商的采购合同、送货单据和销售发票。</w:t>
      </w:r>
    </w:p>
    <w:p w14:paraId="497B413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（八）中标人应严格落实保密相关要求，同时加强对有关人员的保密管理和教育，对造成失泄密的应当严肃追责并承担相应的法律责任，同时扣除全部履约保证金。</w:t>
      </w:r>
    </w:p>
    <w:p w14:paraId="216380D7">
      <w:pPr>
        <w:pStyle w:val="7"/>
        <w:spacing w:line="360" w:lineRule="auto"/>
        <w:jc w:val="left"/>
        <w:outlineLvl w:val="2"/>
        <w:rPr>
          <w:rFonts w:hint="default"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商务部分：</w:t>
      </w:r>
    </w:p>
    <w:p w14:paraId="675F2B06">
      <w:pPr>
        <w:pStyle w:val="7"/>
        <w:spacing w:line="360" w:lineRule="auto"/>
        <w:jc w:val="left"/>
        <w:outlineLvl w:val="2"/>
        <w:rPr>
          <w:rFonts w:hint="default"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六、合同履行期限</w:t>
      </w:r>
    </w:p>
    <w:p w14:paraId="1973336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1.海南省琼山监狱：合同生效之日起至2026年12月31日止。</w:t>
      </w:r>
    </w:p>
    <w:p w14:paraId="2777A1C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2.海南省美兰监狱：合同生效之日起至2026年12月31日止。</w:t>
      </w:r>
    </w:p>
    <w:p w14:paraId="47731F9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3.海南省新康监狱：合同生效之日起至2026年12月31日止。</w:t>
      </w:r>
    </w:p>
    <w:p w14:paraId="54788B55">
      <w:pPr>
        <w:pStyle w:val="7"/>
        <w:spacing w:line="360" w:lineRule="auto"/>
        <w:jc w:val="left"/>
        <w:outlineLvl w:val="2"/>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七、交货地点</w:t>
      </w:r>
    </w:p>
    <w:p w14:paraId="12FDBA1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default" w:ascii="仿宋_GB2312" w:hAnsi="仿宋_GB2312" w:eastAsia="仿宋_GB2312" w:cs="仿宋_GB2312"/>
          <w:color w:val="000000" w:themeColor="text1"/>
          <w:sz w:val="21"/>
          <w:szCs w:val="21"/>
          <w:highlight w:val="none"/>
          <w:lang w:val="en-US" w:eastAsia="zh-CN"/>
          <w14:textFill>
            <w14:solidFill>
              <w14:schemeClr w14:val="tx1"/>
            </w14:solidFill>
          </w14:textFill>
        </w:rPr>
        <w:t>用户指定地点</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w:t>
      </w:r>
      <w:r>
        <w:rPr>
          <w:rFonts w:hint="default" w:ascii="仿宋_GB2312" w:hAnsi="仿宋_GB2312" w:eastAsia="仿宋_GB2312" w:cs="仿宋_GB2312"/>
          <w:color w:val="000000" w:themeColor="text1"/>
          <w:sz w:val="21"/>
          <w:szCs w:val="21"/>
          <w:highlight w:val="none"/>
          <w:lang w:val="en-US" w:eastAsia="zh-CN"/>
          <w14:textFill>
            <w14:solidFill>
              <w14:schemeClr w14:val="tx1"/>
            </w14:solidFill>
          </w14:textFill>
        </w:rPr>
        <w:t>海南省琼山监狱、海南省美兰监狱、海南省新康监狱罪犯伙房。</w:t>
      </w:r>
    </w:p>
    <w:p w14:paraId="0BB94C3E">
      <w:pPr>
        <w:pStyle w:val="7"/>
        <w:spacing w:line="360" w:lineRule="auto"/>
        <w:jc w:val="left"/>
        <w:outlineLvl w:val="2"/>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八、合同签订及履约保证金</w:t>
      </w:r>
    </w:p>
    <w:p w14:paraId="48CDD5F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(一)中标人与监狱在中标公告发布之日起五个工作日内签订合同。  </w:t>
      </w:r>
    </w:p>
    <w:p w14:paraId="772EFE8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(二)合同签订后十五日内，中标人须向监狱支付合同金额5%的履约保证金。在中标人履行完其合同义务，包括任何保证义务后三十日内，监狱应一次性无息退还履约保证金。</w:t>
      </w:r>
    </w:p>
    <w:p w14:paraId="37942E1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履约保证金以支票、汇票、本票或者金融机构、担保机构出具的保函等非现金形式提交。中标人以银行保函形式缴纳履约保证金的，需提交不可撤销、见索即付的独立保函。</w:t>
      </w:r>
    </w:p>
    <w:p w14:paraId="1CA9B44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(三)如在合同执行期间因中标人违约导致履约保证金部分或全部扣除的，中标人需在七日内补齐履约保证金。</w:t>
      </w:r>
    </w:p>
    <w:p w14:paraId="6C6DD5D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(四)发生以下情形之一、经调查属实的，每次扣除10%履约保证金:</w:t>
      </w:r>
    </w:p>
    <w:p w14:paraId="0FDBF1A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1.中标人工作人员为服刑人员传递物品的;</w:t>
      </w:r>
    </w:p>
    <w:p w14:paraId="66DED54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2.中标人工作人员对货物检查把关不严，造成违禁品、违规品及危险品流入狱内的;</w:t>
      </w:r>
    </w:p>
    <w:p w14:paraId="1EB6926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3.未按要求随货提供相关票证;</w:t>
      </w:r>
    </w:p>
    <w:p w14:paraId="652F771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4.货物质量验收不合格，但退货数量低于该批次货物总量50%(不含本数)的;</w:t>
      </w:r>
    </w:p>
    <w:p w14:paraId="6D10628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5.货物供应数量低于监狱采购计划数量95%(不含本数)，但高于该批次货物总量80%(含本数)的;</w:t>
      </w:r>
    </w:p>
    <w:p w14:paraId="4E1BCF5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6.未按监狱采购计划的时间供货(提前一天与监狱协商，且未影响罪犯伙食供应的除外);</w:t>
      </w:r>
    </w:p>
    <w:p w14:paraId="497BA03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7.未按监狱指定地点和秩序卸货的;</w:t>
      </w:r>
    </w:p>
    <w:p w14:paraId="2A6C644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8.货物出现质量问题，供应商不积极配合溯源及查找原因，不及时反馈处理结果的;</w:t>
      </w:r>
    </w:p>
    <w:p w14:paraId="5A95228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9.中标人经营场所、联系人、联系方式变更，未及时通知监狱业务部门，造成紧急情况下无法联系的。</w:t>
      </w:r>
    </w:p>
    <w:p w14:paraId="64CB9D1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若出现以上第1、第2款情形的，立即撤换该工作人员，并禁止其进入监狱（包括省内其他监狱）。造成严重后果的，依法追究其法律责任。</w:t>
      </w:r>
    </w:p>
    <w:p w14:paraId="4CB2E2C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(五)发生以下情形之一、经调查属实的，每次扣除20%履约保证金:</w:t>
      </w:r>
    </w:p>
    <w:p w14:paraId="17582A4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1.供应货物品种、品牌、规格或质量等级与合同不符;</w:t>
      </w:r>
    </w:p>
    <w:p w14:paraId="6A9A721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2.货物质量验收不合格，且退货数量高于该批次货物总量50%(含本数)的;</w:t>
      </w:r>
    </w:p>
    <w:p w14:paraId="7850263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3.货物供应数量低于监狱采购计划数量80%(不含本数)，但高于该批次货物总量50%(含本数)的;</w:t>
      </w:r>
    </w:p>
    <w:p w14:paraId="049B4A7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4.提供虚假或伪造的货物质量检验、检测报告的;</w:t>
      </w:r>
    </w:p>
    <w:p w14:paraId="2CD90CB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5.同一品种货物连续两次验收发现质量不合格产品并退货的;</w:t>
      </w:r>
    </w:p>
    <w:p w14:paraId="021EC4C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6.在货物的包装、运输、装卸等环节不符合食品安全要求的;</w:t>
      </w:r>
    </w:p>
    <w:p w14:paraId="702E943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7.中标人工作人员不遵守监狱对外来人员相关管理规定或不配合疫情防控相关要求，情节轻微未造成不良后果的。</w:t>
      </w:r>
    </w:p>
    <w:p w14:paraId="2082DDF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在合同期前两个月内发生上述(四)（不含第1、第2款）、(五)扣除履约保证金情形的，次数不超过三次(含三次)，在未影响监狱伙食正常供应、未因所供货物发生食品安全事故,且中标人及时整改的前提下可免予扣除履约保证金;从第三个月起严格执行。</w:t>
      </w:r>
    </w:p>
    <w:p w14:paraId="25387B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(六)发生以下情形之一、经调查属实的，每次扣除30%履约保证金:</w:t>
      </w:r>
    </w:p>
    <w:p w14:paraId="509F2F9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1.因退货或未按监狱采购计划数量供应，造成监狱无法按时供应罪犯伙食的;</w:t>
      </w:r>
    </w:p>
    <w:p w14:paraId="23BC145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2.中标人无正当理由，未按监狱要求在指定时间内配送相关物资的;</w:t>
      </w:r>
    </w:p>
    <w:p w14:paraId="01616B8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3.中标人未经书面申请监狱同意，擅自调整、更换项目相关服务人员的。</w:t>
      </w:r>
    </w:p>
    <w:p w14:paraId="74185D5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(七)发生以下情形之一、经调查属实的，每次扣除50%履约保证金:</w:t>
      </w:r>
    </w:p>
    <w:p w14:paraId="5B681B6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1.省局在合同期内的随机质量抽查中发现货物质量(含包装)不合格的;</w:t>
      </w:r>
    </w:p>
    <w:p w14:paraId="48D2F9D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2.中标人无正当理由，第二次未按监狱要求在指定时间内配送相关物资的;</w:t>
      </w:r>
    </w:p>
    <w:p w14:paraId="0AD2E06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3.因中标人长时间(超过24小时)无法联系的原因，导致监狱物资供应出现中断或短缺的（因不可抗力原因的除外）。</w:t>
      </w:r>
    </w:p>
    <w:p w14:paraId="40FFFA7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(八)发生以下情形之一、经调查属实的,扣除全部履约保证金，并视情况单方面解除合同:</w:t>
      </w:r>
    </w:p>
    <w:p w14:paraId="3B21804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1.省局在合同期内的随机质量抽查中第二次发现货物质量(含包装)不合格的(可以是相同或不同的货物);</w:t>
      </w:r>
    </w:p>
    <w:p w14:paraId="200BD5C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2.因所供货物质量原因导致狱内发生食品安全事故的;</w:t>
      </w:r>
    </w:p>
    <w:p w14:paraId="2179096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3.因中标人工作人员原因导致狱内发生监管安全事故的;</w:t>
      </w:r>
    </w:p>
    <w:p w14:paraId="2DE933C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4.除不可抗力外，中标人无故不能完成监狱疫情防控及应急保障相关要求，导致监狱出现重大安全风险的。</w:t>
      </w:r>
    </w:p>
    <w:p w14:paraId="04F0961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若同时出现上述履约保证金扣除情形,仅按扣除数额最大的情形执行，不对同时出现的情形累计扣除。若出现以上第2、第3款情形的，依法追究其法律责任。</w:t>
      </w:r>
    </w:p>
    <w:p w14:paraId="48249CD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九)如中标人在合同执行过程中需终止合同履行的，应提前九十日以书面形式告知监狱，并继续供应九十日后方可终止。履行合同未满六个月就提出终止合同的，扣除60%履约保证金;履行合同六个月以上不足九个月提出终止合同的，扣除40%履约保证金;履行合同九个月以上提出终止合同的，扣除20%履约保证金。如提出终止合同后未继续供应九十日的(剩余合同期小于九十日的，供应到合同结束时间为止)，按单方面违约处理，除扣除全部履约保证金外，还须承担监狱的其他经济损失，包括但不限于新中标供应商供货之前，监狱有权自行采购同等质量的货物，由此造成的采购费用及差额等经济损失。</w:t>
      </w:r>
    </w:p>
    <w:p w14:paraId="6CEC45B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十)如监狱在合同执行中确因不可抗力需要中止合同履行的（不可抗力包括但不限于上级行政主管机关政策性文件的变更），应提前六十日以书面形式告知中标人,并在合同正式终止后三十日内退还全部履约保证金。</w:t>
      </w:r>
    </w:p>
    <w:p w14:paraId="1C1A86CC">
      <w:pPr>
        <w:pStyle w:val="7"/>
        <w:spacing w:line="360" w:lineRule="auto"/>
        <w:jc w:val="left"/>
        <w:outlineLvl w:val="2"/>
        <w:rPr>
          <w:rFonts w:hint="default"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九、货款支付方式</w:t>
      </w:r>
    </w:p>
    <w:p w14:paraId="3A1F913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中标人按监狱要求完成当月供货后，凭监狱出具的验收单（加盖单位公章），经审核后，于次月10日前凭国家合法有效的等额增值税普通（或专用）发票向监狱申请支付款项，结算金额以实际验收数量为准，监狱收到申请后应在三十日内结清货款(监狱如期办理国库支付即视为已按期支付)。</w:t>
      </w:r>
    </w:p>
    <w:p w14:paraId="6E0909A6">
      <w:pPr>
        <w:pStyle w:val="7"/>
        <w:spacing w:line="360" w:lineRule="auto"/>
        <w:jc w:val="left"/>
        <w:outlineLvl w:val="2"/>
        <w:rPr>
          <w:rFonts w:hint="default" w:ascii="仿宋_GB2312" w:hAnsi="仿宋_GB2312" w:eastAsia="仿宋_GB2312" w:cs="仿宋_GB2312"/>
          <w:color w:val="000000" w:themeColor="text1"/>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十、其他事项</w:t>
      </w:r>
    </w:p>
    <w:p w14:paraId="78178B6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1、本包</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籼米为核心产品。</w:t>
      </w:r>
    </w:p>
    <w:p w14:paraId="79B4BC1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21"/>
          <w:szCs w:val="21"/>
          <w:highlight w:val="none"/>
          <w14:textFill>
            <w14:solidFill>
              <w14:schemeClr w14:val="tx1"/>
            </w14:solidFill>
          </w14:textFill>
        </w:rPr>
        <w:t>、除招标文件另有规定外，若出现有关法律、法规和规章有强制性规定但招标文件未列明的情形，则投标人应按照有关法律、法规和规章强制性规定执行。</w:t>
      </w:r>
    </w:p>
    <w:p w14:paraId="49C39B0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3、投标人报价超过单价最高限价金额及各监狱预算金额的按无效响应处理。</w:t>
      </w:r>
    </w:p>
    <w:p w14:paraId="212AAFA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1"/>
          <w:szCs w:val="21"/>
          <w:highlight w:val="none"/>
          <w14:textFill>
            <w14:solidFill>
              <w14:schemeClr w14:val="tx1"/>
            </w14:solidFill>
          </w14:textFill>
        </w:rPr>
        <w:t>、</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中标人应按照本包中标金额分别与海南省琼山监狱、海南省美兰监狱、海南省新康监狱签订采购合同。</w:t>
      </w:r>
    </w:p>
    <w:p w14:paraId="7661754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仿宋_GB2312" w:hAnsi="仿宋_GB2312" w:eastAsia="仿宋_GB2312" w:cs="仿宋_GB2312"/>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 xml:space="preserve"> </w:t>
      </w:r>
      <w:r>
        <w:rPr>
          <w:rFonts w:hint="eastAsia" w:ascii="仿宋_GB2312" w:hAnsi="仿宋_GB2312" w:eastAsia="仿宋_GB2312" w:cs="仿宋_GB2312"/>
          <w:color w:val="000000" w:themeColor="text1"/>
          <w:sz w:val="21"/>
          <w:szCs w:val="21"/>
          <w:highlight w:val="none"/>
          <w14:textFill>
            <w14:solidFill>
              <w14:schemeClr w14:val="tx1"/>
            </w14:solidFill>
          </w14:textFill>
        </w:rPr>
        <w:br w:type="textWrapping"/>
      </w:r>
      <w:r>
        <w:rPr>
          <w:rFonts w:ascii="仿宋_GB2312" w:hAnsi="仿宋_GB2312" w:eastAsia="仿宋_GB2312" w:cs="仿宋_GB2312"/>
          <w:color w:val="000000" w:themeColor="text1"/>
          <w:highlight w:val="none"/>
          <w14:textFill>
            <w14:solidFill>
              <w14:schemeClr w14:val="tx1"/>
            </w14:solidFill>
          </w14:textFill>
        </w:rPr>
        <w:br w:type="page"/>
      </w:r>
    </w:p>
    <w:p w14:paraId="647817E3">
      <w:pPr>
        <w:pStyle w:val="7"/>
        <w:jc w:val="center"/>
        <w:outlineLvl w:val="2"/>
        <w:rPr>
          <w:rFonts w:hint="default" w:ascii="仿宋_GB2312" w:hAnsi="仿宋_GB2312" w:eastAsia="仿宋_GB2312" w:cs="仿宋_GB2312"/>
          <w:b/>
          <w:color w:val="000000" w:themeColor="text1"/>
          <w:sz w:val="28"/>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8"/>
          <w:highlight w:val="none"/>
          <w:lang w:val="en-US" w:eastAsia="zh-CN"/>
          <w14:textFill>
            <w14:solidFill>
              <w14:schemeClr w14:val="tx1"/>
            </w14:solidFill>
          </w14:textFill>
        </w:rPr>
        <w:t>B包（肉类及水产品）</w:t>
      </w:r>
    </w:p>
    <w:p w14:paraId="08218009">
      <w:pPr>
        <w:pStyle w:val="7"/>
        <w:jc w:val="left"/>
        <w:outlineLvl w:val="2"/>
        <w:rPr>
          <w:color w:val="000000" w:themeColor="text1"/>
          <w:sz w:val="24"/>
          <w:szCs w:val="24"/>
          <w:highlight w:val="none"/>
          <w14:textFill>
            <w14:solidFill>
              <w14:schemeClr w14:val="tx1"/>
            </w14:solidFill>
          </w14:textFill>
        </w:rPr>
      </w:pPr>
      <w:r>
        <w:rPr>
          <w:rFonts w:ascii="仿宋_GB2312" w:hAnsi="仿宋_GB2312" w:eastAsia="仿宋_GB2312" w:cs="仿宋_GB2312"/>
          <w:b/>
          <w:color w:val="000000" w:themeColor="text1"/>
          <w:sz w:val="24"/>
          <w:szCs w:val="24"/>
          <w:highlight w:val="none"/>
          <w14:textFill>
            <w14:solidFill>
              <w14:schemeClr w14:val="tx1"/>
            </w14:solidFill>
          </w14:textFill>
        </w:rPr>
        <w:t>一、项目概况</w:t>
      </w:r>
    </w:p>
    <w:p w14:paraId="7A252116">
      <w:pPr>
        <w:pStyle w:val="7"/>
        <w:spacing w:line="360" w:lineRule="auto"/>
        <w:ind w:firstLine="480"/>
        <w:jc w:val="left"/>
        <w:rPr>
          <w:b/>
          <w:bCs/>
          <w:color w:val="000000" w:themeColor="text1"/>
          <w:sz w:val="20"/>
          <w:szCs w:val="20"/>
          <w:highlight w:val="none"/>
          <w14:textFill>
            <w14:solidFill>
              <w14:schemeClr w14:val="tx1"/>
            </w14:solidFill>
          </w14:textFill>
        </w:rPr>
      </w:pPr>
    </w:p>
    <w:p w14:paraId="57F79B05">
      <w:pPr>
        <w:pStyle w:val="7"/>
        <w:spacing w:line="360" w:lineRule="auto"/>
        <w:ind w:firstLine="400" w:firstLineChars="200"/>
        <w:jc w:val="both"/>
        <w:rPr>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一</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ascii="仿宋_GB2312" w:hAnsi="仿宋_GB2312" w:eastAsia="仿宋_GB2312" w:cs="仿宋_GB2312"/>
          <w:color w:val="000000" w:themeColor="text1"/>
          <w:sz w:val="20"/>
          <w:szCs w:val="20"/>
          <w:highlight w:val="none"/>
          <w14:textFill>
            <w14:solidFill>
              <w14:schemeClr w14:val="tx1"/>
            </w14:solidFill>
          </w14:textFill>
        </w:rPr>
        <w:t>项目名称：</w:t>
      </w:r>
      <w:r>
        <w:rPr>
          <w:rFonts w:hint="eastAsia" w:ascii="仿宋_GB2312" w:hAnsi="仿宋_GB2312" w:eastAsia="仿宋_GB2312" w:cs="仿宋_GB2312"/>
          <w:color w:val="000000" w:themeColor="text1"/>
          <w:highlight w:val="none"/>
          <w14:textFill>
            <w14:solidFill>
              <w14:schemeClr w14:val="tx1"/>
            </w14:solidFill>
          </w14:textFill>
        </w:rPr>
        <w:t>海南省监狱系统第一片区（海南省琼山、美兰、新康监狱）2026年度罪犯大宗生活物资（粮食及食用油、肉类及水产品）采购项目</w:t>
      </w:r>
      <w:r>
        <w:rPr>
          <w:rFonts w:ascii="仿宋_GB2312" w:hAnsi="仿宋_GB2312" w:eastAsia="仿宋_GB2312" w:cs="仿宋_GB2312"/>
          <w:color w:val="000000" w:themeColor="text1"/>
          <w:sz w:val="20"/>
          <w:szCs w:val="20"/>
          <w:highlight w:val="none"/>
          <w14:textFill>
            <w14:solidFill>
              <w14:schemeClr w14:val="tx1"/>
            </w14:solidFill>
          </w14:textFill>
        </w:rPr>
        <w:t>；</w:t>
      </w:r>
    </w:p>
    <w:p w14:paraId="404EF79D">
      <w:pPr>
        <w:pStyle w:val="7"/>
        <w:spacing w:line="360" w:lineRule="auto"/>
        <w:ind w:firstLine="400" w:firstLineChars="200"/>
        <w:jc w:val="both"/>
        <w:rPr>
          <w:rFonts w:hint="eastAsia" w:ascii="仿宋_GB2312" w:hAnsi="仿宋_GB2312" w:eastAsia="仿宋_GB2312" w:cs="仿宋_GB2312"/>
          <w:color w:val="000000" w:themeColor="text1"/>
          <w:highlight w:val="none"/>
          <w:lang w:eastAsia="zh-CN"/>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二</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ascii="仿宋_GB2312" w:hAnsi="仿宋_GB2312" w:eastAsia="仿宋_GB2312" w:cs="仿宋_GB2312"/>
          <w:color w:val="000000" w:themeColor="text1"/>
          <w:sz w:val="20"/>
          <w:szCs w:val="20"/>
          <w:highlight w:val="none"/>
          <w14:textFill>
            <w14:solidFill>
              <w14:schemeClr w14:val="tx1"/>
            </w14:solidFill>
          </w14:textFill>
        </w:rPr>
        <w:t>预算金额：</w:t>
      </w:r>
      <w:r>
        <w:rPr>
          <w:rFonts w:hint="eastAsia" w:ascii="仿宋_GB2312" w:hAnsi="仿宋_GB2312" w:eastAsia="仿宋_GB2312" w:cs="仿宋_GB2312"/>
          <w:color w:val="000000" w:themeColor="text1"/>
          <w:highlight w:val="none"/>
          <w14:textFill>
            <w14:solidFill>
              <w14:schemeClr w14:val="tx1"/>
            </w14:solidFill>
          </w14:textFill>
        </w:rPr>
        <w:t>¥15,869,285.30</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元,</w:t>
      </w:r>
      <w:r>
        <w:rPr>
          <w:rFonts w:ascii="仿宋_GB2312" w:hAnsi="仿宋_GB2312" w:eastAsia="仿宋_GB2312" w:cs="仿宋_GB2312"/>
          <w:color w:val="000000" w:themeColor="text1"/>
          <w:sz w:val="20"/>
          <w:szCs w:val="20"/>
          <w:highlight w:val="none"/>
          <w14:textFill>
            <w14:solidFill>
              <w14:schemeClr w14:val="tx1"/>
            </w14:solidFill>
          </w14:textFill>
        </w:rPr>
        <w:t>本项目分</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A、B</w:t>
      </w:r>
      <w:r>
        <w:rPr>
          <w:rFonts w:ascii="仿宋_GB2312" w:hAnsi="仿宋_GB2312" w:eastAsia="仿宋_GB2312" w:cs="仿宋_GB2312"/>
          <w:color w:val="000000" w:themeColor="text1"/>
          <w:sz w:val="20"/>
          <w:szCs w:val="20"/>
          <w:highlight w:val="none"/>
          <w14:textFill>
            <w14:solidFill>
              <w14:schemeClr w14:val="tx1"/>
            </w14:solidFill>
          </w14:textFill>
        </w:rPr>
        <w:t>包</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所需物资按各监狱需求分期分批供应，</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B包（肉类及水产品）</w:t>
      </w:r>
      <w:r>
        <w:rPr>
          <w:rFonts w:hint="eastAsia" w:ascii="仿宋_GB2312" w:hAnsi="仿宋_GB2312" w:eastAsia="仿宋_GB2312" w:cs="仿宋_GB2312"/>
          <w:color w:val="000000" w:themeColor="text1"/>
          <w:highlight w:val="none"/>
          <w:lang w:val="en-US" w:eastAsia="zh-CN"/>
          <w14:textFill>
            <w14:solidFill>
              <w14:schemeClr w14:val="tx1"/>
            </w14:solidFill>
          </w14:textFill>
        </w:rPr>
        <w:t>采购总金额为9,472,354.30元，其中海南省琼山监狱1,168,218.30元、海南省美兰监狱6,404,136.00元、海南省新康监狱1,900,000.00元，以实际采购数量为准（最高限价及参考数值请看汇总表）</w:t>
      </w:r>
      <w:r>
        <w:rPr>
          <w:rFonts w:ascii="仿宋_GB2312" w:hAnsi="仿宋_GB2312" w:eastAsia="仿宋_GB2312" w:cs="仿宋_GB2312"/>
          <w:color w:val="000000" w:themeColor="text1"/>
          <w:sz w:val="20"/>
          <w:szCs w:val="20"/>
          <w:highlight w:val="none"/>
          <w14:textFill>
            <w14:solidFill>
              <w14:schemeClr w14:val="tx1"/>
            </w14:solidFill>
          </w14:textFill>
        </w:rPr>
        <w:t>。</w:t>
      </w:r>
    </w:p>
    <w:tbl>
      <w:tblPr>
        <w:tblStyle w:val="5"/>
        <w:tblpPr w:leftFromText="180" w:rightFromText="180" w:vertAnchor="text" w:horzAnchor="page" w:tblpX="896" w:tblpY="318"/>
        <w:tblOverlap w:val="never"/>
        <w:tblW w:w="103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25"/>
        <w:gridCol w:w="900"/>
        <w:gridCol w:w="1621"/>
        <w:gridCol w:w="987"/>
        <w:gridCol w:w="1280"/>
        <w:gridCol w:w="1293"/>
        <w:gridCol w:w="1387"/>
        <w:gridCol w:w="1333"/>
        <w:gridCol w:w="679"/>
      </w:tblGrid>
      <w:tr w14:paraId="1E362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305" w:type="dxa"/>
            <w:gridSpan w:val="9"/>
            <w:tcBorders>
              <w:top w:val="nil"/>
              <w:left w:val="nil"/>
              <w:bottom w:val="nil"/>
              <w:right w:val="nil"/>
            </w:tcBorders>
            <w:shd w:val="clear" w:color="auto" w:fill="FFFFFF"/>
            <w:noWrap w:val="0"/>
            <w:vAlign w:val="center"/>
          </w:tcPr>
          <w:p w14:paraId="24245A6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8"/>
                <w:szCs w:val="28"/>
                <w:highlight w:val="none"/>
                <w:u w:val="none"/>
                <w:lang w:val="en-US" w:eastAsia="zh-CN" w:bidi="ar"/>
                <w14:textFill>
                  <w14:solidFill>
                    <w14:schemeClr w14:val="tx1"/>
                  </w14:solidFill>
                </w14:textFill>
              </w:rPr>
              <w:t>采购需求汇总表</w:t>
            </w:r>
          </w:p>
        </w:tc>
      </w:tr>
      <w:tr w14:paraId="744DF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25" w:type="dxa"/>
            <w:tcBorders>
              <w:top w:val="single" w:color="000000" w:sz="4" w:space="0"/>
              <w:left w:val="single" w:color="000000" w:sz="4" w:space="0"/>
              <w:bottom w:val="single" w:color="000000" w:sz="4" w:space="0"/>
              <w:right w:val="single" w:color="000000" w:sz="4" w:space="0"/>
            </w:tcBorders>
            <w:noWrap w:val="0"/>
            <w:vAlign w:val="center"/>
          </w:tcPr>
          <w:p w14:paraId="6C3A9D8E">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序 号</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2D22936">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类 别</w:t>
            </w:r>
          </w:p>
        </w:tc>
        <w:tc>
          <w:tcPr>
            <w:tcW w:w="1621" w:type="dxa"/>
            <w:tcBorders>
              <w:top w:val="single" w:color="000000" w:sz="4" w:space="0"/>
              <w:left w:val="single" w:color="000000" w:sz="4" w:space="0"/>
              <w:bottom w:val="single" w:color="000000" w:sz="4" w:space="0"/>
              <w:right w:val="single" w:color="000000" w:sz="4" w:space="0"/>
            </w:tcBorders>
            <w:noWrap w:val="0"/>
            <w:vAlign w:val="center"/>
          </w:tcPr>
          <w:p w14:paraId="7D97E57A">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商品名称</w:t>
            </w:r>
          </w:p>
        </w:tc>
        <w:tc>
          <w:tcPr>
            <w:tcW w:w="987" w:type="dxa"/>
            <w:tcBorders>
              <w:top w:val="single" w:color="000000" w:sz="4" w:space="0"/>
              <w:left w:val="single" w:color="000000" w:sz="4" w:space="0"/>
              <w:bottom w:val="single" w:color="000000" w:sz="4" w:space="0"/>
              <w:right w:val="single" w:color="000000" w:sz="4" w:space="0"/>
            </w:tcBorders>
            <w:noWrap w:val="0"/>
            <w:vAlign w:val="center"/>
          </w:tcPr>
          <w:p w14:paraId="125CF85B">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单 位</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14:paraId="137D919E">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 xml:space="preserve"> 最高限价 </w:t>
            </w:r>
          </w:p>
        </w:tc>
        <w:tc>
          <w:tcPr>
            <w:tcW w:w="1293" w:type="dxa"/>
            <w:tcBorders>
              <w:top w:val="single" w:color="000000" w:sz="4" w:space="0"/>
              <w:left w:val="single" w:color="000000" w:sz="4" w:space="0"/>
              <w:bottom w:val="single" w:color="000000" w:sz="4" w:space="0"/>
              <w:right w:val="single" w:color="000000" w:sz="4" w:space="0"/>
            </w:tcBorders>
            <w:noWrap w:val="0"/>
            <w:vAlign w:val="center"/>
          </w:tcPr>
          <w:p w14:paraId="11992E11">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琼</w:t>
            </w:r>
            <w:r>
              <w:rPr>
                <w:rStyle w:val="8"/>
                <w:rFonts w:hint="eastAsia" w:ascii="仿宋" w:hAnsi="仿宋" w:eastAsia="仿宋" w:cs="仿宋"/>
                <w:b/>
                <w:bCs/>
                <w:color w:val="000000" w:themeColor="text1"/>
                <w:sz w:val="20"/>
                <w:szCs w:val="20"/>
                <w:highlight w:val="none"/>
                <w:lang w:val="en-US" w:eastAsia="zh-CN" w:bidi="ar"/>
                <w14:textFill>
                  <w14:solidFill>
                    <w14:schemeClr w14:val="tx1"/>
                  </w14:solidFill>
                </w14:textFill>
              </w:rPr>
              <w:t>山</w:t>
            </w:r>
            <w:r>
              <w:rPr>
                <w:rStyle w:val="9"/>
                <w:rFonts w:hint="eastAsia" w:ascii="仿宋" w:hAnsi="仿宋" w:eastAsia="仿宋" w:cs="仿宋"/>
                <w:b/>
                <w:bCs/>
                <w:color w:val="000000" w:themeColor="text1"/>
                <w:sz w:val="20"/>
                <w:szCs w:val="20"/>
                <w:highlight w:val="none"/>
                <w:lang w:val="en-US" w:eastAsia="zh-CN" w:bidi="ar"/>
                <w14:textFill>
                  <w14:solidFill>
                    <w14:schemeClr w14:val="tx1"/>
                  </w14:solidFill>
                </w14:textFill>
              </w:rPr>
              <w:t>计划</w:t>
            </w:r>
            <w:r>
              <w:rPr>
                <w:rStyle w:val="8"/>
                <w:rFonts w:hint="eastAsia" w:ascii="仿宋" w:hAnsi="仿宋" w:eastAsia="仿宋" w:cs="仿宋"/>
                <w:b/>
                <w:bCs/>
                <w:color w:val="000000" w:themeColor="text1"/>
                <w:sz w:val="20"/>
                <w:szCs w:val="20"/>
                <w:highlight w:val="none"/>
                <w:lang w:val="en-US" w:eastAsia="zh-CN" w:bidi="ar"/>
                <w14:textFill>
                  <w14:solidFill>
                    <w14:schemeClr w14:val="tx1"/>
                  </w14:solidFill>
                </w14:textFill>
              </w:rPr>
              <w:t>量</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14:paraId="55C3036B">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 xml:space="preserve"> </w:t>
            </w:r>
            <w:r>
              <w:rPr>
                <w:rStyle w:val="9"/>
                <w:rFonts w:hint="eastAsia" w:ascii="仿宋" w:hAnsi="仿宋" w:eastAsia="仿宋" w:cs="仿宋"/>
                <w:b/>
                <w:bCs/>
                <w:color w:val="000000" w:themeColor="text1"/>
                <w:sz w:val="20"/>
                <w:szCs w:val="20"/>
                <w:highlight w:val="none"/>
                <w:lang w:val="en-US" w:eastAsia="zh-CN" w:bidi="ar"/>
                <w14:textFill>
                  <w14:solidFill>
                    <w14:schemeClr w14:val="tx1"/>
                  </w14:solidFill>
                </w14:textFill>
              </w:rPr>
              <w:t>美兰计</w:t>
            </w:r>
            <w:r>
              <w:rPr>
                <w:rStyle w:val="8"/>
                <w:rFonts w:hint="eastAsia" w:ascii="仿宋" w:hAnsi="仿宋" w:eastAsia="仿宋" w:cs="仿宋"/>
                <w:b/>
                <w:bCs/>
                <w:color w:val="000000" w:themeColor="text1"/>
                <w:sz w:val="20"/>
                <w:szCs w:val="20"/>
                <w:highlight w:val="none"/>
                <w:lang w:val="en-US" w:eastAsia="zh-CN" w:bidi="ar"/>
                <w14:textFill>
                  <w14:solidFill>
                    <w14:schemeClr w14:val="tx1"/>
                  </w14:solidFill>
                </w14:textFill>
              </w:rPr>
              <w:t xml:space="preserve">划量 </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14:paraId="34E608F7">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 xml:space="preserve"> 新</w:t>
            </w:r>
            <w:r>
              <w:rPr>
                <w:rStyle w:val="9"/>
                <w:rFonts w:hint="eastAsia" w:ascii="仿宋" w:hAnsi="仿宋" w:eastAsia="仿宋" w:cs="仿宋"/>
                <w:b/>
                <w:bCs/>
                <w:color w:val="000000" w:themeColor="text1"/>
                <w:sz w:val="20"/>
                <w:szCs w:val="20"/>
                <w:highlight w:val="none"/>
                <w:lang w:val="en-US" w:eastAsia="zh-CN" w:bidi="ar"/>
                <w14:textFill>
                  <w14:solidFill>
                    <w14:schemeClr w14:val="tx1"/>
                  </w14:solidFill>
                </w14:textFill>
              </w:rPr>
              <w:t>康计</w:t>
            </w:r>
            <w:r>
              <w:rPr>
                <w:rStyle w:val="8"/>
                <w:rFonts w:hint="eastAsia" w:ascii="仿宋" w:hAnsi="仿宋" w:eastAsia="仿宋" w:cs="仿宋"/>
                <w:b/>
                <w:bCs/>
                <w:color w:val="000000" w:themeColor="text1"/>
                <w:sz w:val="20"/>
                <w:szCs w:val="20"/>
                <w:highlight w:val="none"/>
                <w:lang w:val="en-US" w:eastAsia="zh-CN" w:bidi="ar"/>
                <w14:textFill>
                  <w14:solidFill>
                    <w14:schemeClr w14:val="tx1"/>
                  </w14:solidFill>
                </w14:textFill>
              </w:rPr>
              <w:t xml:space="preserve">划量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6FBC2D7B">
            <w:pPr>
              <w:keepNext w:val="0"/>
              <w:keepLines w:val="0"/>
              <w:widowControl/>
              <w:suppressLineNumbers w:val="0"/>
              <w:jc w:val="center"/>
              <w:textAlignment w:val="center"/>
              <w:rPr>
                <w:rFonts w:hint="eastAsia" w:ascii="仿宋" w:hAnsi="仿宋" w:eastAsia="仿宋" w:cs="仿宋"/>
                <w:b/>
                <w:bCs/>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0"/>
                <w:szCs w:val="20"/>
                <w:highlight w:val="none"/>
                <w:u w:val="none"/>
                <w:lang w:val="en-US" w:eastAsia="zh-CN" w:bidi="ar"/>
                <w14:textFill>
                  <w14:solidFill>
                    <w14:schemeClr w14:val="tx1"/>
                  </w14:solidFill>
                </w14:textFill>
              </w:rPr>
              <w:t>备注</w:t>
            </w:r>
          </w:p>
        </w:tc>
      </w:tr>
      <w:tr w14:paraId="4B356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EFDC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5658B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冷鲜猪肉类</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4C6A7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冷鲜去皮五花肉</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EED26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1B3AB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￥23.33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359B3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1100.00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457A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15675.00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9F74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4E63BC39">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50B2A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300E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CFBF96">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F201C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冷鲜去皮上肉</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CCA42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5608D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￥18.30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E6A54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1100.00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6372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19987.00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DEED5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7000.00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098EDEF8">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1EFF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0FA4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3</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4DE367">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85F54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冷鲜瘦肉</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F07C6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5E446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￥20.83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4B405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A2E8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13785.00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EE5DD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7000.00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49D2C305">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0A8F7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A3A4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4</w:t>
            </w:r>
          </w:p>
        </w:tc>
        <w:tc>
          <w:tcPr>
            <w:tcW w:w="900" w:type="dxa"/>
            <w:vMerge w:val="restart"/>
            <w:tcBorders>
              <w:top w:val="single" w:color="000000" w:sz="4" w:space="0"/>
              <w:left w:val="single" w:color="000000" w:sz="4" w:space="0"/>
              <w:bottom w:val="nil"/>
              <w:right w:val="single" w:color="000000" w:sz="4" w:space="0"/>
            </w:tcBorders>
            <w:shd w:val="clear" w:color="auto" w:fill="auto"/>
            <w:noWrap w:val="0"/>
            <w:vAlign w:val="center"/>
          </w:tcPr>
          <w:p w14:paraId="63413D3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冷冻畜肉类</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9C0EB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猪五花肉</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B8F5D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00E26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￥17.73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22FE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12000.00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46B1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20630.00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91884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09795695">
            <w:pPr>
              <w:jc w:val="center"/>
              <w:rPr>
                <w:rFonts w:hint="eastAsia" w:ascii="仿宋" w:hAnsi="仿宋" w:eastAsia="仿宋" w:cs="仿宋"/>
                <w:i w:val="0"/>
                <w:iCs w:val="0"/>
                <w:color w:val="000000" w:themeColor="text1"/>
                <w:sz w:val="20"/>
                <w:szCs w:val="20"/>
                <w:highlight w:val="none"/>
                <w:u w:val="none"/>
                <w:lang w:val="en-US" w:eastAsia="zh-CN"/>
                <w14:textFill>
                  <w14:solidFill>
                    <w14:schemeClr w14:val="tx1"/>
                  </w14:solidFill>
                </w14:textFill>
              </w:rPr>
            </w:pPr>
          </w:p>
        </w:tc>
      </w:tr>
      <w:tr w14:paraId="6D47D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517D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5</w:t>
            </w:r>
          </w:p>
        </w:tc>
        <w:tc>
          <w:tcPr>
            <w:tcW w:w="900" w:type="dxa"/>
            <w:vMerge w:val="continue"/>
            <w:tcBorders>
              <w:top w:val="single" w:color="000000" w:sz="4" w:space="0"/>
              <w:left w:val="single" w:color="000000" w:sz="4" w:space="0"/>
              <w:bottom w:val="nil"/>
              <w:right w:val="single" w:color="000000" w:sz="4" w:space="0"/>
            </w:tcBorders>
            <w:shd w:val="clear" w:color="auto" w:fill="auto"/>
            <w:noWrap w:val="0"/>
            <w:vAlign w:val="center"/>
          </w:tcPr>
          <w:p w14:paraId="5B28D662">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CE78E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猪上肉</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42521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6D258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￥18.03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CB62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1250.00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2A148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6020.00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F232D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1640BDF9">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1EDE0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5F1C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6</w:t>
            </w:r>
          </w:p>
        </w:tc>
        <w:tc>
          <w:tcPr>
            <w:tcW w:w="900" w:type="dxa"/>
            <w:vMerge w:val="continue"/>
            <w:tcBorders>
              <w:top w:val="single" w:color="000000" w:sz="4" w:space="0"/>
              <w:left w:val="single" w:color="000000" w:sz="4" w:space="0"/>
              <w:bottom w:val="nil"/>
              <w:right w:val="single" w:color="000000" w:sz="4" w:space="0"/>
            </w:tcBorders>
            <w:shd w:val="clear" w:color="auto" w:fill="auto"/>
            <w:noWrap w:val="0"/>
            <w:vAlign w:val="center"/>
          </w:tcPr>
          <w:p w14:paraId="3386354C">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61A19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牛肉</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1354D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207CF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￥59.00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2BAA9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750.00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FD270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5630.00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9CDCB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3AF52B25">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2936F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F444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7</w:t>
            </w:r>
          </w:p>
        </w:tc>
        <w:tc>
          <w:tcPr>
            <w:tcW w:w="900" w:type="dxa"/>
            <w:vMerge w:val="continue"/>
            <w:tcBorders>
              <w:top w:val="single" w:color="000000" w:sz="4" w:space="0"/>
              <w:left w:val="single" w:color="000000" w:sz="4" w:space="0"/>
              <w:bottom w:val="nil"/>
              <w:right w:val="single" w:color="000000" w:sz="4" w:space="0"/>
            </w:tcBorders>
            <w:shd w:val="clear" w:color="auto" w:fill="auto"/>
            <w:noWrap w:val="0"/>
            <w:vAlign w:val="center"/>
          </w:tcPr>
          <w:p w14:paraId="6DBF8ADD">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478E8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牛腩</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1417B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641B9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￥55.00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09D9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750.00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4FAB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10676.00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040F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600.00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2E7487DC">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74B0B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4777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8</w:t>
            </w:r>
          </w:p>
        </w:tc>
        <w:tc>
          <w:tcPr>
            <w:tcW w:w="900" w:type="dxa"/>
            <w:vMerge w:val="continue"/>
            <w:tcBorders>
              <w:top w:val="single" w:color="000000" w:sz="4" w:space="0"/>
              <w:left w:val="single" w:color="000000" w:sz="4" w:space="0"/>
              <w:bottom w:val="nil"/>
              <w:right w:val="single" w:color="000000" w:sz="4" w:space="0"/>
            </w:tcBorders>
            <w:shd w:val="clear" w:color="auto" w:fill="auto"/>
            <w:noWrap w:val="0"/>
            <w:vAlign w:val="center"/>
          </w:tcPr>
          <w:p w14:paraId="00993241">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F8EF3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羊肉</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D4437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DC58E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￥60.00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9B627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8E625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3138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300.00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627B032F">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53508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3DA8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9</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E008B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冷鲜禽肉类</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88280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冷鲜白条鸡</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F0622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8DF0D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￥17.83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EB1156">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750.00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75EA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7085.00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EB15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3600.00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7FEB2F50">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5037B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AF49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10</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0E697E">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513B9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冷鲜白条鸭</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2E5D5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29809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￥14.93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446B9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750.00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6EB4C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32490.00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883E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3600.00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0B46325C">
            <w:pPr>
              <w:jc w:val="center"/>
              <w:rPr>
                <w:rFonts w:hint="eastAsia" w:ascii="仿宋" w:hAnsi="仿宋" w:eastAsia="仿宋" w:cs="仿宋"/>
                <w:i w:val="0"/>
                <w:iCs w:val="0"/>
                <w:color w:val="000000" w:themeColor="text1"/>
                <w:sz w:val="20"/>
                <w:szCs w:val="20"/>
                <w:highlight w:val="none"/>
                <w:u w:val="none"/>
                <w:lang w:val="en-US" w:eastAsia="zh-CN"/>
                <w14:textFill>
                  <w14:solidFill>
                    <w14:schemeClr w14:val="tx1"/>
                  </w14:solidFill>
                </w14:textFill>
              </w:rPr>
            </w:pPr>
          </w:p>
        </w:tc>
      </w:tr>
      <w:tr w14:paraId="625DA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A889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11</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CA116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冷冻禽肉类</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5F010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鸡腿</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FDE1D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81A7A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￥12.50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2CEB1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1500.00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AEF0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22974.00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8DD9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5500.00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6722A927">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4760B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725C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12</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12F01C">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96CE7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鸭腿</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BB2AD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455D0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￥7.60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46669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1500.00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7BC10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31892.00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7D40E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10000.00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432FC0B3">
            <w:pPr>
              <w:jc w:val="center"/>
              <w:rPr>
                <w:rFonts w:hint="eastAsia" w:ascii="仿宋" w:hAnsi="仿宋" w:eastAsia="仿宋" w:cs="仿宋"/>
                <w:i w:val="0"/>
                <w:iCs w:val="0"/>
                <w:color w:val="000000" w:themeColor="text1"/>
                <w:sz w:val="20"/>
                <w:szCs w:val="20"/>
                <w:highlight w:val="none"/>
                <w:u w:val="none"/>
                <w:lang w:val="en-US" w:eastAsia="zh-CN"/>
                <w14:textFill>
                  <w14:solidFill>
                    <w14:schemeClr w14:val="tx1"/>
                  </w14:solidFill>
                </w14:textFill>
              </w:rPr>
            </w:pPr>
          </w:p>
        </w:tc>
      </w:tr>
      <w:tr w14:paraId="28AB0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647C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13</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178B0D">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A9F6E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白条鹅</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2AEE5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36B9F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￥26.50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29A5C6">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750.00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A42C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9403.00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E66E96">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2400.00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1011EA53">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079EC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0A64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14</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CD5C7B">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89008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鸡翅膀</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0E255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D09FC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￥25.67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1A38C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1500.00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B1952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4948.00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15220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5900.00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6B22B2C8">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1980C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69A4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15</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E7E375">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B55B0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边鸡</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59463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3EB8D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￥12.00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5F198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8000.00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3DE16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8098.00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A729B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28400.00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6C9C0F0B">
            <w:pPr>
              <w:jc w:val="center"/>
              <w:rPr>
                <w:rFonts w:hint="eastAsia" w:ascii="仿宋" w:hAnsi="仿宋" w:eastAsia="仿宋" w:cs="仿宋"/>
                <w:i w:val="0"/>
                <w:iCs w:val="0"/>
                <w:color w:val="000000" w:themeColor="text1"/>
                <w:sz w:val="20"/>
                <w:szCs w:val="20"/>
                <w:highlight w:val="none"/>
                <w:u w:val="none"/>
                <w:lang w:val="en-US" w:eastAsia="zh-CN"/>
                <w14:textFill>
                  <w14:solidFill>
                    <w14:schemeClr w14:val="tx1"/>
                  </w14:solidFill>
                </w14:textFill>
              </w:rPr>
            </w:pPr>
          </w:p>
        </w:tc>
      </w:tr>
      <w:tr w14:paraId="5AD9B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BF4D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16</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CBC2ED">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7B9C7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鸭边腿</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571946">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EB010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￥6.97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98DB0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8000.00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0C71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185334.00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56935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28400.00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449E0F83">
            <w:pPr>
              <w:jc w:val="center"/>
              <w:rPr>
                <w:rFonts w:hint="eastAsia" w:ascii="仿宋" w:hAnsi="仿宋" w:eastAsia="仿宋" w:cs="仿宋"/>
                <w:i w:val="0"/>
                <w:iCs w:val="0"/>
                <w:color w:val="000000" w:themeColor="text1"/>
                <w:sz w:val="20"/>
                <w:szCs w:val="20"/>
                <w:highlight w:val="none"/>
                <w:u w:val="none"/>
                <w:lang w:val="en-US" w:eastAsia="zh-CN"/>
                <w14:textFill>
                  <w14:solidFill>
                    <w14:schemeClr w14:val="tx1"/>
                  </w14:solidFill>
                </w14:textFill>
              </w:rPr>
            </w:pPr>
          </w:p>
        </w:tc>
      </w:tr>
      <w:tr w14:paraId="5C78D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D4E2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17</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46C25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冷冻肉丸类</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FD11A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牛肉丸</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5B7DD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063A2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￥20.67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FC235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650.00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F310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6799.00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29E8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2500.00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61076721">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2F525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1EF6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18</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2E7064">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33301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香菇贡丸</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4EA9A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C278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￥17.83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3CF66">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650.00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AE7D5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7085.00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AD997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2500.00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44F86624">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17380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CB63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19</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C60A2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冷鲜水产品</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348D7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冷鲜罗非鱼</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71A73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25958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￥15.00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276C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5500.00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2A88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14000.00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9D181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2500.00 </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D9EFA1">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12AD3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58E7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20</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4943BE">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D5BAA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冷鲜金鲳鱼</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758D2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6DC22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￥26.00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F21A2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4000.00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3A3F5">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8900.00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9B7E7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4200.00 </w:t>
            </w:r>
          </w:p>
        </w:tc>
        <w:tc>
          <w:tcPr>
            <w:tcW w:w="6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C11138">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3CA44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A38A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21</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E4564C">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65EA0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基</w:t>
            </w:r>
            <w:r>
              <w:rPr>
                <w:rStyle w:val="10"/>
                <w:rFonts w:hint="eastAsia" w:ascii="仿宋" w:hAnsi="仿宋" w:eastAsia="仿宋" w:cs="仿宋"/>
                <w:color w:val="000000" w:themeColor="text1"/>
                <w:sz w:val="20"/>
                <w:szCs w:val="20"/>
                <w:highlight w:val="none"/>
                <w:lang w:val="en-US" w:eastAsia="zh-CN" w:bidi="ar"/>
                <w14:textFill>
                  <w14:solidFill>
                    <w14:schemeClr w14:val="tx1"/>
                  </w14:solidFill>
                </w14:textFill>
              </w:rPr>
              <w:t>围虾</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DDD8A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9D49C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￥43.83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DA298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2000.00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DC89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547.00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32AEC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6B6B7531">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41348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D107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22</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58E88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冷冻水产品</w:t>
            </w: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E804F3">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带鱼块</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975EC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219F4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￥23.43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85D0C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2000.00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23B92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8000.00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95E6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2000.00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7FAA3C00">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37C9A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EAB0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23</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537408">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21B34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灯光</w:t>
            </w:r>
            <w:r>
              <w:rPr>
                <w:rStyle w:val="10"/>
                <w:rFonts w:hint="eastAsia" w:ascii="仿宋" w:hAnsi="仿宋" w:eastAsia="仿宋" w:cs="仿宋"/>
                <w:color w:val="000000" w:themeColor="text1"/>
                <w:sz w:val="20"/>
                <w:szCs w:val="20"/>
                <w:highlight w:val="none"/>
                <w:lang w:val="en-US" w:eastAsia="zh-CN" w:bidi="ar"/>
                <w14:textFill>
                  <w14:solidFill>
                    <w14:schemeClr w14:val="tx1"/>
                  </w14:solidFill>
                </w14:textFill>
              </w:rPr>
              <w:t>鱼</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16865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35A78B">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￥19.67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3C6F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5500.00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4564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5000.00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496A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4200.00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7FBC805C">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066CF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E3A3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24</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E70A5E">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0806A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巴浪</w:t>
            </w:r>
            <w:r>
              <w:rPr>
                <w:rStyle w:val="10"/>
                <w:rFonts w:hint="eastAsia" w:ascii="仿宋" w:hAnsi="仿宋" w:eastAsia="仿宋" w:cs="仿宋"/>
                <w:color w:val="000000" w:themeColor="text1"/>
                <w:sz w:val="20"/>
                <w:szCs w:val="20"/>
                <w:highlight w:val="none"/>
                <w:lang w:val="en-US" w:eastAsia="zh-CN" w:bidi="ar"/>
                <w14:textFill>
                  <w14:solidFill>
                    <w14:schemeClr w14:val="tx1"/>
                  </w14:solidFill>
                </w14:textFill>
              </w:rPr>
              <w:t>鱼</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D6114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6005A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￥13.33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6F804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3160.00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F84396">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5000.00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E746A1">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8000.00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66B3C91D">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4FE76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604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25</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0F9B85">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E0651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基</w:t>
            </w:r>
            <w:r>
              <w:rPr>
                <w:rStyle w:val="10"/>
                <w:rFonts w:hint="eastAsia" w:ascii="仿宋" w:hAnsi="仿宋" w:eastAsia="仿宋" w:cs="仿宋"/>
                <w:color w:val="000000" w:themeColor="text1"/>
                <w:sz w:val="20"/>
                <w:szCs w:val="20"/>
                <w:highlight w:val="none"/>
                <w:lang w:val="en-US" w:eastAsia="zh-CN" w:bidi="ar"/>
                <w14:textFill>
                  <w14:solidFill>
                    <w14:schemeClr w14:val="tx1"/>
                  </w14:solidFill>
                </w14:textFill>
              </w:rPr>
              <w:t>围虾</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F13537">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B5662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￥41.67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7783D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4EED9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0D4A9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900.00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73E1FF02">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1BB59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9EFE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26</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B489A9">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B93D8D">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金</w:t>
            </w:r>
            <w:r>
              <w:rPr>
                <w:rStyle w:val="10"/>
                <w:rFonts w:hint="eastAsia" w:ascii="仿宋" w:hAnsi="仿宋" w:eastAsia="仿宋" w:cs="仿宋"/>
                <w:color w:val="000000" w:themeColor="text1"/>
                <w:sz w:val="20"/>
                <w:szCs w:val="20"/>
                <w:highlight w:val="none"/>
                <w:lang w:val="en-US" w:eastAsia="zh-CN" w:bidi="ar"/>
                <w14:textFill>
                  <w14:solidFill>
                    <w14:schemeClr w14:val="tx1"/>
                  </w14:solidFill>
                </w14:textFill>
              </w:rPr>
              <w:t>鲳鱼</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E6596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3571B9">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￥21.43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98597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3ED7F">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13CC2C">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4200.00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7A5812F8">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57AFD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D6AA">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27</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8906E8">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c>
          <w:tcPr>
            <w:tcW w:w="162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95FE50">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秋刀</w:t>
            </w:r>
            <w:r>
              <w:rPr>
                <w:rStyle w:val="10"/>
                <w:rFonts w:hint="eastAsia" w:ascii="仿宋" w:hAnsi="仿宋" w:eastAsia="仿宋" w:cs="仿宋"/>
                <w:color w:val="000000" w:themeColor="text1"/>
                <w:sz w:val="20"/>
                <w:szCs w:val="20"/>
                <w:highlight w:val="none"/>
                <w:lang w:val="en-US" w:eastAsia="zh-CN" w:bidi="ar"/>
                <w14:textFill>
                  <w14:solidFill>
                    <w14:schemeClr w14:val="tx1"/>
                  </w14:solidFill>
                </w14:textFill>
              </w:rPr>
              <w:t>鱼</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3A396E">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公斤</w:t>
            </w:r>
          </w:p>
        </w:tc>
        <w:tc>
          <w:tcPr>
            <w:tcW w:w="12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C0A618">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 ￥25.17 </w:t>
            </w:r>
          </w:p>
        </w:tc>
        <w:tc>
          <w:tcPr>
            <w:tcW w:w="129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903414">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138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667BD6">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133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AF4D32">
            <w:pPr>
              <w:keepNext w:val="0"/>
              <w:keepLines w:val="0"/>
              <w:widowControl/>
              <w:suppressLineNumbers w:val="0"/>
              <w:jc w:val="center"/>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 xml:space="preserve">0.00 </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14:paraId="6532AF7A">
            <w:pPr>
              <w:jc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p>
        </w:tc>
      </w:tr>
      <w:tr w14:paraId="4507F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305" w:type="dxa"/>
            <w:gridSpan w:val="9"/>
            <w:tcBorders>
              <w:top w:val="nil"/>
              <w:left w:val="nil"/>
              <w:bottom w:val="nil"/>
              <w:right w:val="nil"/>
            </w:tcBorders>
            <w:shd w:val="clear" w:color="auto" w:fill="FFFFFF"/>
            <w:noWrap w:val="0"/>
            <w:vAlign w:val="center"/>
          </w:tcPr>
          <w:p w14:paraId="2D7F6900">
            <w:pPr>
              <w:keepNext w:val="0"/>
              <w:keepLines w:val="0"/>
              <w:widowControl/>
              <w:suppressLineNumbers w:val="0"/>
              <w:spacing w:line="360" w:lineRule="auto"/>
              <w:jc w:val="left"/>
              <w:textAlignment w:val="center"/>
              <w:rPr>
                <w:rFonts w:hint="eastAsia" w:ascii="仿宋" w:hAnsi="仿宋" w:eastAsia="仿宋" w:cs="仿宋"/>
                <w:b/>
                <w:bCs/>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仿宋" w:hAnsi="仿宋" w:eastAsia="仿宋" w:cs="仿宋"/>
                <w:b/>
                <w:bCs/>
                <w:i w:val="0"/>
                <w:iCs w:val="0"/>
                <w:color w:val="000000" w:themeColor="text1"/>
                <w:kern w:val="0"/>
                <w:sz w:val="24"/>
                <w:szCs w:val="24"/>
                <w:highlight w:val="none"/>
                <w:u w:val="none"/>
                <w:lang w:val="en-US" w:eastAsia="zh-CN" w:bidi="ar"/>
                <w14:textFill>
                  <w14:solidFill>
                    <w14:schemeClr w14:val="tx1"/>
                  </w14:solidFill>
                </w14:textFill>
              </w:rPr>
              <w:t>备注：1.计划量采购总和前5名的货物品种依次为：1.鸭边腿、2.边鸡、3.鸭腿、4.冷鲜白条鸭、5.猪五花肉;</w:t>
            </w:r>
            <w:bookmarkStart w:id="1" w:name="_GoBack"/>
            <w:bookmarkEnd w:id="1"/>
          </w:p>
          <w:p w14:paraId="47C97D3E">
            <w:pPr>
              <w:keepNext w:val="0"/>
              <w:keepLines w:val="0"/>
              <w:widowControl/>
              <w:suppressLineNumbers w:val="0"/>
              <w:spacing w:line="360" w:lineRule="auto"/>
              <w:ind w:firstLine="723" w:firstLineChars="300"/>
              <w:jc w:val="left"/>
              <w:textAlignment w:val="center"/>
              <w:rPr>
                <w:rFonts w:hint="eastAsia" w:ascii="仿宋" w:hAnsi="仿宋" w:eastAsia="仿宋" w:cs="仿宋"/>
                <w:i w:val="0"/>
                <w:iCs w:val="0"/>
                <w:color w:val="000000" w:themeColor="text1"/>
                <w:sz w:val="20"/>
                <w:szCs w:val="20"/>
                <w:highlight w:val="none"/>
                <w:u w:val="none"/>
                <w14:textFill>
                  <w14:solidFill>
                    <w14:schemeClr w14:val="tx1"/>
                  </w14:solidFill>
                </w14:textFill>
              </w:rPr>
            </w:pPr>
            <w:r>
              <w:rPr>
                <w:rFonts w:hint="eastAsia" w:ascii="仿宋" w:hAnsi="仿宋" w:eastAsia="仿宋" w:cs="仿宋"/>
                <w:b/>
                <w:bCs/>
                <w:i w:val="0"/>
                <w:iCs w:val="0"/>
                <w:color w:val="000000" w:themeColor="text1"/>
                <w:kern w:val="0"/>
                <w:sz w:val="24"/>
                <w:szCs w:val="24"/>
                <w:highlight w:val="none"/>
                <w:u w:val="none"/>
                <w:lang w:val="en-US" w:eastAsia="zh-CN" w:bidi="ar"/>
                <w14:textFill>
                  <w14:solidFill>
                    <w14:schemeClr w14:val="tx1"/>
                  </w14:solidFill>
                </w14:textFill>
              </w:rPr>
              <w:t>2.以上数量仅供参考。</w:t>
            </w:r>
          </w:p>
        </w:tc>
      </w:tr>
    </w:tbl>
    <w:p w14:paraId="24AB5570">
      <w:pPr>
        <w:pStyle w:val="7"/>
        <w:spacing w:line="360" w:lineRule="auto"/>
        <w:jc w:val="both"/>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pP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三</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）报价及最高限价</w:t>
      </w:r>
    </w:p>
    <w:p w14:paraId="5C09A388">
      <w:pPr>
        <w:pStyle w:val="7"/>
        <w:spacing w:line="360" w:lineRule="auto"/>
        <w:ind w:firstLine="400" w:firstLineChars="200"/>
        <w:jc w:val="both"/>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报价及最高限价:投标报价包含产品价格、运输、装卸、售后服务、保险、搬运费、税金等所有费用，价格精确到分。如有漏项，视同已包含在其总价中，合同总价不予调整。</w:t>
      </w:r>
    </w:p>
    <w:p w14:paraId="6CA59339">
      <w:pPr>
        <w:pStyle w:val="7"/>
        <w:spacing w:line="360" w:lineRule="auto"/>
        <w:ind w:firstLine="400" w:firstLineChars="200"/>
        <w:jc w:val="both"/>
        <w:rPr>
          <w:rFonts w:hint="eastAsia" w:ascii="仿宋_GB2312" w:hAnsi="仿宋_GB2312" w:eastAsia="仿宋_GB2312" w:cs="仿宋_GB2312"/>
          <w:color w:val="000000" w:themeColor="text1"/>
          <w:sz w:val="20"/>
          <w:szCs w:val="20"/>
          <w:highlight w:val="none"/>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最高限价为:*元/公斤，超过最高限价的视为无效投标。</w:t>
      </w:r>
    </w:p>
    <w:p w14:paraId="512C4202">
      <w:pPr>
        <w:pStyle w:val="7"/>
        <w:spacing w:line="360" w:lineRule="auto"/>
        <w:ind w:firstLine="400" w:firstLineChars="200"/>
        <w:jc w:val="both"/>
        <w:rPr>
          <w:rFonts w:hint="default" w:ascii="仿宋_GB2312" w:hAnsi="仿宋_GB2312" w:eastAsia="仿宋_GB2312" w:cs="仿宋_GB2312"/>
          <w:color w:val="000000" w:themeColor="text1"/>
          <w:sz w:val="20"/>
          <w:szCs w:val="20"/>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0"/>
          <w:szCs w:val="20"/>
          <w:highlight w:val="none"/>
          <w14:textFill>
            <w14:solidFill>
              <w14:schemeClr w14:val="tx1"/>
            </w14:solidFill>
          </w14:textFill>
        </w:rPr>
        <w:t>投标报价采用统一</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采用报“单价折扣”</w:t>
      </w:r>
      <w:r>
        <w:rPr>
          <w:rFonts w:hint="eastAsia" w:ascii="仿宋_GB2312" w:hAnsi="仿宋_GB2312" w:eastAsia="仿宋_GB2312" w:cs="仿宋_GB2312"/>
          <w:color w:val="000000" w:themeColor="text1"/>
          <w:sz w:val="20"/>
          <w:szCs w:val="20"/>
          <w:highlight w:val="none"/>
          <w14:textFill>
            <w14:solidFill>
              <w14:schemeClr w14:val="tx1"/>
            </w14:solidFill>
          </w14:textFill>
        </w:rPr>
        <w:t>的方式</w:t>
      </w:r>
      <w:r>
        <w:rPr>
          <w:rFonts w:hint="eastAsia" w:ascii="仿宋_GB2312" w:hAnsi="仿宋_GB2312" w:eastAsia="仿宋_GB2312" w:cs="仿宋_GB2312"/>
          <w:color w:val="000000" w:themeColor="text1"/>
          <w:sz w:val="20"/>
          <w:szCs w:val="20"/>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单价折扣不得大于1，否则视为无效投标</w:t>
      </w:r>
      <w:r>
        <w:rPr>
          <w:rFonts w:hint="eastAsia" w:ascii="仿宋_GB2312" w:hAnsi="仿宋_GB2312" w:eastAsia="仿宋_GB2312" w:cs="仿宋_GB2312"/>
          <w:color w:val="000000" w:themeColor="text1"/>
          <w:sz w:val="20"/>
          <w:szCs w:val="20"/>
          <w:highlight w:val="none"/>
          <w14:textFill>
            <w14:solidFill>
              <w14:schemeClr w14:val="tx1"/>
            </w14:solidFill>
          </w14:textFill>
        </w:rPr>
        <w:t>。即:合同结算价=</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单个商品最高限价</w:t>
      </w:r>
      <w:r>
        <w:rPr>
          <w:rFonts w:hint="eastAsia" w:ascii="仿宋_GB2312" w:hAnsi="仿宋_GB2312" w:eastAsia="仿宋_GB2312" w:cs="仿宋_GB2312"/>
          <w:color w:val="000000" w:themeColor="text1"/>
          <w:sz w:val="20"/>
          <w:szCs w:val="20"/>
          <w:highlight w:val="none"/>
          <w14:textFill>
            <w14:solidFill>
              <w14:schemeClr w14:val="tx1"/>
            </w14:solidFill>
          </w14:textFill>
        </w:rPr>
        <w:t>x</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单价折扣，结算金额=合同结算单价</w:t>
      </w:r>
      <w:r>
        <w:rPr>
          <w:rFonts w:hint="eastAsia" w:ascii="仿宋_GB2312" w:hAnsi="仿宋_GB2312" w:eastAsia="仿宋_GB2312" w:cs="仿宋_GB2312"/>
          <w:color w:val="000000" w:themeColor="text1"/>
          <w:sz w:val="20"/>
          <w:szCs w:val="20"/>
          <w:highlight w:val="none"/>
          <w14:textFill>
            <w14:solidFill>
              <w14:schemeClr w14:val="tx1"/>
            </w14:solidFill>
          </w14:textFill>
        </w:rPr>
        <w:t>x</w:t>
      </w:r>
      <w:r>
        <w:rPr>
          <w:rFonts w:hint="eastAsia" w:ascii="仿宋_GB2312" w:hAnsi="仿宋_GB2312" w:eastAsia="仿宋_GB2312" w:cs="仿宋_GB2312"/>
          <w:color w:val="000000" w:themeColor="text1"/>
          <w:sz w:val="20"/>
          <w:szCs w:val="20"/>
          <w:highlight w:val="none"/>
          <w:lang w:val="en-US" w:eastAsia="zh-CN"/>
          <w14:textFill>
            <w14:solidFill>
              <w14:schemeClr w14:val="tx1"/>
            </w14:solidFill>
          </w14:textFill>
        </w:rPr>
        <w:t>实际供货量。所有采购品种以实际供货量进行结算。合同结算单价确定后，不因市场波动进行任何调整。</w:t>
      </w:r>
    </w:p>
    <w:p w14:paraId="35C3AE4B">
      <w:pPr>
        <w:pStyle w:val="7"/>
        <w:spacing w:line="360" w:lineRule="auto"/>
        <w:jc w:val="left"/>
        <w:outlineLvl w:val="2"/>
        <w:rPr>
          <w:color w:val="000000" w:themeColor="text1"/>
          <w:sz w:val="24"/>
          <w:szCs w:val="24"/>
          <w:highlight w:val="none"/>
          <w14:textFill>
            <w14:solidFill>
              <w14:schemeClr w14:val="tx1"/>
            </w14:solidFill>
          </w14:textFill>
        </w:rPr>
      </w:pPr>
      <w:r>
        <w:rPr>
          <w:rFonts w:ascii="仿宋_GB2312" w:hAnsi="仿宋_GB2312" w:eastAsia="仿宋_GB2312" w:cs="仿宋_GB2312"/>
          <w:b/>
          <w:color w:val="000000" w:themeColor="text1"/>
          <w:sz w:val="24"/>
          <w:szCs w:val="24"/>
          <w:highlight w:val="none"/>
          <w14:textFill>
            <w14:solidFill>
              <w14:schemeClr w14:val="tx1"/>
            </w14:solidFill>
          </w14:textFill>
        </w:rPr>
        <w:t>二、技术和服务要求（以“★”标示的内容为不允许负偏离的实质性要求）</w:t>
      </w:r>
    </w:p>
    <w:p w14:paraId="7AC2CEB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一</w:t>
      </w:r>
      <w:r>
        <w:rPr>
          <w:rFonts w:hint="eastAsia" w:ascii="仿宋_GB2312" w:hAnsi="仿宋_GB2312" w:eastAsia="仿宋_GB2312" w:cs="仿宋_GB2312"/>
          <w:color w:val="000000" w:themeColor="text1"/>
          <w:sz w:val="21"/>
          <w:szCs w:val="21"/>
          <w:highlight w:val="none"/>
          <w14:textFill>
            <w14:solidFill>
              <w14:schemeClr w14:val="tx1"/>
            </w14:solidFill>
          </w14:textFill>
        </w:rPr>
        <w:t>)质量要求:所有鲜、冻产品质量需符合《GB/T 20575-2019鲜、冻肉生产良好操作规范》有关要求;冷鲜肉需为定点屠宰场、肉联厂屠宰，禽类屠宰去油肺，鱼类去鳞、去鳃、净膛，畜肉类、禽肉类应并根据甲方需求进行分割，配送的禽肉畜肉不得有骨碎肉碎，并经检验检疫合格，有符合国家标准的预包装，有标签标识等溯源信息。</w:t>
      </w:r>
    </w:p>
    <w:p w14:paraId="207D0EF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1.肉类、鱼类等生鲜食品的基本要求:</w:t>
      </w:r>
    </w:p>
    <w:p w14:paraId="00444D7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采购的猪肉、鸡肉、鸭肉、鹅肉、鱼类等生鲜食品必须保证新鲜，无变质、无腐烂、无异味、无注水，冷冻生鲜类食品必须保证每次送货均有检验检疫部门出具的合格证书及检验检疫证明。鱼肉类冻品运送时必须保证有冰块保鲜，以免因天气炎热发生变质。</w:t>
      </w:r>
    </w:p>
    <w:p w14:paraId="25F0CFE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（2）冷鲜猪肉要求：</w:t>
      </w:r>
    </w:p>
    <w:p w14:paraId="0C0FF6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①原料要求:生猪应来自非疫区，并持有产地动物防疫监督机构出具的检疫证明:非公、母种猪、晚阉猪、病死猪加工的鲜猪肉。</w:t>
      </w:r>
    </w:p>
    <w:p w14:paraId="7B80DEB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②合格证件要求:严格实行肉品品质检验“一猪二证二章”制度，每次供应的鲜猪肉必须向监狱提供《肉品品质检验合格证》和《动物检疫合格证》。</w:t>
      </w:r>
    </w:p>
    <w:p w14:paraId="323A6F1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③猪酮体印章要求:每次供应的每片鲜猪肉酮体上必须盖有《肉品品质检验合格》验讫印章和《动物检验合格》验讫印章。</w:t>
      </w:r>
    </w:p>
    <w:p w14:paraId="7C1621E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（3）生鲜食品运至甲方前储存时间不得过长，以保证绝对新鲜。</w:t>
      </w:r>
    </w:p>
    <w:p w14:paraId="58CF42E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二</w:t>
      </w:r>
      <w:r>
        <w:rPr>
          <w:rFonts w:hint="eastAsia" w:ascii="仿宋_GB2312" w:hAnsi="仿宋_GB2312" w:eastAsia="仿宋_GB2312" w:cs="仿宋_GB2312"/>
          <w:color w:val="000000" w:themeColor="text1"/>
          <w:sz w:val="21"/>
          <w:szCs w:val="21"/>
          <w:highlight w:val="none"/>
          <w14:textFill>
            <w14:solidFill>
              <w14:schemeClr w14:val="tx1"/>
            </w14:solidFill>
          </w14:textFill>
        </w:rPr>
        <w:t>)包装要求:包装应清洁、卫生，无破损渗漏;标签须标明产品名称、净含量、生产商名称和地址、生产日期、保质期、产品标准号等内容;冷鲜罗非鱼250-300克/条、冷鲜金鲳鱼250-300克/条、带鱼块重量150克/块，灯光鱼200-250克/条、巴浪鱼200-250克/条；所有生鲜食品剩余保质期不得少于原保质期的二分之一。</w:t>
      </w:r>
    </w:p>
    <w:p w14:paraId="496072B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三</w:t>
      </w:r>
      <w:r>
        <w:rPr>
          <w:rFonts w:hint="eastAsia" w:ascii="仿宋_GB2312" w:hAnsi="仿宋_GB2312" w:eastAsia="仿宋_GB2312" w:cs="仿宋_GB2312"/>
          <w:color w:val="000000" w:themeColor="text1"/>
          <w:sz w:val="21"/>
          <w:szCs w:val="21"/>
          <w:highlight w:val="none"/>
          <w14:textFill>
            <w14:solidFill>
              <w14:schemeClr w14:val="tx1"/>
            </w14:solidFill>
          </w14:textFill>
        </w:rPr>
        <w:t>)品牌要求:以上商品在满足质量要求的前提下，只允许投报一个品牌(需在投标文件中列明品牌)。</w:t>
      </w:r>
    </w:p>
    <w:p w14:paraId="1D7E3AB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针对本项目列明的常用商品品类（包括但不限于牛肉、禽肉类等），投标人投报的品牌中至少包含一个符合少数民族饮食习俗的品牌（需提供该</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具有少数民族特色</w:t>
      </w:r>
      <w:r>
        <w:rPr>
          <w:rFonts w:hint="eastAsia" w:ascii="仿宋_GB2312" w:hAnsi="仿宋_GB2312" w:eastAsia="仿宋_GB2312" w:cs="仿宋_GB2312"/>
          <w:color w:val="000000" w:themeColor="text1"/>
          <w:sz w:val="21"/>
          <w:szCs w:val="21"/>
          <w:highlight w:val="none"/>
          <w14:textFill>
            <w14:solidFill>
              <w14:schemeClr w14:val="tx1"/>
            </w14:solidFill>
          </w14:textFill>
        </w:rPr>
        <w:t>品牌的认证证书等有效证明文件），该品牌对应的商品品类需覆盖本项目要求的相关常用品种。</w:t>
      </w:r>
    </w:p>
    <w:p w14:paraId="558E2D1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四</w:t>
      </w:r>
      <w:r>
        <w:rPr>
          <w:rFonts w:hint="eastAsia" w:ascii="仿宋_GB2312" w:hAnsi="仿宋_GB2312" w:eastAsia="仿宋_GB2312" w:cs="仿宋_GB2312"/>
          <w:color w:val="000000" w:themeColor="text1"/>
          <w:sz w:val="21"/>
          <w:szCs w:val="21"/>
          <w:highlight w:val="none"/>
          <w14:textFill>
            <w14:solidFill>
              <w14:schemeClr w14:val="tx1"/>
            </w14:solidFill>
          </w14:textFill>
        </w:rPr>
        <w:t>)食品安全要求:畜、禽产品需符合《GB2707-2016食品安全国家标准鲜(冻)畜、禽产品》相关要求，水产品需符合《GB2733-2015食品安全国家标准鲜、冻动物性水产品》相关要求。</w:t>
      </w:r>
    </w:p>
    <w:p w14:paraId="3AC61B2F">
      <w:pPr>
        <w:pStyle w:val="7"/>
        <w:jc w:val="left"/>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pPr>
    </w:p>
    <w:p w14:paraId="7EFFA7B3">
      <w:pPr>
        <w:pStyle w:val="7"/>
        <w:spacing w:line="360" w:lineRule="auto"/>
        <w:jc w:val="left"/>
        <w:rPr>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二</w:t>
      </w:r>
      <w:r>
        <w:rPr>
          <w:rFonts w:hint="eastAsia" w:ascii="仿宋_GB2312" w:hAnsi="仿宋_GB2312" w:eastAsia="仿宋_GB2312" w:cs="仿宋_GB2312"/>
          <w:color w:val="000000" w:themeColor="text1"/>
          <w:sz w:val="21"/>
          <w:szCs w:val="21"/>
          <w:highlight w:val="none"/>
          <w:lang w:eastAsia="zh-CN"/>
          <w14:textFill>
            <w14:solidFill>
              <w14:schemeClr w14:val="tx1"/>
            </w14:solidFill>
          </w14:textFill>
        </w:rPr>
        <w:t>）</w:t>
      </w:r>
      <w:r>
        <w:rPr>
          <w:rFonts w:ascii="仿宋_GB2312" w:hAnsi="仿宋_GB2312" w:eastAsia="仿宋_GB2312" w:cs="仿宋_GB2312"/>
          <w:color w:val="000000" w:themeColor="text1"/>
          <w:sz w:val="21"/>
          <w:szCs w:val="21"/>
          <w:highlight w:val="none"/>
          <w14:textFill>
            <w14:solidFill>
              <w14:schemeClr w14:val="tx1"/>
            </w14:solidFill>
          </w14:textFill>
        </w:rPr>
        <w:t>配送要求</w:t>
      </w:r>
    </w:p>
    <w:p w14:paraId="1D94749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1.首</w:t>
      </w:r>
      <w:r>
        <w:rPr>
          <w:rFonts w:hint="eastAsia" w:ascii="仿宋_GB2312" w:hAnsi="仿宋_GB2312" w:eastAsia="仿宋_GB2312" w:cs="仿宋_GB2312"/>
          <w:color w:val="000000" w:themeColor="text1"/>
          <w:sz w:val="21"/>
          <w:szCs w:val="21"/>
          <w:highlight w:val="none"/>
          <w14:textFill>
            <w14:solidFill>
              <w14:schemeClr w14:val="tx1"/>
            </w14:solidFill>
          </w14:textFill>
        </w:rPr>
        <w:t>次供应时，中标人应提供《营业执照》和《食品经营许可证》，以及食品生产企业的《动物防疫合格证》《食品生产许可证》等证照复印件予监狱存档。</w:t>
      </w:r>
    </w:p>
    <w:p w14:paraId="64A57A7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每次供应时，畜、禽肉应供《动物产品检疫合格证明》、《产品合格证》及盖有公章的货物清单;肉制品类应提供《产品合格证》及盖有公章的货物清单，此外，每六个月需提供一次由具备资质的质量检测部门出具的检测报告;冷冻水产品应提供出入库检验证明及盖有公章的货物清单。</w:t>
      </w:r>
    </w:p>
    <w:p w14:paraId="429207A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根据疫情防控有关要求，监狱对货物采取核酸抽样检测、消毒消杀、物资静置等防疫措施的，中标人须积极予以配合。</w:t>
      </w:r>
    </w:p>
    <w:p w14:paraId="6142040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21"/>
          <w:szCs w:val="21"/>
          <w:highlight w:val="none"/>
          <w14:textFill>
            <w14:solidFill>
              <w14:schemeClr w14:val="tx1"/>
            </w14:solidFill>
          </w14:textFill>
        </w:rPr>
        <w:t>货物运输整个过程应科学合理，必须采用符合国家卫生要求的专用冷藏、冷冻载具运输,确保货物不被挤压变形导致质量受到影响，并且要保持清洁和定期清洗消毒；每次配送前一天完成清洗消杀，保证车辆卫生条件符合国家法律法规相关要求，确保车厢内无不良气味、异味；有必要的保温设备并在整个运输过程中保持安全的冷藏、冷冻温度；车厢门装有联网锁具，运输途中不得随意开启。</w:t>
      </w:r>
    </w:p>
    <w:p w14:paraId="23E913D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配送人员的身体健康条件应符合国家法律法规规定的相关要求，并提供相关身体健康证明材料。</w:t>
      </w:r>
    </w:p>
    <w:p w14:paraId="6BC43C6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21"/>
          <w:szCs w:val="21"/>
          <w:highlight w:val="none"/>
          <w14:textFill>
            <w14:solidFill>
              <w14:schemeClr w14:val="tx1"/>
            </w14:solidFill>
          </w14:textFill>
        </w:rPr>
        <w:t>供应商必须保证产品质量安全和运输安全，因产品质量安全问题和向采购人运送肉类及水产品途中的一切安全问题，均由中标人承担全部责任。</w:t>
      </w:r>
    </w:p>
    <w:p w14:paraId="6DD9E6C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1"/>
          <w:szCs w:val="21"/>
          <w:highlight w:val="none"/>
          <w14:textFill>
            <w14:solidFill>
              <w14:schemeClr w14:val="tx1"/>
            </w14:solidFill>
          </w14:textFill>
        </w:rPr>
        <w:t>监狱根据实际需要与中标人协商肉类的供应品种，畜、禽肉类每月供应不得少于5个品种,每个品种的供应数量不得超过合同期畜、禽肉类供应总量的35%。其中，冷鲜肉的供应数量不得低于合同期内畜、禽肉类供应总量的10%。</w:t>
      </w:r>
    </w:p>
    <w:p w14:paraId="4184EA9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21"/>
          <w:szCs w:val="21"/>
          <w:highlight w:val="none"/>
          <w14:textFill>
            <w14:solidFill>
              <w14:schemeClr w14:val="tx1"/>
            </w14:solidFill>
          </w14:textFill>
        </w:rPr>
        <w:t>送货时间:监狱根据采购计划和实际需求，提前五日以书面形式将需求通知中标人。</w:t>
      </w:r>
    </w:p>
    <w:p w14:paraId="6B8C259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21"/>
          <w:szCs w:val="21"/>
          <w:highlight w:val="none"/>
          <w14:textFill>
            <w14:solidFill>
              <w14:schemeClr w14:val="tx1"/>
            </w14:solidFill>
          </w14:textFill>
        </w:rPr>
        <w:t>中标人在接到通知后备齐货物，按时送抵交货地点。中标人除不可抗力外，不得以其他任何理由延迟送货。监狱如遇特殊情况需推迟送货，应至少提前一日通知中标人。中标人不能按时、按质、按量供货，导致监狱无法正常供应伙食的，监狱有权自行采购同等质量的货物,由此造成的采购费用及差额等经济损失由中标人负责，并承担相应的违约责任。</w:t>
      </w:r>
    </w:p>
    <w:p w14:paraId="1A3058EB">
      <w:pPr>
        <w:pStyle w:val="7"/>
        <w:spacing w:line="360" w:lineRule="auto"/>
        <w:jc w:val="left"/>
        <w:outlineLvl w:val="2"/>
        <w:rPr>
          <w:rFonts w:hint="eastAsia" w:ascii="仿宋_GB2312" w:hAnsi="仿宋_GB2312" w:eastAsia="仿宋_GB2312" w:cs="仿宋_GB2312"/>
          <w:b/>
          <w:color w:val="000000" w:themeColor="text1"/>
          <w:sz w:val="24"/>
          <w:szCs w:val="24"/>
          <w:highlight w:val="none"/>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三</w:t>
      </w:r>
      <w:r>
        <w:rPr>
          <w:rFonts w:hint="eastAsia" w:ascii="仿宋_GB2312" w:hAnsi="仿宋_GB2312" w:eastAsia="仿宋_GB2312" w:cs="仿宋_GB2312"/>
          <w:b/>
          <w:color w:val="000000" w:themeColor="text1"/>
          <w:sz w:val="24"/>
          <w:szCs w:val="24"/>
          <w:highlight w:val="none"/>
          <w14:textFill>
            <w14:solidFill>
              <w14:schemeClr w14:val="tx1"/>
            </w14:solidFill>
          </w14:textFill>
        </w:rPr>
        <w:t>、物资验收</w:t>
      </w:r>
    </w:p>
    <w:p w14:paraId="4998698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(一)按《海南省监狱管理局（海南省戒毒管理局）监狱罪犯大宗生活物资采购管理暂行办法》有关规定进行验收。</w:t>
      </w:r>
    </w:p>
    <w:p w14:paraId="35F8718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(二) 双方对货物质量存在争议的，应共同委托双方认可的、具备法定资质的第三方质量检测机构进行检测；若双方就检测机构选定无法达成一致，可随机抽取政府采购名录内的检测机构实施检测。</w:t>
      </w:r>
    </w:p>
    <w:p w14:paraId="118693F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1、若检测结果判定货物质量符合合同约定标准，检测费用由监狱承担，该批次货物正常验收；</w:t>
      </w:r>
    </w:p>
    <w:p w14:paraId="682C71C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2、若检测结果判定货物质量不符合合同约定标准，检测费用由中标人承担，监狱有权无条件退货，中标人应在7个工作日内 重新配送与合同要求一致的合格物资，并承担由此产生的往返运输、仓储等全部费用；若中标人逾期未配送合格物资，视为违约，监狱有权依据合同约定追究其违约责任。</w:t>
      </w:r>
    </w:p>
    <w:p w14:paraId="55360E4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三)合同期内，省局随机对货物质量进行一到两次抽查(因食品安全事故调查、接到投诉调查而送检的，不受此次数限制)，检验费用由中标人支付。合同期内两次抽查发现不合格的(可为相同或不同货物)，责成监狱扣除全部履约保证金并立即解除合同。</w:t>
      </w:r>
    </w:p>
    <w:p w14:paraId="372FFA8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(四)监狱在物资验收时未发现质量问题，而入库后七日内发现质量问题的，且中标人无法证明该质量问题是由于监狱保管、使用不善而导致的，应无条件更换该批次货物。</w:t>
      </w:r>
    </w:p>
    <w:p w14:paraId="55E50DD0">
      <w:pPr>
        <w:pStyle w:val="7"/>
        <w:spacing w:line="360" w:lineRule="auto"/>
        <w:jc w:val="left"/>
        <w:outlineLvl w:val="2"/>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四、疫情防控及应急保障</w:t>
      </w:r>
    </w:p>
    <w:p w14:paraId="4C9F9FD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(一)中标人需主动落实好疫情防控主体责任，做好所供应物资的产地、来源地、采购地等溯源管理及源头管控，承诺不从国内中高风险地区采购或运输物资，最大限度降低物资涉疫风险。</w:t>
      </w:r>
    </w:p>
    <w:p w14:paraId="3CF2A1B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二)中标人需加强运输车辆(加装定位系统，数据可供监狱查询)和司机行程轨迹管理，签订合同时应将项目相关服务人员报监狱备案，如需调整必须书面提出申请，监狱同意后方可调整。运输车辆行车记录仪在进入监管区前须主动自觉将其关闭。</w:t>
      </w:r>
    </w:p>
    <w:p w14:paraId="201C558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(三)中标人需严格遵守监狱有关疫情防控规定，按照监狱要求在指定地点装卸货物，配合做好消毒消杀、核酸检测及静置管理等防疫相关措施，由此产生的相关费用均由中标人承担。</w:t>
      </w:r>
    </w:p>
    <w:p w14:paraId="7FE15AB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(四)投标人要有自己的货源保障能力，即自有或租赁的种植、养殖基地，自有或租赁的配送中心、仓储库、冷冻库、冷藏库，自有或租赁的生产线或生产车间等，相关面积及运输距离须满足本项目的实际需要。</w:t>
      </w:r>
    </w:p>
    <w:p w14:paraId="5369E2A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五)投标人应制定详细、科学、合理，可行性和针对性强的特殊情况应急保障方案，承诺在合同期内(包括国家法定节假日及休息日)保持24小时沟通联系，从收到监狱需紧急配送物资的通知起算，必须在2小时内完成配送。</w:t>
      </w:r>
    </w:p>
    <w:p w14:paraId="0623F99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六)中标人需具备足够的运输车、冷链车及相关设备、配送人员，确保满足本项目的服务需求。中标人不得随意变更监狱采购计划，否则监狱有权拒收。确因市场流通问题需变更的，须向监狱书面提出申请，监狱同意后方可变更。</w:t>
      </w:r>
    </w:p>
    <w:p w14:paraId="72244EF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七)除不可抗力外，因中标人不能完成合同约定的疫情防控及应急保障内容,导致监狱出现涉疫情况、供应中断等重大安全风险的，监狱有权采取扣除履约保证金、单方面解除合同等措施，并要求中标人承担所造成的一切经济损失。</w:t>
      </w:r>
    </w:p>
    <w:p w14:paraId="399F60FA">
      <w:pPr>
        <w:pStyle w:val="7"/>
        <w:spacing w:line="360" w:lineRule="auto"/>
        <w:jc w:val="left"/>
        <w:outlineLvl w:val="2"/>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五、中标人管理要求</w:t>
      </w:r>
    </w:p>
    <w:p w14:paraId="7A6529C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(一)中标人有以下行为之一并经调查属实的，监狱有权立即解除合同，并扣除全部履约保证金:</w:t>
      </w:r>
    </w:p>
    <w:p w14:paraId="70FFD2A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1、弄虚作假，提供虚假材料取得中标供应资格的;</w:t>
      </w:r>
    </w:p>
    <w:p w14:paraId="0276EB2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2.中标供应项目有违规转包、分包行为的;</w:t>
      </w:r>
    </w:p>
    <w:p w14:paraId="64D2CAD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3.经营情况发生重大变更，已不具备承接中标项目能力的;</w:t>
      </w:r>
    </w:p>
    <w:p w14:paraId="5FC987E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4.无正当理由拒绝履行合同约定的;</w:t>
      </w:r>
    </w:p>
    <w:p w14:paraId="7788811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5.存在行贿、受贿等违法违纪行为的;</w:t>
      </w:r>
    </w:p>
    <w:p w14:paraId="6E037C1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6.食品安全责任险有效期未覆盖项目合同期，或续保的保额低于投标时所购买保额的。</w:t>
      </w:r>
    </w:p>
    <w:p w14:paraId="54A2548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二)中标人必须依据国家有关法律法规，建立健全各项管理制度，保证食品安全，有明确的食品安全责任人。因所供货物原因导致狱内发生食品安全事故或监管安全事故的,除扣除全部履约保证金并解除合同外，中标人还需赔偿监狱由此产生的一切经济损失(包括但不限于医疗救治、护理、康复等费用)。</w:t>
      </w:r>
    </w:p>
    <w:p w14:paraId="67500E8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三)中标人应严格按招标要求及合同约定(品种、质量等)供应，不得随意变更监狱采购计划。对监狱验收认为不符合规格要求或质量标准的货物，中标人应无条件予以退货或更换，并承担由此造成的全部经济损失。</w:t>
      </w:r>
    </w:p>
    <w:p w14:paraId="79B1F90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(四)因生产商原因停产、改变生产规格的，中标人凭生产商出具的证明告知监狱，监狱经市场调查选择替换的品种、规格，报省局狱政管理处（生活卫生处）备案后与中标人协商予以更换。</w:t>
      </w:r>
    </w:p>
    <w:p w14:paraId="1217125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(五)中标人须按所供应商品的实际销售额开具国家正式发票。</w:t>
      </w:r>
    </w:p>
    <w:p w14:paraId="73C38C9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六)食品溯源要求:中标人需建立完整的食品溯源管理机制，确保所有食品及原材料的生产、加工、运输、贮存等各环节链条清晰、源头可控，来源应当是受地方政府部门监管的流通市场或具有相关资质的厂家生产，物资生产企业必须获得生产许可证，生产食品的源头与供应商要有固定的合法的供应关系，并主动接受属地市场监督管理部门的监管。</w:t>
      </w:r>
    </w:p>
    <w:p w14:paraId="466914A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(七)中标人应保存以下资料备查:1.与食品生产企业的销售/代理合同;2.食品生产企业的送货单据和销售发票:3.与经销商/代理商的采购合同、送货单据和销售发票。</w:t>
      </w:r>
    </w:p>
    <w:p w14:paraId="19B9C5A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（八）中标人应严格落实保密相关要求，同时加强对有关人员的保密管理和教育，对造成失泄密的应当严肃追责并承担相应的法律责任，同时扣除全部履约保证金。</w:t>
      </w:r>
    </w:p>
    <w:p w14:paraId="5254B9D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备注:冷鲜猪肉只能在国内未发生大范围猪传染病时方可采购。</w:t>
      </w:r>
    </w:p>
    <w:p w14:paraId="21330EA6">
      <w:pPr>
        <w:pStyle w:val="7"/>
        <w:spacing w:line="360" w:lineRule="auto"/>
        <w:jc w:val="left"/>
        <w:outlineLvl w:val="2"/>
        <w:rPr>
          <w:rFonts w:hint="default"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商务部分：</w:t>
      </w:r>
    </w:p>
    <w:p w14:paraId="1E8667BB">
      <w:pPr>
        <w:pStyle w:val="7"/>
        <w:spacing w:line="360" w:lineRule="auto"/>
        <w:jc w:val="left"/>
        <w:outlineLvl w:val="2"/>
        <w:rPr>
          <w:rFonts w:hint="default"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六、合同履行期限</w:t>
      </w:r>
    </w:p>
    <w:p w14:paraId="572248C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pPr>
      <w:r>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t>1.海南省琼山监狱：</w:t>
      </w:r>
    </w:p>
    <w:p w14:paraId="4FC31EE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pPr>
      <w:r>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t>（1）水产品：合同生效日起至2026年12月31日止；</w:t>
      </w:r>
    </w:p>
    <w:p w14:paraId="519EB7F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pPr>
      <w:r>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t>（2）肉类：2026年8月15日起至2026年12月31日止。</w:t>
      </w:r>
    </w:p>
    <w:p w14:paraId="32F1B9B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pPr>
      <w:r>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t>2.海南省美兰监狱：合同生效日起至2026年12月31日止。</w:t>
      </w:r>
    </w:p>
    <w:p w14:paraId="0A620A2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pPr>
      <w:r>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t>3.海南省新康监狱：合同生效日起至2026年12月31日止。</w:t>
      </w:r>
    </w:p>
    <w:p w14:paraId="16B8199D">
      <w:pPr>
        <w:pStyle w:val="7"/>
        <w:spacing w:line="360" w:lineRule="auto"/>
        <w:jc w:val="left"/>
        <w:outlineLvl w:val="2"/>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七、交货地点</w:t>
      </w:r>
    </w:p>
    <w:p w14:paraId="46E501A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方正仿宋_GB2312" w:hAnsi="Times New Roman" w:eastAsia="方正仿宋_GB2312" w:cs="方正仿宋_GB2312"/>
          <w:color w:val="000000" w:themeColor="text1"/>
          <w:kern w:val="0"/>
          <w:sz w:val="21"/>
          <w:szCs w:val="21"/>
          <w:highlight w:val="none"/>
          <w:lang w:val="en-US" w:eastAsia="zh-CN" w:bidi="ar"/>
          <w14:textFill>
            <w14:solidFill>
              <w14:schemeClr w14:val="tx1"/>
            </w14:solidFill>
          </w14:textFill>
        </w:rPr>
      </w:pPr>
      <w:r>
        <w:rPr>
          <w:rFonts w:hint="default" w:ascii="仿宋_GB2312" w:hAnsi="仿宋_GB2312" w:eastAsia="仿宋_GB2312" w:cs="仿宋_GB2312"/>
          <w:color w:val="000000" w:themeColor="text1"/>
          <w:sz w:val="21"/>
          <w:szCs w:val="21"/>
          <w:highlight w:val="none"/>
          <w:lang w:val="en-US" w:eastAsia="zh-CN"/>
          <w14:textFill>
            <w14:solidFill>
              <w14:schemeClr w14:val="tx1"/>
            </w14:solidFill>
          </w14:textFill>
        </w:rPr>
        <w:t>用户指定地点</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w:t>
      </w:r>
      <w:r>
        <w:rPr>
          <w:rFonts w:hint="default" w:ascii="仿宋_GB2312" w:hAnsi="仿宋_GB2312" w:eastAsia="仿宋_GB2312" w:cs="仿宋_GB2312"/>
          <w:color w:val="000000" w:themeColor="text1"/>
          <w:sz w:val="21"/>
          <w:szCs w:val="21"/>
          <w:highlight w:val="none"/>
          <w:lang w:val="en-US" w:eastAsia="zh-CN"/>
          <w14:textFill>
            <w14:solidFill>
              <w14:schemeClr w14:val="tx1"/>
            </w14:solidFill>
          </w14:textFill>
        </w:rPr>
        <w:t>海南省琼山监狱、海南省美兰监狱、海南省新康监狱罪犯伙房。</w:t>
      </w:r>
    </w:p>
    <w:p w14:paraId="7180613B">
      <w:pPr>
        <w:pStyle w:val="7"/>
        <w:spacing w:line="360" w:lineRule="auto"/>
        <w:jc w:val="left"/>
        <w:outlineLvl w:val="2"/>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八、合同签订及履约保证金</w:t>
      </w:r>
    </w:p>
    <w:p w14:paraId="52E8A4B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(一)中标人与监狱在中标公告发布之日起五个工作日内签订合同。</w:t>
      </w:r>
    </w:p>
    <w:p w14:paraId="4B89C79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(二)合同签订后十五日内，中标人须向监狱支付合同金额5%的履约保证金。在中标人完成其合同义务，包括任何保证义务后三十日内，监狱应一次性无息退还履约保证金。</w:t>
      </w:r>
    </w:p>
    <w:p w14:paraId="48B56A1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履约保证金以支票、汇票、本票或者金融机构、担保机构出具的保函等非现金形式提交。中标人以银行保函形式缴纳履约保证金的，需提交不可撤销、见索即付的独立保函。</w:t>
      </w:r>
    </w:p>
    <w:p w14:paraId="2ABD8E6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(三)如在合同执行期间因中标人违约导致履约保证金部分或全部扣除的，中标人需在七日内补齐履约保证金。</w:t>
      </w:r>
    </w:p>
    <w:p w14:paraId="33FE790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(四)发生以下情形之一、经调查属实的，每次扣除10%履约保证金:</w:t>
      </w:r>
    </w:p>
    <w:p w14:paraId="5C5BDB8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1.中标人工作人员为服刑人员传递物品的;</w:t>
      </w:r>
    </w:p>
    <w:p w14:paraId="3D3C1BA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2.中标人工作人员对货物检查把关不严，造成违禁品、违规品及危险品流入狱内的;</w:t>
      </w:r>
    </w:p>
    <w:p w14:paraId="4086742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3.未按要求随货提供相关票证;</w:t>
      </w:r>
    </w:p>
    <w:p w14:paraId="2C65E82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4.货物质量验收不合格，但退货数量低于该批次货物总量50%(不含本数)的;</w:t>
      </w:r>
    </w:p>
    <w:p w14:paraId="29C0A5A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5.货物供应数量低于监狱采购计划数量95%(不含本数)，但高于该批次货物总量80%(含本数)的;</w:t>
      </w:r>
    </w:p>
    <w:p w14:paraId="42A2DD4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6.未按监狱采购计划的时间供货(提前一天与监狱协商，且未影响罪犯伙食供应的除外);</w:t>
      </w:r>
    </w:p>
    <w:p w14:paraId="2BF97FD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7.未按监狱指定地点和秩序卸货的;</w:t>
      </w:r>
    </w:p>
    <w:p w14:paraId="177FB8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8.货物出现质量问题，供应商不积极配合溯源及查找原因，不及时反馈处理结果的;</w:t>
      </w:r>
    </w:p>
    <w:p w14:paraId="2476D9F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9.中标人经营场所、联系人、联系方式变更，未及时通知监狱业务部门，造成紧急情况下无法联系的。</w:t>
      </w:r>
    </w:p>
    <w:p w14:paraId="1A1DC22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若出现以上第1、第2款情形的，立即撤换该工作人员，并禁止其进入监狱（包括省内其他监狱）。造成严重后果的，依法追究其法律责任。</w:t>
      </w:r>
    </w:p>
    <w:p w14:paraId="0DCF64F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(五)发生以下情形之一、经调查属实的，每次扣除20%履约保证金:</w:t>
      </w:r>
    </w:p>
    <w:p w14:paraId="299E517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1.供应货物品种、品牌、规格或质量等级与合同不符;</w:t>
      </w:r>
    </w:p>
    <w:p w14:paraId="40FD51F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2.货物质量验收不合格，且退货数量高于该批次货物总量50%(含本数)的;</w:t>
      </w:r>
    </w:p>
    <w:p w14:paraId="75A55EC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3.货物供应数量低于监狱采购计划数量80%(不含本数)，但高于该批次货物总量50%(含本数)的;</w:t>
      </w:r>
    </w:p>
    <w:p w14:paraId="2E4B911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4.提供虚假或伪造的货物质量检验、检测报告的;</w:t>
      </w:r>
    </w:p>
    <w:p w14:paraId="5B30E37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5.同一品种货物连续两次验收发现质量不合格产品并退货的;</w:t>
      </w:r>
    </w:p>
    <w:p w14:paraId="6929081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6.在货物的包装、运输、装卸等环节不符合食品安全要求的;</w:t>
      </w:r>
    </w:p>
    <w:p w14:paraId="7ECAE49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7.中标人工作人员不遵守监狱对外来人员相关管理规定或不配合疫情防控相关要求，情节轻微未造成不良后果的。</w:t>
      </w:r>
    </w:p>
    <w:p w14:paraId="794F217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在合同期前两个月内发生上述(四)（不含第1、第2款）、(五)扣除履约保证金情形的，次数不超过三次(含三次)，在未影响监狱伙食正常供应、未因所供货物发生食品安全事故,且中标人及时整改的前提下可免予扣除履约保证金;从第三个月起严格执行。</w:t>
      </w:r>
    </w:p>
    <w:p w14:paraId="15DD943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(六)发生以下情形之一、经调查属实的，每次扣除30%履约保证金:</w:t>
      </w:r>
    </w:p>
    <w:p w14:paraId="4615248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1.因退货或未按监狱采购计划数量供应，造成监狱无法按时供应罪犯伙食的;</w:t>
      </w:r>
    </w:p>
    <w:p w14:paraId="45CFC63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2.中标人无正当理由，未按监狱要求在指定时间内配送相关物资的;</w:t>
      </w:r>
    </w:p>
    <w:p w14:paraId="4F47F1D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3.中标人未经书面申请监狱同意，擅自调整、更换项目相关服务人员的。</w:t>
      </w:r>
    </w:p>
    <w:p w14:paraId="5273ED3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(七)发生以下情形之一、经调查属实的，每次扣除50%履约保证金:</w:t>
      </w:r>
    </w:p>
    <w:p w14:paraId="1C39160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1.省局在合同期内的随机质量抽查中发现货物质量(含包装)不合格的;</w:t>
      </w:r>
    </w:p>
    <w:p w14:paraId="08B41BF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2.中标人无正当理由，第二次未按监狱要求在指定时间内配送相关物资的;</w:t>
      </w:r>
    </w:p>
    <w:p w14:paraId="46CBD29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3.因中标人长时间(超过24小时)无法联系的原因，导致监狱物资供应出现中断或短缺的（因不可抗力原因的除外）。</w:t>
      </w:r>
    </w:p>
    <w:p w14:paraId="2B15E75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(八)发生以下情形之一、经调查属实的,扣除全部履约保证金，并视情况单方面解除合同:</w:t>
      </w:r>
    </w:p>
    <w:p w14:paraId="670EA17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1.省局在合同期内的随机质量抽查中第二次发现货物质量(含包装)不合格的(可以是相同或不同的货物);</w:t>
      </w:r>
    </w:p>
    <w:p w14:paraId="5AD659F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2.因所供货物质量原因导致狱内发生食品安全事故的;</w:t>
      </w:r>
    </w:p>
    <w:p w14:paraId="67AFDE6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3.因中标人工作人员原因导致狱内发生监管安全事故的;</w:t>
      </w:r>
    </w:p>
    <w:p w14:paraId="240D515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4.除不可抗力外，中标人无故不能完成监狱疫情防控及应急保障相关要求，导致监狱出现重大安全风险的。</w:t>
      </w:r>
    </w:p>
    <w:p w14:paraId="646DE41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若同时出现上述履约保证金扣除情形,仅按扣除数额最大的情形执行，不对同时出现的情形累计扣除。若出现以上第2、第3款情形的，依法追究其法律责任。</w:t>
      </w:r>
    </w:p>
    <w:p w14:paraId="2664916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九)如中标人在合同执行过程中需终止合同履行的，应提前九十日以书面形式告知监狱，并继续供应九十日后方可终止。履行合同未满六个月就提出终止合同的，扣除60%履约保证金;履行合同六个月以上不足九个月提出终止合同的，扣除40%履约保证金;履行合同九个月以上提出终止合同的，扣除20%履约保证金。如提出终止合同后未继续供应九十日的(剩余合同期小于九十日的，供应到合同结束时间为止)，按单方面违约处理，除扣除全部履约保证金外，还须承担监狱的其他经济损失，包括但不限于新中标供应商供货之前，监狱有权自行采购同等质量的货物，由此造成的采购费用及差额等经济损失。</w:t>
      </w:r>
    </w:p>
    <w:p w14:paraId="71CC454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14:textFill>
            <w14:solidFill>
              <w14:schemeClr w14:val="tx1"/>
            </w14:solidFill>
          </w14:textFill>
        </w:rPr>
        <w:t>(十)如监狱在合同执行中确因不可抗力需要中止合同履行的（不可抗力包括但不限于上级行政主管机关政策性文件的变更），应提前六十日以书面形式告知中标人，并在合同正式终止后三十日内退还全部履约保证金。</w:t>
      </w:r>
    </w:p>
    <w:p w14:paraId="5432EA15">
      <w:pPr>
        <w:pStyle w:val="7"/>
        <w:spacing w:line="360" w:lineRule="auto"/>
        <w:jc w:val="left"/>
        <w:outlineLvl w:val="2"/>
        <w:rPr>
          <w:rFonts w:hint="default" w:ascii="仿宋_GB2312" w:hAnsi="仿宋_GB2312" w:eastAsia="仿宋_GB2312" w:cs="仿宋_GB2312"/>
          <w:b/>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九、货款支付方式</w:t>
      </w:r>
    </w:p>
    <w:p w14:paraId="5931AA45">
      <w:pPr>
        <w:bidi w:val="0"/>
        <w:spacing w:line="360" w:lineRule="auto"/>
        <w:ind w:firstLine="420" w:firstLineChars="200"/>
        <w:rPr>
          <w:rFonts w:hint="eastAsia"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中标人按监狱要求完成当月供货后，凭监狱出具的验收单（加盖单位公章），经审核后，于次月10日前凭国家合法有效的等额增值税普通（或专用）发票向监狱申请支付款项，结算金额以实际验收数量为准，监狱收到申请后应在三十日内结清货款(监狱如期办理国库支付即视为已按期支付)。</w:t>
      </w:r>
    </w:p>
    <w:p w14:paraId="1B6F471B">
      <w:pPr>
        <w:pStyle w:val="7"/>
        <w:spacing w:line="360" w:lineRule="auto"/>
        <w:jc w:val="left"/>
        <w:outlineLvl w:val="2"/>
        <w:rPr>
          <w:rFonts w:hint="default"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b/>
          <w:color w:val="000000" w:themeColor="text1"/>
          <w:sz w:val="24"/>
          <w:szCs w:val="24"/>
          <w:highlight w:val="none"/>
          <w:lang w:val="en-US" w:eastAsia="zh-CN"/>
          <w14:textFill>
            <w14:solidFill>
              <w14:schemeClr w14:val="tx1"/>
            </w14:solidFill>
          </w14:textFill>
        </w:rPr>
        <w:t>十、其他事项</w:t>
      </w:r>
    </w:p>
    <w:p w14:paraId="24F1E3E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1、本包</w:t>
      </w:r>
      <w:r>
        <w:rPr>
          <w:rFonts w:hint="eastAsia" w:ascii="仿宋" w:hAnsi="仿宋" w:eastAsia="仿宋" w:cs="仿宋"/>
          <w:i w:val="0"/>
          <w:iCs w:val="0"/>
          <w:color w:val="000000" w:themeColor="text1"/>
          <w:kern w:val="0"/>
          <w:sz w:val="20"/>
          <w:szCs w:val="20"/>
          <w:highlight w:val="none"/>
          <w:u w:val="none"/>
          <w:lang w:val="en-US" w:eastAsia="zh-CN" w:bidi="ar"/>
          <w14:textFill>
            <w14:solidFill>
              <w14:schemeClr w14:val="tx1"/>
            </w14:solidFill>
          </w14:textFill>
        </w:rPr>
        <w:t>鸭边腿为核心产品。</w:t>
      </w:r>
    </w:p>
    <w:p w14:paraId="2961060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21"/>
          <w:szCs w:val="21"/>
          <w:highlight w:val="none"/>
          <w14:textFill>
            <w14:solidFill>
              <w14:schemeClr w14:val="tx1"/>
            </w14:solidFill>
          </w14:textFill>
        </w:rPr>
        <w:t>、除招标文件另有规定外，若出现有关法律、法规和规章有强制性规定但招标文件未列明的情形，则投标人应按照有关法律、法规和规章强制性规定执行。</w:t>
      </w:r>
    </w:p>
    <w:p w14:paraId="0D8CE47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3、投标人报价超过单价最高限价金额及各监狱预算金额的按无效响应处理。</w:t>
      </w:r>
    </w:p>
    <w:p w14:paraId="7A5324F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1"/>
          <w:szCs w:val="21"/>
          <w:highlight w:val="none"/>
          <w14:textFill>
            <w14:solidFill>
              <w14:schemeClr w14:val="tx1"/>
            </w14:solidFill>
          </w14:textFill>
        </w:rPr>
        <w:t>、</w:t>
      </w:r>
      <w:r>
        <w:rPr>
          <w:rFonts w:hint="eastAsia" w:ascii="仿宋_GB2312" w:hAnsi="仿宋_GB2312" w:eastAsia="仿宋_GB2312" w:cs="仿宋_GB2312"/>
          <w:color w:val="000000" w:themeColor="text1"/>
          <w:sz w:val="21"/>
          <w:szCs w:val="21"/>
          <w:highlight w:val="none"/>
          <w:lang w:val="en-US" w:eastAsia="zh-CN"/>
          <w14:textFill>
            <w14:solidFill>
              <w14:schemeClr w14:val="tx1"/>
            </w14:solidFill>
          </w14:textFill>
        </w:rPr>
        <w:t>中标人应按照本包中标金额分别与海南省琼山监狱、海南省美兰监狱、海南省新康监狱签订采购合同。</w:t>
      </w:r>
    </w:p>
    <w:p w14:paraId="23741D0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885277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738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A8BB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FA8BB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4C64C1"/>
    <w:rsid w:val="09653424"/>
    <w:rsid w:val="0A7E5240"/>
    <w:rsid w:val="0EF8579D"/>
    <w:rsid w:val="122D20F0"/>
    <w:rsid w:val="177B0DD1"/>
    <w:rsid w:val="1A9329ED"/>
    <w:rsid w:val="2EC46832"/>
    <w:rsid w:val="466F3DEF"/>
    <w:rsid w:val="5573647C"/>
    <w:rsid w:val="5C600607"/>
    <w:rsid w:val="5C884BBA"/>
    <w:rsid w:val="68AA5354"/>
    <w:rsid w:val="6D4C6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spacing w:line="240" w:lineRule="auto"/>
      <w:ind w:firstLine="420"/>
    </w:pPr>
    <w:rPr>
      <w:rFonts w:ascii="Calibri" w:hAnsi="Calibri"/>
      <w:sz w:val="21"/>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41"/>
    <w:basedOn w:val="6"/>
    <w:qFormat/>
    <w:uiPriority w:val="0"/>
    <w:rPr>
      <w:rFonts w:hint="default" w:ascii="仿宋_GB2312" w:eastAsia="仿宋_GB2312" w:cs="仿宋_GB2312"/>
      <w:color w:val="000000"/>
      <w:sz w:val="24"/>
      <w:szCs w:val="24"/>
      <w:u w:val="none"/>
    </w:rPr>
  </w:style>
  <w:style w:type="character" w:customStyle="1" w:styleId="9">
    <w:name w:val="font01"/>
    <w:basedOn w:val="6"/>
    <w:qFormat/>
    <w:uiPriority w:val="0"/>
    <w:rPr>
      <w:rFonts w:hint="eastAsia" w:ascii="宋体" w:hAnsi="宋体" w:eastAsia="宋体" w:cs="宋体"/>
      <w:color w:val="000000"/>
      <w:sz w:val="24"/>
      <w:szCs w:val="24"/>
      <w:u w:val="none"/>
    </w:rPr>
  </w:style>
  <w:style w:type="character" w:customStyle="1" w:styleId="10">
    <w:name w:val="font9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1280</Words>
  <Characters>1585</Characters>
  <Lines>0</Lines>
  <Paragraphs>0</Paragraphs>
  <TotalTime>21</TotalTime>
  <ScaleCrop>false</ScaleCrop>
  <LinksUpToDate>false</LinksUpToDate>
  <CharactersWithSpaces>1717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2026-02-09T17:25:00Z</dcterms:created>
  <dc:creator>右耳</dc:creator>
  <cp:lastModifiedBy>右耳</cp:lastModifiedBy>
  <dcterms:modified xsi:type="dcterms:W3CDTF">2026-03-11T07:38:20Z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4F5E99779B344AFBAB6FE9AFA7D3C2B1_11</vt:lpwstr>
  </property>
  <property fmtid="{D5CDD505-2E9C-101B-9397-08002B2CF9AE}" pid="4" name="KSOTemplateDocerSaveRecord">
    <vt:lpwstr>eyJoZGlkIjoiNDUzYzU1ZmJjNDIzNmE2NjQ2NjViMGMyNTllNDJhMmQiLCJ1c2VySWQiOiIzMTk0NDE2NjkifQ==</vt:lpwstr>
  </property>
</Properties>
</file>