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正文</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（工程类）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日常维修服务项目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HNYZ-2025597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海南中学本级</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海南亿卓招标代理有限公司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海南中学本级</w:t>
      </w:r>
      <w:r>
        <w:rPr>
          <w:rFonts w:ascii="仿宋_GB2312" w:hAnsi="仿宋_GB2312" w:cs="仿宋_GB2312" w:eastAsia="仿宋_GB2312"/>
        </w:rPr>
        <w:t xml:space="preserve"> 的委托， </w:t>
      </w:r>
      <w:r>
        <w:rPr>
          <w:rFonts w:ascii="仿宋_GB2312" w:hAnsi="仿宋_GB2312" w:cs="仿宋_GB2312" w:eastAsia="仿宋_GB2312"/>
        </w:rPr>
        <w:t>海南亿卓招标代理有限公司</w:t>
      </w:r>
      <w:r>
        <w:rPr>
          <w:rFonts w:ascii="仿宋_GB2312" w:hAnsi="仿宋_GB2312" w:cs="仿宋_GB2312" w:eastAsia="仿宋_GB2312"/>
        </w:rPr>
        <w:t xml:space="preserve"> 对 </w:t>
      </w:r>
      <w:r>
        <w:rPr>
          <w:rFonts w:ascii="仿宋_GB2312" w:hAnsi="仿宋_GB2312" w:cs="仿宋_GB2312" w:eastAsia="仿宋_GB2312"/>
        </w:rPr>
        <w:t>日常维修服务项目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HNYZ-2025597</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日常维修服务项目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3,000,000.00元</w:t>
      </w:r>
      <w:r>
        <w:rPr>
          <w:rFonts w:ascii="仿宋_GB2312" w:hAnsi="仿宋_GB2312" w:cs="仿宋_GB2312" w:eastAsia="仿宋_GB2312"/>
        </w:rPr>
        <w:t>叁佰万元整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合同签订之日起1年</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资质条件：供应商须具备有效的安全生产许可证，具备建设行政主管部门颁发的建筑工程施工总承包叁级（含）以上资质或建筑装修装饰工程专业承包二级（含）以上资质（或具备根据《住房和城乡建设部关于印发建设工程企业资质管理制度改革方案的通知》（[建市〔2020〕94 号]）的规定已换发新证取得相应资质证书的提供新资质证书）资质，并在人员、设备、资金等方面具有相应的施工能力【提供施工资质证书副本、安全生产许可证副本复印件加盖公章】；</w:t>
      </w:r>
    </w:p>
    <w:p>
      <w:pPr>
        <w:pStyle w:val="null3"/>
        <w:jc w:val="left"/>
      </w:pPr>
      <w:r>
        <w:rPr>
          <w:rFonts w:ascii="仿宋_GB2312" w:hAnsi="仿宋_GB2312" w:cs="仿宋_GB2312" w:eastAsia="仿宋_GB2312"/>
        </w:rPr>
        <w:t>2、项目经理资质条件：拟派项目经理(项目负责人)须具备本单位注册的建筑工程专业贰级(含)以上注册建造师执业资格,且未担任其他在施建设工程项目的项目经理(项目负责人)，【提供在本单位注册的证书复印件及2025年6月1日至今任意3个月的社保缴纳证明材料复印件加盖单位公章，并提供项目经理无在建工程项目的承诺函】；</w:t>
      </w:r>
    </w:p>
    <w:p>
      <w:pPr>
        <w:pStyle w:val="null3"/>
        <w:jc w:val="left"/>
      </w:pPr>
      <w:r>
        <w:rPr>
          <w:rFonts w:ascii="仿宋_GB2312" w:hAnsi="仿宋_GB2312" w:cs="仿宋_GB2312" w:eastAsia="仿宋_GB2312"/>
        </w:rPr>
        <w:t>3、提供诚信档案手册：供应商须具备《海南省建筑企业信用档案手册》（应当根据《海南省建筑企业诚信档案手册管理办法》的规定，通过省住房和城乡建设厅网站（http：//www.hnjst.gov.cn/）登录海南省房屋建筑工程全过程监管信息平台填报项目名称、项目地址、派驻的项目班子人员信息，【打印生成信用档案手册），提供信用档案手册复印件加盖公章】；</w:t>
      </w:r>
    </w:p>
    <w:p>
      <w:pPr>
        <w:pStyle w:val="null3"/>
        <w:jc w:val="left"/>
      </w:pPr>
      <w:r>
        <w:rPr>
          <w:rFonts w:ascii="仿宋_GB2312" w:hAnsi="仿宋_GB2312" w:cs="仿宋_GB2312" w:eastAsia="仿宋_GB2312"/>
        </w:rPr>
        <w:t>4、无环保类行政处罚记录：参加政府采购活动近三年内，在经营活动中没有环保类行政处罚记录，提供声明函</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1.供应商须在海南政府采购网(https://www.ccgp-hainan.gov.cn/zhuzhan/)中的海南省政府采购电子化交易管理系统平台进行注册并完善信息，然后下载参与投标项目电子采购文件（文件集）及其他文件； 2.电子标:必须使用投标工具（下载专区下载）制作电子版的响应文件， 并使用数字证书（https://www.yuque.com/haonan123/bzzx /ugmn1f）进行签字和加密，投标截止时间前，必须登录系统上传加密的电子响应文件； 3.本项目为远程不见面开标，供应商无须到达开标现场，但开标前必须进入电子开标大厅在线签到（未签到视为无效投标），远程按时参加在线开标解密即可； 4.注意事项：电子标采用全程电子化操作，供应商应详细阅读海南政府采购网的通知《海南省财政厅关于进一步推进政府采购全流程电子化的通知》，供应商使用交易系统遇到问题请拨打以下热线电话： 热线一：4001691288； 5.本项目支持《政府采购促进中小企业发展管理办法》《财政部印发通知 进一步加大政府采购支持中小企业力度》《财政部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海南省财政厅关于印发&lt;海南省绿色产品政府采购实施意见（试行）&gt;的通知》《海南省财政厅 海南省工业和信息化厅关于落实超常规举措加大对中小企业政府采购支持的通知》等相关政策。</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海南中学本级</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海口市龙昆南路大路街187号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莫礼安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13637644544</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海南亿卓招标代理有限公司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海南省海口市龙华区玉沙路A8-10中房高级公寓1201房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570125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陈文婷、刘安琪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0898-68511162</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代理服务费收费标准：《海南省物价局关于降低部分招标代理服务收费标准的通知》(琼价费管(2011)225号)规定收费标准的九折向中标人(成交供应商)收取招标代理服务费为：21600.00元。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注意事项: 1、本项目行业归属为建筑业，具体根据工信部联企业〔2011〕300号《中小企业划型标准规定》确定划分标准。 2、磋商小组构成人数3人,其中采购人代表1人，专家2人。</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“采购单位”指磋商文件中所述所有工程、相关货物、相关服务的甲方。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 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 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供应商应在响应文件中提供证明其所投工程、相关货物、相关服务的合格性和符合磋商文件规定的相关证明文件。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供应商应在响应文件中完整表达履行本采购项目的相关工程量清单、技术方案、方法和措施，及证明其成交后具有良好履约能力的说明材料。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8.1.1根据采购人确定的成交结果，采购代理机构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联系人：莫礼安</w:t>
      </w:r>
    </w:p>
    <w:p>
      <w:pPr>
        <w:pStyle w:val="null3"/>
        <w:jc w:val="left"/>
      </w:pPr>
      <w:r>
        <w:rPr>
          <w:rFonts w:ascii="仿宋_GB2312" w:hAnsi="仿宋_GB2312" w:cs="仿宋_GB2312" w:eastAsia="仿宋_GB2312"/>
        </w:rPr>
        <w:t>联系电话：13637644544</w:t>
      </w:r>
    </w:p>
    <w:p>
      <w:pPr>
        <w:pStyle w:val="null3"/>
        <w:jc w:val="left"/>
      </w:pPr>
      <w:r>
        <w:rPr>
          <w:rFonts w:ascii="仿宋_GB2312" w:hAnsi="仿宋_GB2312" w:cs="仿宋_GB2312" w:eastAsia="仿宋_GB2312"/>
        </w:rPr>
        <w:t>地址：海口市琼山区大路街187号</w:t>
      </w:r>
    </w:p>
    <w:p>
      <w:pPr>
        <w:pStyle w:val="null3"/>
        <w:jc w:val="left"/>
      </w:pPr>
      <w:r>
        <w:rPr>
          <w:rFonts w:ascii="仿宋_GB2312" w:hAnsi="仿宋_GB2312" w:cs="仿宋_GB2312" w:eastAsia="仿宋_GB2312"/>
        </w:rPr>
        <w:t>邮编：571700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1.建设内容：日常维修服务项目（初中部）、</w:t>
      </w:r>
      <w:r>
        <w:rPr>
          <w:rFonts w:ascii="仿宋_GB2312" w:hAnsi="仿宋_GB2312" w:cs="仿宋_GB2312" w:eastAsia="仿宋_GB2312"/>
          <w:sz w:val="21"/>
        </w:rPr>
        <w:t>日常维修服务项目（高中部）</w:t>
      </w:r>
    </w:p>
    <w:p>
      <w:pPr>
        <w:pStyle w:val="null3"/>
        <w:ind w:firstLine="480"/>
        <w:jc w:val="left"/>
      </w:pPr>
      <w:r>
        <w:rPr>
          <w:rFonts w:ascii="仿宋_GB2312" w:hAnsi="仿宋_GB2312" w:cs="仿宋_GB2312" w:eastAsia="仿宋_GB2312"/>
        </w:rPr>
        <w:t>2.项目地点：海南中学校园内</w:t>
      </w:r>
    </w:p>
    <w:p>
      <w:pPr>
        <w:pStyle w:val="null3"/>
        <w:ind w:firstLine="480"/>
        <w:jc w:val="left"/>
      </w:pPr>
      <w:r>
        <w:rPr>
          <w:rFonts w:ascii="仿宋_GB2312" w:hAnsi="仿宋_GB2312" w:cs="仿宋_GB2312" w:eastAsia="仿宋_GB2312"/>
        </w:rPr>
        <w:t>3.建设单位：海南中学</w:t>
      </w:r>
    </w:p>
    <w:p>
      <w:pPr>
        <w:pStyle w:val="null3"/>
        <w:ind w:firstLine="480"/>
        <w:jc w:val="left"/>
      </w:pPr>
      <w:r>
        <w:rPr>
          <w:rFonts w:ascii="仿宋_GB2312" w:hAnsi="仿宋_GB2312" w:cs="仿宋_GB2312" w:eastAsia="仿宋_GB2312"/>
        </w:rPr>
        <w:t>4</w:t>
      </w:r>
      <w:r>
        <w:rPr>
          <w:rFonts w:ascii="仿宋_GB2312" w:hAnsi="仿宋_GB2312" w:cs="仿宋_GB2312" w:eastAsia="仿宋_GB2312"/>
        </w:rPr>
        <w:t>.2026年-2027年海南中学（初中部）日常维修服务项目的全费用单价的编制，每月限额7万元，每年限额84万元；</w:t>
      </w:r>
      <w:r>
        <w:rPr>
          <w:rFonts w:ascii="仿宋_GB2312" w:hAnsi="仿宋_GB2312" w:cs="仿宋_GB2312" w:eastAsia="仿宋_GB2312"/>
          <w:sz w:val="21"/>
        </w:rPr>
        <w:t>2026年-2027年海南中学（高中部）日常维修服务项目的全费用单价的编制，每月限额18万元，每年限额216万元。</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B99000000-其他建筑工程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建筑业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B99000000-其他建筑工程</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本项目采用总价及下浮率结合的方式进行报价；如：报价2700000.00元，下浮率为：10%，下浮率与所报的总价金额下浮比率要对应，中标后以下浮率结合《日常维修服务项目标的单价限价表1》《日常维修服务项目标的单价限价表2》及实际工程量结算，否则视为无效响应。</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标的名称：B99000000-其他建筑工程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供应商应能保证供应</w:t>
            </w:r>
            <w:r>
              <w:rPr>
                <w:rFonts w:ascii="仿宋_GB2312" w:hAnsi="仿宋_GB2312" w:cs="仿宋_GB2312" w:eastAsia="仿宋_GB2312"/>
                <w:sz w:val="21"/>
              </w:rPr>
              <w:t>“附表：《</w:t>
            </w:r>
            <w:r>
              <w:rPr>
                <w:rFonts w:ascii="仿宋_GB2312" w:hAnsi="仿宋_GB2312" w:cs="仿宋_GB2312" w:eastAsia="仿宋_GB2312"/>
                <w:sz w:val="21"/>
              </w:rPr>
              <w:t>日常维修服务项目标的单价限价表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日常维修服务项目标的单价限价表</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”中的商品（详见附件）</w:t>
            </w:r>
            <w:r>
              <w:rPr>
                <w:rFonts w:ascii="仿宋_GB2312" w:hAnsi="仿宋_GB2312" w:cs="仿宋_GB2312" w:eastAsia="仿宋_GB2312"/>
                <w:sz w:val="21"/>
              </w:rPr>
              <w:t>。</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维修服务要求：</w:t>
            </w:r>
          </w:p>
          <w:p>
            <w:pPr>
              <w:pStyle w:val="null3"/>
              <w:jc w:val="left"/>
            </w:pPr>
            <w:r>
              <w:rPr>
                <w:rFonts w:ascii="仿宋_GB2312" w:hAnsi="仿宋_GB2312" w:cs="仿宋_GB2312" w:eastAsia="仿宋_GB2312"/>
                <w:sz w:val="21"/>
              </w:rPr>
              <w:t>2.1每项维修施工的质量应满足使用要求，质量保</w:t>
            </w:r>
            <w:r>
              <w:rPr>
                <w:rFonts w:ascii="仿宋_GB2312" w:hAnsi="仿宋_GB2312" w:cs="仿宋_GB2312" w:eastAsia="仿宋_GB2312"/>
                <w:sz w:val="21"/>
              </w:rPr>
              <w:t>修两年（补漏</w:t>
            </w:r>
            <w:r>
              <w:rPr>
                <w:rFonts w:ascii="仿宋_GB2312" w:hAnsi="仿宋_GB2312" w:cs="仿宋_GB2312" w:eastAsia="仿宋_GB2312"/>
                <w:sz w:val="21"/>
              </w:rPr>
              <w:t>类</w:t>
            </w:r>
            <w:r>
              <w:rPr>
                <w:rFonts w:ascii="仿宋_GB2312" w:hAnsi="仿宋_GB2312" w:cs="仿宋_GB2312" w:eastAsia="仿宋_GB2312"/>
                <w:sz w:val="21"/>
              </w:rPr>
              <w:t>5 年）</w:t>
            </w:r>
          </w:p>
          <w:p>
            <w:pPr>
              <w:pStyle w:val="null3"/>
              <w:jc w:val="left"/>
            </w:pPr>
            <w:r>
              <w:rPr>
                <w:rFonts w:ascii="仿宋_GB2312" w:hAnsi="仿宋_GB2312" w:cs="仿宋_GB2312" w:eastAsia="仿宋_GB2312"/>
                <w:sz w:val="21"/>
              </w:rPr>
              <w:t>2.2日常要求有 2-3 人常驻，作为日常琐碎事项需要处理时及时响应维修服务要求。其中含 1 名项目经理现场服务，以作为学校应急维修服务工作对接和协调，服务时间不限于正常工作时间，对学校所报出的维修项目应及时做出响应，在服务平台上做好报修及修复回应，并在 1 小时内派人对接安排维修；</w:t>
            </w:r>
          </w:p>
          <w:p>
            <w:pPr>
              <w:pStyle w:val="null3"/>
              <w:jc w:val="left"/>
            </w:pPr>
            <w:r>
              <w:rPr>
                <w:rFonts w:ascii="仿宋_GB2312" w:hAnsi="仿宋_GB2312" w:cs="仿宋_GB2312" w:eastAsia="仿宋_GB2312"/>
                <w:sz w:val="21"/>
              </w:rPr>
              <w:t>2.3出现应急维修事项，无论任何时候都应无条件派人员及时处理；</w:t>
            </w:r>
          </w:p>
          <w:p>
            <w:pPr>
              <w:pStyle w:val="null3"/>
              <w:jc w:val="left"/>
            </w:pPr>
            <w:r>
              <w:rPr>
                <w:rFonts w:ascii="仿宋_GB2312" w:hAnsi="仿宋_GB2312" w:cs="仿宋_GB2312" w:eastAsia="仿宋_GB2312"/>
                <w:sz w:val="21"/>
              </w:rPr>
              <w:t>2.4每天的维修工作结束时都应进行场地卫生清洁；</w:t>
            </w:r>
          </w:p>
          <w:p>
            <w:pPr>
              <w:pStyle w:val="null3"/>
              <w:jc w:val="left"/>
            </w:pPr>
            <w:r>
              <w:rPr>
                <w:rFonts w:ascii="仿宋_GB2312" w:hAnsi="仿宋_GB2312" w:cs="仿宋_GB2312" w:eastAsia="仿宋_GB2312"/>
                <w:sz w:val="21"/>
              </w:rPr>
              <w:t>2.5施工人员应遵守甲方的规章管理要求；</w:t>
            </w:r>
          </w:p>
          <w:p>
            <w:pPr>
              <w:pStyle w:val="null3"/>
              <w:jc w:val="left"/>
            </w:pPr>
            <w:r>
              <w:rPr>
                <w:rFonts w:ascii="仿宋_GB2312" w:hAnsi="仿宋_GB2312" w:cs="仿宋_GB2312" w:eastAsia="仿宋_GB2312"/>
                <w:sz w:val="21"/>
              </w:rPr>
              <w:t>2.6若未及时维修或维修过程遭到甲方师生投诉即当作违约论处，每次违约扣罚 1000~3000 元（视违约情况而定），若一年违约超 3 次，则甲方有权解除合同。</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质量标准：</w:t>
            </w:r>
            <w:r>
              <w:rPr>
                <w:rFonts w:ascii="仿宋_GB2312" w:hAnsi="仿宋_GB2312" w:cs="仿宋_GB2312" w:eastAsia="仿宋_GB2312"/>
                <w:sz w:val="21"/>
              </w:rPr>
              <w:t>符合国家、地方和行业的相关政策、法规。</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1.1施工（服务）地点：</w:t>
            </w:r>
            <w:r>
              <w:rPr>
                <w:rFonts w:ascii="仿宋_GB2312" w:hAnsi="仿宋_GB2312" w:cs="仿宋_GB2312" w:eastAsia="仿宋_GB2312"/>
              </w:rPr>
              <w:t>海南中学</w:t>
            </w:r>
            <w:r>
              <w:rPr>
                <w:rFonts w:ascii="仿宋_GB2312" w:hAnsi="仿宋_GB2312" w:cs="仿宋_GB2312" w:eastAsia="仿宋_GB2312"/>
              </w:rPr>
              <w:t>；</w:t>
            </w:r>
          </w:p>
          <w:p>
            <w:pPr>
              <w:pStyle w:val="null3"/>
              <w:jc w:val="left"/>
            </w:pPr>
            <w:r>
              <w:rPr>
                <w:rFonts w:ascii="仿宋_GB2312" w:hAnsi="仿宋_GB2312" w:cs="仿宋_GB2312" w:eastAsia="仿宋_GB2312"/>
              </w:rPr>
              <w:t>1.2服务期：</w:t>
            </w:r>
            <w:r>
              <w:rPr>
                <w:rFonts w:ascii="仿宋_GB2312" w:hAnsi="仿宋_GB2312" w:cs="仿宋_GB2312" w:eastAsia="仿宋_GB2312"/>
              </w:rPr>
              <w:t>合同签订之日起</w:t>
            </w:r>
            <w:r>
              <w:rPr>
                <w:rFonts w:ascii="仿宋_GB2312" w:hAnsi="仿宋_GB2312" w:cs="仿宋_GB2312" w:eastAsia="仿宋_GB2312"/>
              </w:rPr>
              <w:t>1年</w:t>
            </w:r>
            <w:r>
              <w:rPr>
                <w:rFonts w:ascii="仿宋_GB2312" w:hAnsi="仿宋_GB2312" w:cs="仿宋_GB2312" w:eastAsia="仿宋_GB2312"/>
              </w:rPr>
              <w:t>。</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验收：乙方维修完成的工作，需自行</w:t>
            </w:r>
            <w:r>
              <w:rPr>
                <w:rFonts w:ascii="仿宋_GB2312" w:hAnsi="仿宋_GB2312" w:cs="仿宋_GB2312" w:eastAsia="仿宋_GB2312"/>
              </w:rPr>
              <w:t>验收合格后再向甲方提出验收，因本项目为日常零星维修，一般情况下，以月为工作验收节点，月初对上月的维修工作组织验收。</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3.维修费用的结算</w:t>
            </w:r>
          </w:p>
          <w:p>
            <w:pPr>
              <w:pStyle w:val="null3"/>
              <w:jc w:val="left"/>
            </w:pPr>
            <w:r>
              <w:rPr>
                <w:rFonts w:ascii="仿宋_GB2312" w:hAnsi="仿宋_GB2312" w:cs="仿宋_GB2312" w:eastAsia="仿宋_GB2312"/>
              </w:rPr>
              <w:t>3.1结算标准：维修服务工作的费用以不高于附件《投标分项报价》的标准进行核算，在市场行情下跌时，结合市场行情进行下浮调控。《日常维修服务项目标的单价限价表1》《日常维修服务项目标的单价限价表2》不存在的工作项目以定额结合造价信息组价或市场询价中的低价核算, 日常琐碎的无法计价的事项适合按工日计价的按零星工日计价；</w:t>
            </w:r>
          </w:p>
          <w:p>
            <w:pPr>
              <w:pStyle w:val="null3"/>
              <w:jc w:val="left"/>
            </w:pPr>
            <w:r>
              <w:rPr>
                <w:rFonts w:ascii="仿宋_GB2312" w:hAnsi="仿宋_GB2312" w:cs="仿宋_GB2312" w:eastAsia="仿宋_GB2312"/>
              </w:rPr>
              <w:t>3.2结算方式：因本合同项目是日常维修服务，其所涉及的维修工作是根据日常教学办公活动过程所发现需要维修维护的问题而确定，具体的数量无法事先确定，须根据日常发生的数量进行计算，因此，乙方维修的费用按月根据实际发生的维修工作量来进行结算支付，每月进行结算时，双方共同签订一份维修工程协议书作为本合同的补充协议，以便另行确定具体付款期限及要求，同时双方确认签署的《月工程维修工作结算书》作为本合同的月结算依据。补充协议和《月工程维修工作结算书》均为合同的组成部分。</w:t>
            </w:r>
          </w:p>
          <w:p>
            <w:pPr>
              <w:pStyle w:val="null3"/>
              <w:jc w:val="left"/>
            </w:pPr>
            <w:r>
              <w:rPr>
                <w:rFonts w:ascii="仿宋_GB2312" w:hAnsi="仿宋_GB2312" w:cs="仿宋_GB2312" w:eastAsia="仿宋_GB2312"/>
              </w:rPr>
              <w:t>3.3本项目采用总价及下浮率结合的方式进行报价；如：报价2700000.00元，下浮率为：10%，下浮率与所报的总价金额下浮比率要对应，中标后以下浮率结合《日常维修服务项目标的单价限价表1》《日常维修服务项目标的单价限价表2》及实际工程量结算，否则视为无效响应。</w:t>
            </w:r>
          </w:p>
          <w:p>
            <w:pPr>
              <w:pStyle w:val="null3"/>
              <w:jc w:val="left"/>
            </w:pP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ind w:firstLine="480"/>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1.缺陷责任期：24个月；建设工程质量保修期：24个月； 2.安全标准:符合国家、地方和行业的相关政策、法规； 3.项目的实质性要求:按采购文件要求实施； 4.合同的实质性条款:采购人与中标人的名称和住所、标的、数量、质量、价款或者报酬、履行期限及地点和方式、验收要求、违约责任、解决争议的方法等内容； 5.法律法规规定的强制性标准:无。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供应商承诺函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供应商资质条件</w:t>
            </w:r>
          </w:p>
        </w:tc>
        <w:tc>
          <w:tcPr>
            <w:tcW w:type="dxa" w:w="3322"/>
          </w:tcPr>
          <w:p>
            <w:pPr>
              <w:pStyle w:val="null3"/>
              <w:jc w:val="left"/>
            </w:pPr>
            <w:r>
              <w:rPr>
                <w:rFonts w:ascii="仿宋_GB2312" w:hAnsi="仿宋_GB2312" w:cs="仿宋_GB2312" w:eastAsia="仿宋_GB2312"/>
              </w:rPr>
              <w:t>供应商须具备有效的安全生产许可证，具备建设行政主管部门颁发的建筑工程施工总承包叁级（含）以上资质或建筑装修装饰工程专业承包二级（含）以上资质（或具备根据《住房和城乡建设部关于印发建设工程企业资质管理制度改革方案的通知》（[建市〔2020〕94 号]）的规定已换发新证取得相应资质证书的提供新资质证书）资质，并在人员、设备、资金等方面具有相应的施工能力【提供施工资质证书副本、安全生产许可证副本复印件加盖公章】；</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项目经理资质条件</w:t>
            </w:r>
          </w:p>
        </w:tc>
        <w:tc>
          <w:tcPr>
            <w:tcW w:type="dxa" w:w="3322"/>
          </w:tcPr>
          <w:p>
            <w:pPr>
              <w:pStyle w:val="null3"/>
              <w:jc w:val="left"/>
            </w:pPr>
            <w:r>
              <w:rPr>
                <w:rFonts w:ascii="仿宋_GB2312" w:hAnsi="仿宋_GB2312" w:cs="仿宋_GB2312" w:eastAsia="仿宋_GB2312"/>
              </w:rPr>
              <w:t>拟派项目经理(项目负责人)须具备本单位注册的建筑工程专业贰级(含)以上注册建造师执业资格,且未担任其他在施建设工程项目的项目经理(项目负责人)，【提供在本单位注册的证书复印件及2025年6月1日至今任意3个月的社保缴纳证明材料复印件加盖单位公章，并提供项目经理无在建工程项目的承诺函】；</w:t>
            </w:r>
          </w:p>
        </w:tc>
        <w:tc>
          <w:tcPr>
            <w:tcW w:type="dxa" w:w="1661"/>
          </w:tcPr>
          <w:p>
            <w:pPr>
              <w:pStyle w:val="null3"/>
              <w:jc w:val="left"/>
            </w:pPr>
            <w:r>
              <w:rPr>
                <w:rFonts w:ascii="仿宋_GB2312" w:hAnsi="仿宋_GB2312" w:cs="仿宋_GB2312" w:eastAsia="仿宋_GB2312"/>
              </w:rPr>
              <w:t>供应商承诺函 项目管理人员情况表 其他材料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提供诚信档案手册</w:t>
            </w:r>
          </w:p>
        </w:tc>
        <w:tc>
          <w:tcPr>
            <w:tcW w:type="dxa" w:w="3322"/>
          </w:tcPr>
          <w:p>
            <w:pPr>
              <w:pStyle w:val="null3"/>
              <w:jc w:val="left"/>
            </w:pPr>
            <w:r>
              <w:rPr>
                <w:rFonts w:ascii="仿宋_GB2312" w:hAnsi="仿宋_GB2312" w:cs="仿宋_GB2312" w:eastAsia="仿宋_GB2312"/>
              </w:rPr>
              <w:t>供应商须具备《海南省建筑企业信用档案手册》（应当根据《海南省建筑企业诚信档案手册管理办法》的规定，通过省住房和城乡建设厅网站（http：//www.hnjst.gov.cn/）登录海南省房屋建筑工程全过程监管信息平台填报项目名称、项目地址、派驻的项目班子人员信息，【打印生成信用档案手册），提供信用档案手册复印件加盖公章】；</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参加政府采购活动近三年内，在经营活动中没有环保类行政处罚记录，提供声明函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供应商承诺函 其他材料 残疾人福利性单位声明函 下浮率报价 供应商应提交的相关证明材料 服务方案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开标（报价）一览表 下浮率报价 自觉抵制政府采购领域商业贿赂行为承诺书 封面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下浮率报价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下浮率报价</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供应商承诺函 其他材料 残疾人福利性单位声明函 下浮率报价 供应商应提交的相关证明材料 服务方案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开标（报价）一览表 下浮率报价</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技术部分76.00分</w:t>
            </w:r>
          </w:p>
          <w:p>
            <w:pPr>
              <w:pStyle w:val="null3"/>
              <w:jc w:val="left"/>
            </w:pPr>
            <w:r>
              <w:rPr>
                <w:rFonts w:ascii="仿宋_GB2312" w:hAnsi="仿宋_GB2312" w:cs="仿宋_GB2312" w:eastAsia="仿宋_GB2312"/>
              </w:rPr>
              <w:t>商务部分14.00分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进度及质量控制方案</w:t>
            </w:r>
          </w:p>
        </w:tc>
        <w:tc>
          <w:tcPr>
            <w:tcW w:type="dxa" w:w="2492"/>
          </w:tcPr>
          <w:p>
            <w:pPr>
              <w:pStyle w:val="null3"/>
              <w:jc w:val="left"/>
            </w:pPr>
            <w:r>
              <w:rPr>
                <w:rFonts w:ascii="仿宋_GB2312" w:hAnsi="仿宋_GB2312" w:cs="仿宋_GB2312" w:eastAsia="仿宋_GB2312"/>
              </w:rPr>
              <w:t>供应商根据项目实际情况提供的进度及质量控制方案，磋商小组成员根据供应商提供的方案进行综合评分，方案应包含但不限于：①修缮工程实施计划②进度计划控制方案③联络协调方案④工程质量控制方案，提供上述1-4小项，各小项内容齐全无缺陷。每小项得5.0分（各小项独立评分），满分20.0分；每缺少一项扣 5.0分，一项有内容缺陷扣 2.5 分，扣完为止。本项满分 20.0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492"/>
          </w:tcPr>
          <w:p>
            <w:pPr>
              <w:pStyle w:val="null3"/>
              <w:jc w:val="left"/>
            </w:pPr>
            <w:r>
              <w:rPr>
                <w:rFonts w:ascii="仿宋_GB2312" w:hAnsi="仿宋_GB2312" w:cs="仿宋_GB2312" w:eastAsia="仿宋_GB2312"/>
              </w:rPr>
              <w:t>供应商根据项目实际情况提供的实施方案，磋商小组成员根据供应商提供的方案进行综合评分，方案应包含但不限于：①维修期间保障学校正常培训、教学、办公环境措施②维修前、维修中与维修后噪音、固体、液体与气体污染控制措施③周边建筑构筑物与其它物品的保护措施④临时设施与现场道路管理措施，提供上述1-4小项，各小项内容齐全无缺陷。每小项得4.0分（各小项独立评分），满分16.0分；每缺少一项扣 4.0分，一项有内容缺陷扣 2.0 分，扣完为止。本项16.0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492"/>
          </w:tcPr>
          <w:p>
            <w:pPr>
              <w:pStyle w:val="null3"/>
              <w:jc w:val="left"/>
            </w:pPr>
            <w:r>
              <w:rPr>
                <w:rFonts w:ascii="仿宋_GB2312" w:hAnsi="仿宋_GB2312" w:cs="仿宋_GB2312" w:eastAsia="仿宋_GB2312"/>
              </w:rPr>
              <w:t>供应商根据项目实际情况提供的售后服务方案，磋商小组成员根据供应商提供的方案进行综合评分，方案应包含但不限于：①工程售后服务承诺②工程售后保修期③工程应急处理方式，提供上述1-3小项，各小项内容齐全无缺陷。每小项得4.0分（各小项独立评分），满分12.0分；每缺少一项扣 4.0分，一项有内容缺陷扣 2.0 分，扣完为止。本项满分 12.0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安全文明施工方案</w:t>
            </w:r>
          </w:p>
        </w:tc>
        <w:tc>
          <w:tcPr>
            <w:tcW w:type="dxa" w:w="2492"/>
          </w:tcPr>
          <w:p>
            <w:pPr>
              <w:pStyle w:val="null3"/>
              <w:jc w:val="left"/>
            </w:pPr>
            <w:r>
              <w:rPr>
                <w:rFonts w:ascii="仿宋_GB2312" w:hAnsi="仿宋_GB2312" w:cs="仿宋_GB2312" w:eastAsia="仿宋_GB2312"/>
              </w:rPr>
              <w:t>供应商根据项目实际情况提供的安全文明施工方案，磋商小组成员根据供应商提供的方案进行综合评分，方案应包含但不限于：①施工安全生产目标②施工安全生产保障措施③现场管理人员安全生产职责④文明施工保障措施，提供上述1-4小项，各小项内容齐全无缺陷。每小项得2.0分（各小项独立评分），满分8.0分；每缺少一项扣 2.0分，一项有内容缺陷扣 1.0 分，扣完为止。本项满分 8.0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人员配备方案</w:t>
            </w:r>
          </w:p>
        </w:tc>
        <w:tc>
          <w:tcPr>
            <w:tcW w:type="dxa" w:w="2492"/>
          </w:tcPr>
          <w:p>
            <w:pPr>
              <w:pStyle w:val="null3"/>
              <w:jc w:val="left"/>
            </w:pPr>
            <w:r>
              <w:rPr>
                <w:rFonts w:ascii="仿宋_GB2312" w:hAnsi="仿宋_GB2312" w:cs="仿宋_GB2312" w:eastAsia="仿宋_GB2312"/>
              </w:rPr>
              <w:t>供应商根据项目实际情况提供的人员配备方案，磋商小组成员根据供应商提供的方案进行综合评分，方案应包含但不限于：①团队人员架构②现场施工管理层③专业作业班组④团队人员职责，提供上述1-4小项，各小项内容齐全无缺陷。每小项得2.0分（各小项独立评分），满分8.0分；每缺少一项扣 2.0分，一项有内容缺陷扣 1.0 分，扣完为止。本项满分 8.0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服务方案</w:t>
            </w:r>
          </w:p>
          <w:p>
            <w:pPr>
              <w:pStyle w:val="null3"/>
              <w:jc w:val="left"/>
            </w:pPr>
            <w:r>
              <w:rPr>
                <w:rFonts w:ascii="仿宋_GB2312" w:hAnsi="仿宋_GB2312" w:cs="仿宋_GB2312" w:eastAsia="仿宋_GB2312"/>
              </w:rPr>
              <w:t>项目管理人员情况表</w:t>
            </w:r>
          </w:p>
        </w:tc>
      </w:tr>
      <w:tr>
        <w:tc>
          <w:tcPr>
            <w:tcW w:type="dxa" w:w="831"/>
            <w:vMerge/>
          </w:tcPr>
          <w:p/>
        </w:tc>
        <w:tc>
          <w:tcPr>
            <w:tcW w:type="dxa" w:w="1661"/>
          </w:tcPr>
          <w:p>
            <w:pPr>
              <w:pStyle w:val="null3"/>
              <w:jc w:val="left"/>
            </w:pPr>
            <w:r>
              <w:rPr>
                <w:rFonts w:ascii="仿宋_GB2312" w:hAnsi="仿宋_GB2312" w:cs="仿宋_GB2312" w:eastAsia="仿宋_GB2312"/>
              </w:rPr>
              <w:t>内部监督、制约制度方案</w:t>
            </w:r>
          </w:p>
        </w:tc>
        <w:tc>
          <w:tcPr>
            <w:tcW w:type="dxa" w:w="2492"/>
          </w:tcPr>
          <w:p>
            <w:pPr>
              <w:pStyle w:val="null3"/>
              <w:jc w:val="left"/>
            </w:pPr>
            <w:r>
              <w:rPr>
                <w:rFonts w:ascii="仿宋_GB2312" w:hAnsi="仿宋_GB2312" w:cs="仿宋_GB2312" w:eastAsia="仿宋_GB2312"/>
              </w:rPr>
              <w:t>供应商根据项目实际情况提供的内部监督、制约制度方案，磋商小组成员根据供应商提供的方案进行综合评分，方案应包含但不限于：①监督与制约的组织体系②核心监督与制约制度③廉政与职业道德约束，提供上述1-3小项，各小项内容齐全无缺陷。每小项得2.0分（各小项独立评分），满分6.0分；每缺少一项扣 2.0分，一项有内容缺陷扣 1.0 分，扣完为止。本项满分 6.0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应急保障管理方案</w:t>
            </w:r>
          </w:p>
        </w:tc>
        <w:tc>
          <w:tcPr>
            <w:tcW w:type="dxa" w:w="2492"/>
          </w:tcPr>
          <w:p>
            <w:pPr>
              <w:pStyle w:val="null3"/>
              <w:jc w:val="left"/>
            </w:pPr>
            <w:r>
              <w:rPr>
                <w:rFonts w:ascii="仿宋_GB2312" w:hAnsi="仿宋_GB2312" w:cs="仿宋_GB2312" w:eastAsia="仿宋_GB2312"/>
              </w:rPr>
              <w:t>供应商根据项目实际情况提供的应急保障管理方案，磋商小组成员根据供应商提供的方案进行综合评分，方案应包含但不限于：①针对学校零星维修施工可能出现的重、难点问题提出相应的对策②针对学校重大或突发事件所需的修缮服务配备的应急工作小组③应急响应时间，提供上述1-3小项，各小项内容齐全无缺陷。每小项得2.0分（各小项独立评分），满分6.0分；每缺少一项扣 2.0分，一项有内容缺陷扣 1.0 分，扣完为止。本项满分 6.0 分。 （内容缺陷是指：内容非专门针对本项目或不适用项目特性的情形、内容不够完整或缺少关键节点、套用其他项目方案、内容前后矛盾、不利于项目实施、不可能实现的情形等任意一种情形。）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类似业绩</w:t>
            </w:r>
          </w:p>
        </w:tc>
        <w:tc>
          <w:tcPr>
            <w:tcW w:type="dxa" w:w="2492"/>
          </w:tcPr>
          <w:p>
            <w:pPr>
              <w:pStyle w:val="null3"/>
              <w:jc w:val="left"/>
            </w:pPr>
            <w:r>
              <w:rPr>
                <w:rFonts w:ascii="仿宋_GB2312" w:hAnsi="仿宋_GB2312" w:cs="仿宋_GB2312" w:eastAsia="仿宋_GB2312"/>
              </w:rPr>
              <w:t>需提供2023年1月1日至今承接过同类项目业绩（以签订合同时间为准），每提供一份得3.0分，满分9.0分。（证明材料：提供业绩合同复印件加盖公章）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项目技术负责人</w:t>
            </w:r>
          </w:p>
        </w:tc>
        <w:tc>
          <w:tcPr>
            <w:tcW w:type="dxa" w:w="2492"/>
          </w:tcPr>
          <w:p>
            <w:pPr>
              <w:pStyle w:val="null3"/>
              <w:jc w:val="left"/>
            </w:pPr>
            <w:r>
              <w:rPr>
                <w:rFonts w:ascii="仿宋_GB2312" w:hAnsi="仿宋_GB2312" w:cs="仿宋_GB2312" w:eastAsia="仿宋_GB2312"/>
              </w:rPr>
              <w:t>拟派技术负责人具备建筑工程相关专业中级（含）以上职称的得5分。（证明材料：提供相关证书及2025年6月1日至今任意3个月社保证明等复印件加盖公章）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项目管理人员情况表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下浮率报价</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下浮率报价</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jc w:val="left"/>
            </w:pPr>
            <w:r>
              <w:rPr>
                <w:rFonts w:ascii="仿宋_GB2312" w:hAnsi="仿宋_GB2312" w:cs="仿宋_GB2312" w:eastAsia="仿宋_GB2312"/>
              </w:rPr>
              <w:t>1、对小、微企业报价给予3%—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下浮率报价</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详见附件：日常维修服务合同书2026年-2027年文本-0127.docx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HNYZ-2025597</w:t>
      </w:r>
    </w:p>
    <w:p>
      <w:pPr>
        <w:pStyle w:val="null3"/>
        <w:jc w:val="left"/>
      </w:pPr>
      <w:r>
        <w:rPr>
          <w:rFonts w:ascii="仿宋_GB2312" w:hAnsi="仿宋_GB2312" w:cs="仿宋_GB2312" w:eastAsia="仿宋_GB2312"/>
        </w:rPr>
        <w:t>项目名称：</w:t>
      </w:r>
      <w:r>
        <w:rPr>
          <w:rFonts w:ascii="仿宋_GB2312" w:hAnsi="仿宋_GB2312" w:cs="仿宋_GB2312" w:eastAsia="仿宋_GB2312"/>
        </w:rPr>
        <w:t>日常维修服务项目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 xml:space="preserve"> 序号</w:t>
            </w:r>
          </w:p>
        </w:tc>
        <w:tc>
          <w:tcPr>
            <w:tcW w:type="dxa" w:w="923"/>
          </w:tcPr>
          <w:p>
            <w:pPr>
              <w:pStyle w:val="null3"/>
              <w:jc w:val="left"/>
            </w:pPr>
            <w:r>
              <w:rPr>
                <w:rFonts w:ascii="仿宋_GB2312" w:hAnsi="仿宋_GB2312" w:cs="仿宋_GB2312" w:eastAsia="仿宋_GB2312"/>
              </w:rPr>
              <w:t xml:space="preserve"> 报价内容</w:t>
            </w:r>
          </w:p>
        </w:tc>
        <w:tc>
          <w:tcPr>
            <w:tcW w:type="dxa" w:w="923"/>
          </w:tcPr>
          <w:p>
            <w:pPr>
              <w:pStyle w:val="null3"/>
              <w:jc w:val="left"/>
            </w:pPr>
            <w:r>
              <w:rPr>
                <w:rFonts w:ascii="仿宋_GB2312" w:hAnsi="仿宋_GB2312" w:cs="仿宋_GB2312" w:eastAsia="仿宋_GB2312"/>
              </w:rPr>
              <w:t xml:space="preserve"> 数量（计量单位）</w:t>
            </w:r>
          </w:p>
        </w:tc>
        <w:tc>
          <w:tcPr>
            <w:tcW w:type="dxa" w:w="923"/>
          </w:tcPr>
          <w:p>
            <w:pPr>
              <w:pStyle w:val="null3"/>
              <w:jc w:val="left"/>
            </w:pPr>
            <w:r>
              <w:rPr>
                <w:rFonts w:ascii="仿宋_GB2312" w:hAnsi="仿宋_GB2312" w:cs="仿宋_GB2312" w:eastAsia="仿宋_GB2312"/>
              </w:rPr>
              <w:t xml:space="preserve"> 最高限价</w:t>
            </w:r>
          </w:p>
        </w:tc>
        <w:tc>
          <w:tcPr>
            <w:tcW w:type="dxa" w:w="923"/>
          </w:tcPr>
          <w:p>
            <w:pPr>
              <w:pStyle w:val="null3"/>
              <w:jc w:val="left"/>
            </w:pPr>
            <w:r>
              <w:rPr>
                <w:rFonts w:ascii="仿宋_GB2312" w:hAnsi="仿宋_GB2312" w:cs="仿宋_GB2312" w:eastAsia="仿宋_GB2312"/>
              </w:rPr>
              <w:t xml:space="preserve"> 响应报价</w:t>
            </w:r>
          </w:p>
        </w:tc>
        <w:tc>
          <w:tcPr>
            <w:tcW w:type="dxa" w:w="923"/>
          </w:tcPr>
          <w:p>
            <w:pPr>
              <w:pStyle w:val="null3"/>
              <w:jc w:val="left"/>
            </w:pPr>
            <w:r>
              <w:rPr>
                <w:rFonts w:ascii="仿宋_GB2312" w:hAnsi="仿宋_GB2312" w:cs="仿宋_GB2312" w:eastAsia="仿宋_GB2312"/>
              </w:rPr>
              <w:t xml:space="preserve"> 价款形式</w:t>
            </w:r>
          </w:p>
        </w:tc>
        <w:tc>
          <w:tcPr>
            <w:tcW w:type="dxa" w:w="923"/>
          </w:tcPr>
          <w:p>
            <w:pPr>
              <w:pStyle w:val="null3"/>
              <w:jc w:val="left"/>
            </w:pPr>
            <w:r>
              <w:rPr>
                <w:rFonts w:ascii="仿宋_GB2312" w:hAnsi="仿宋_GB2312" w:cs="仿宋_GB2312" w:eastAsia="仿宋_GB2312"/>
              </w:rPr>
              <w:t xml:space="preserve"> 施工范围</w:t>
            </w:r>
          </w:p>
        </w:tc>
        <w:tc>
          <w:tcPr>
            <w:tcW w:type="dxa" w:w="923"/>
          </w:tcPr>
          <w:p>
            <w:pPr>
              <w:pStyle w:val="null3"/>
              <w:jc w:val="left"/>
            </w:pPr>
            <w:r>
              <w:rPr>
                <w:rFonts w:ascii="仿宋_GB2312" w:hAnsi="仿宋_GB2312" w:cs="仿宋_GB2312" w:eastAsia="仿宋_GB2312"/>
              </w:rPr>
              <w:t xml:space="preserve"> 施工工期</w:t>
            </w:r>
          </w:p>
        </w:tc>
        <w:tc>
          <w:tcPr>
            <w:tcW w:type="dxa" w:w="923"/>
          </w:tcPr>
          <w:p>
            <w:pPr>
              <w:pStyle w:val="null3"/>
              <w:jc w:val="left"/>
            </w:pPr>
            <w:r>
              <w:rPr>
                <w:rFonts w:ascii="仿宋_GB2312" w:hAnsi="仿宋_GB2312" w:cs="仿宋_GB2312" w:eastAsia="仿宋_GB2312"/>
              </w:rPr>
              <w:t xml:space="preserve"> 下浮率</w:t>
            </w:r>
          </w:p>
        </w:tc>
      </w:tr>
      <w:tr>
        <w:tc>
          <w:tcPr>
            <w:tcW w:type="dxa" w:w="923"/>
          </w:tcPr>
          <w:p>
            <w:pPr>
              <w:pStyle w:val="null3"/>
              <w:jc w:val="left"/>
            </w:pPr>
            <w:r>
              <w:rPr>
                <w:rFonts w:ascii="仿宋_GB2312" w:hAnsi="仿宋_GB2312" w:cs="仿宋_GB2312" w:eastAsia="仿宋_GB2312"/>
              </w:rPr>
              <w:t xml:space="preserve"> 1</w:t>
            </w:r>
          </w:p>
        </w:tc>
        <w:tc>
          <w:tcPr>
            <w:tcW w:type="dxa" w:w="923"/>
          </w:tcPr>
          <w:p>
            <w:pPr>
              <w:pStyle w:val="null3"/>
              <w:jc w:val="left"/>
            </w:pPr>
            <w:r>
              <w:rPr>
                <w:rFonts w:ascii="仿宋_GB2312" w:hAnsi="仿宋_GB2312" w:cs="仿宋_GB2312" w:eastAsia="仿宋_GB2312"/>
              </w:rPr>
              <w:t xml:space="preserve"> B99000000-其他建筑工程</w:t>
            </w:r>
          </w:p>
        </w:tc>
        <w:tc>
          <w:tcPr>
            <w:tcW w:type="dxa" w:w="923"/>
          </w:tcPr>
          <w:p>
            <w:pPr>
              <w:pStyle w:val="null3"/>
              <w:jc w:val="left"/>
            </w:pPr>
            <w:r>
              <w:rPr>
                <w:rFonts w:ascii="仿宋_GB2312" w:hAnsi="仿宋_GB2312" w:cs="仿宋_GB2312" w:eastAsia="仿宋_GB2312"/>
              </w:rPr>
              <w:t xml:space="preserve"> 1.00项</w:t>
            </w:r>
          </w:p>
        </w:tc>
        <w:tc>
          <w:tcPr>
            <w:tcW w:type="dxa" w:w="923"/>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923"/>
          </w:tcPr>
          <w:p>
            <w:pPr>
              <w:pStyle w:val="null3"/>
              <w:jc w:val="left"/>
            </w:pPr>
            <w:r>
              <w:rPr>
                <w:rFonts w:ascii="仿宋_GB2312" w:hAnsi="仿宋_GB2312" w:cs="仿宋_GB2312" w:eastAsia="仿宋_GB2312"/>
              </w:rPr>
              <w:t xml:space="preserve"> 总价</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w:t>
            </w:r>
          </w:p>
        </w:tc>
        <w:tc>
          <w:tcPr>
            <w:tcW w:type="dxa" w:w="923"/>
          </w:tcPr>
          <w:p>
            <w:pPr>
              <w:pStyle w:val="null3"/>
              <w:jc w:val="left"/>
            </w:pPr>
            <w:r>
              <w:rPr>
                <w:rFonts w:ascii="仿宋_GB2312" w:hAnsi="仿宋_GB2312" w:cs="仿宋_GB2312" w:eastAsia="仿宋_GB2312"/>
              </w:rPr>
              <w:t xml:space="preserve"> {供应商响应}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详见附件：下浮率报价</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详见附件：项目管理人员情况表</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