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948DD">
      <w:pPr>
        <w:pStyle w:val="5"/>
        <w:jc w:val="center"/>
        <w:rPr>
          <w:rFonts w:hint="default" w:ascii="仿宋" w:hAnsi="仿宋" w:eastAsia="仿宋" w:cs="仿宋"/>
          <w:color w:val="auto"/>
          <w:szCs w:val="24"/>
          <w:highlight w:val="none"/>
          <w:lang w:val="en-US" w:eastAsia="zh-CN"/>
        </w:rPr>
      </w:pPr>
      <w:r>
        <w:rPr>
          <w:rFonts w:hint="eastAsia" w:ascii="仿宋" w:hAnsi="仿宋" w:eastAsia="仿宋" w:cs="仿宋"/>
          <w:color w:val="auto"/>
          <w:sz w:val="36"/>
          <w:szCs w:val="36"/>
          <w:highlight w:val="none"/>
          <w:lang w:val="en-US" w:eastAsia="zh-CN"/>
        </w:rPr>
        <w:t>第三章 采购需求</w:t>
      </w:r>
    </w:p>
    <w:p w14:paraId="54B1FD11">
      <w:pPr>
        <w:pStyle w:val="6"/>
        <w:spacing w:line="400" w:lineRule="exact"/>
        <w:ind w:firstLine="557" w:firstLineChars="198"/>
        <w:rPr>
          <w:rFonts w:hint="eastAsia" w:ascii="仿宋" w:hAnsi="仿宋" w:eastAsia="仿宋" w:cs="仿宋"/>
          <w:color w:val="auto"/>
          <w:sz w:val="28"/>
          <w:szCs w:val="22"/>
          <w:highlight w:val="none"/>
        </w:rPr>
      </w:pPr>
      <w:bookmarkStart w:id="0" w:name="_Toc217446094"/>
      <w:r>
        <w:rPr>
          <w:rFonts w:hint="eastAsia" w:ascii="仿宋" w:hAnsi="仿宋" w:eastAsia="仿宋" w:cs="仿宋"/>
          <w:color w:val="auto"/>
          <w:sz w:val="28"/>
          <w:szCs w:val="22"/>
          <w:highlight w:val="none"/>
        </w:rPr>
        <w:t>前提：本章中标注“★”的条款为本项目的实质性条款，</w:t>
      </w:r>
      <w:r>
        <w:rPr>
          <w:rFonts w:hint="eastAsia" w:ascii="仿宋" w:hAnsi="仿宋" w:eastAsia="仿宋" w:cs="仿宋"/>
          <w:color w:val="auto"/>
          <w:sz w:val="28"/>
          <w:szCs w:val="22"/>
          <w:highlight w:val="none"/>
          <w:lang w:val="en-US" w:eastAsia="zh-CN"/>
        </w:rPr>
        <w:t>如投标人</w:t>
      </w:r>
      <w:r>
        <w:rPr>
          <w:rFonts w:hint="eastAsia" w:ascii="仿宋" w:hAnsi="仿宋" w:eastAsia="仿宋" w:cs="仿宋"/>
          <w:color w:val="auto"/>
          <w:sz w:val="28"/>
          <w:szCs w:val="22"/>
          <w:highlight w:val="none"/>
        </w:rPr>
        <w:t>不满足的，将</w:t>
      </w:r>
      <w:r>
        <w:rPr>
          <w:rFonts w:hint="eastAsia" w:ascii="仿宋" w:hAnsi="仿宋" w:eastAsia="仿宋" w:cs="仿宋"/>
          <w:color w:val="auto"/>
          <w:sz w:val="28"/>
          <w:szCs w:val="22"/>
          <w:highlight w:val="none"/>
          <w:lang w:val="en-US" w:eastAsia="zh-CN"/>
        </w:rPr>
        <w:t>视为</w:t>
      </w:r>
      <w:r>
        <w:rPr>
          <w:rFonts w:hint="eastAsia" w:ascii="仿宋" w:hAnsi="仿宋" w:eastAsia="仿宋" w:cs="仿宋"/>
          <w:color w:val="auto"/>
          <w:sz w:val="28"/>
          <w:szCs w:val="22"/>
          <w:highlight w:val="none"/>
        </w:rPr>
        <w:t>无效投标。标注“▲”的条款为本项目的重要条款，</w:t>
      </w:r>
      <w:r>
        <w:rPr>
          <w:rFonts w:hint="eastAsia" w:ascii="仿宋" w:hAnsi="仿宋" w:eastAsia="仿宋" w:cs="仿宋"/>
          <w:color w:val="auto"/>
          <w:sz w:val="28"/>
          <w:szCs w:val="22"/>
          <w:highlight w:val="none"/>
          <w:lang w:val="en-US" w:eastAsia="zh-CN"/>
        </w:rPr>
        <w:t>如投标人</w:t>
      </w:r>
      <w:r>
        <w:rPr>
          <w:rFonts w:hint="eastAsia" w:ascii="仿宋" w:hAnsi="仿宋" w:eastAsia="仿宋" w:cs="仿宋"/>
          <w:color w:val="auto"/>
          <w:sz w:val="28"/>
          <w:szCs w:val="22"/>
          <w:highlight w:val="none"/>
        </w:rPr>
        <w:t>不满足的，将在详细评审过程中加重扣分。</w:t>
      </w:r>
    </w:p>
    <w:p w14:paraId="3EBB22E5">
      <w:pPr>
        <w:rPr>
          <w:rFonts w:hint="eastAsia"/>
          <w:color w:val="auto"/>
          <w:highlight w:val="none"/>
        </w:rPr>
      </w:pPr>
    </w:p>
    <w:bookmarkEnd w:id="0"/>
    <w:p w14:paraId="39608D08">
      <w:pPr>
        <w:pStyle w:val="6"/>
        <w:spacing w:line="400" w:lineRule="exact"/>
        <w:ind w:firstLine="275" w:firstLineChars="98"/>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一、</w:t>
      </w:r>
      <w:r>
        <w:rPr>
          <w:rFonts w:hint="eastAsia" w:ascii="仿宋" w:hAnsi="仿宋" w:eastAsia="仿宋" w:cs="仿宋"/>
          <w:color w:val="auto"/>
          <w:sz w:val="28"/>
          <w:szCs w:val="28"/>
          <w:highlight w:val="none"/>
        </w:rPr>
        <w:t>项目概述</w:t>
      </w:r>
    </w:p>
    <w:tbl>
      <w:tblPr>
        <w:tblStyle w:val="9"/>
        <w:tblW w:w="911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692"/>
        <w:gridCol w:w="1605"/>
        <w:gridCol w:w="765"/>
        <w:gridCol w:w="705"/>
        <w:gridCol w:w="1800"/>
        <w:gridCol w:w="1770"/>
        <w:gridCol w:w="1065"/>
      </w:tblGrid>
      <w:tr w14:paraId="44FF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10" w:type="dxa"/>
            <w:shd w:val="clear" w:color="auto" w:fill="auto"/>
            <w:noWrap/>
            <w:vAlign w:val="center"/>
          </w:tcPr>
          <w:p w14:paraId="5CF97A3F">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包号</w:t>
            </w:r>
          </w:p>
        </w:tc>
        <w:tc>
          <w:tcPr>
            <w:tcW w:w="692" w:type="dxa"/>
            <w:shd w:val="clear" w:color="auto" w:fill="auto"/>
            <w:vAlign w:val="center"/>
          </w:tcPr>
          <w:p w14:paraId="74C9EE84">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color w:val="auto"/>
                <w:kern w:val="0"/>
                <w:sz w:val="21"/>
                <w:szCs w:val="21"/>
                <w:highlight w:val="none"/>
                <w:lang w:val="en-US" w:eastAsia="zh-CN" w:bidi="ar"/>
              </w:rPr>
            </w:pPr>
            <w:r>
              <w:rPr>
                <w:rFonts w:hint="eastAsia" w:ascii="仿宋" w:hAnsi="仿宋" w:eastAsia="仿宋" w:cs="仿宋"/>
                <w:b/>
                <w:bCs/>
                <w:color w:val="auto"/>
                <w:kern w:val="0"/>
                <w:sz w:val="21"/>
                <w:szCs w:val="21"/>
                <w:highlight w:val="none"/>
                <w:lang w:val="en-US" w:eastAsia="zh-CN" w:bidi="ar"/>
              </w:rPr>
              <w:t>序号</w:t>
            </w:r>
          </w:p>
        </w:tc>
        <w:tc>
          <w:tcPr>
            <w:tcW w:w="1605" w:type="dxa"/>
            <w:shd w:val="clear" w:color="auto" w:fill="auto"/>
            <w:vAlign w:val="center"/>
          </w:tcPr>
          <w:p w14:paraId="51165462">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color w:val="auto"/>
                <w:kern w:val="0"/>
                <w:sz w:val="21"/>
                <w:szCs w:val="21"/>
                <w:highlight w:val="none"/>
                <w:lang w:bidi="ar"/>
              </w:rPr>
            </w:pPr>
            <w:r>
              <w:rPr>
                <w:rFonts w:hint="eastAsia" w:ascii="仿宋" w:hAnsi="仿宋" w:eastAsia="仿宋" w:cs="仿宋"/>
                <w:b/>
                <w:bCs/>
                <w:color w:val="auto"/>
                <w:kern w:val="0"/>
                <w:sz w:val="21"/>
                <w:szCs w:val="21"/>
                <w:highlight w:val="none"/>
                <w:lang w:bidi="ar"/>
              </w:rPr>
              <w:t>采购</w:t>
            </w:r>
            <w:r>
              <w:rPr>
                <w:rFonts w:hint="eastAsia" w:ascii="仿宋" w:hAnsi="仿宋" w:eastAsia="仿宋" w:cs="仿宋"/>
                <w:b/>
                <w:bCs/>
                <w:color w:val="auto"/>
                <w:kern w:val="0"/>
                <w:sz w:val="21"/>
                <w:szCs w:val="21"/>
                <w:highlight w:val="none"/>
                <w:lang w:val="en-US" w:eastAsia="zh-CN" w:bidi="ar"/>
              </w:rPr>
              <w:t>标的</w:t>
            </w:r>
            <w:r>
              <w:rPr>
                <w:rFonts w:hint="eastAsia" w:ascii="仿宋" w:hAnsi="仿宋" w:eastAsia="仿宋" w:cs="仿宋"/>
                <w:b/>
                <w:bCs/>
                <w:color w:val="auto"/>
                <w:kern w:val="0"/>
                <w:sz w:val="21"/>
                <w:szCs w:val="21"/>
                <w:highlight w:val="none"/>
                <w:lang w:bidi="ar"/>
              </w:rPr>
              <w:t>名称</w:t>
            </w:r>
          </w:p>
        </w:tc>
        <w:tc>
          <w:tcPr>
            <w:tcW w:w="765" w:type="dxa"/>
            <w:shd w:val="clear" w:color="auto" w:fill="auto"/>
            <w:vAlign w:val="center"/>
          </w:tcPr>
          <w:p w14:paraId="2DC0938E">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color w:val="auto"/>
                <w:sz w:val="21"/>
                <w:szCs w:val="21"/>
                <w:highlight w:val="none"/>
              </w:rPr>
            </w:pPr>
            <w:r>
              <w:rPr>
                <w:rFonts w:hint="eastAsia" w:ascii="仿宋" w:hAnsi="仿宋" w:eastAsia="仿宋" w:cs="仿宋"/>
                <w:b/>
                <w:bCs/>
                <w:color w:val="auto"/>
                <w:kern w:val="0"/>
                <w:sz w:val="21"/>
                <w:szCs w:val="21"/>
                <w:highlight w:val="none"/>
                <w:lang w:bidi="ar"/>
              </w:rPr>
              <w:t>数量</w:t>
            </w:r>
          </w:p>
        </w:tc>
        <w:tc>
          <w:tcPr>
            <w:tcW w:w="705" w:type="dxa"/>
            <w:shd w:val="clear" w:color="auto" w:fill="auto"/>
            <w:vAlign w:val="center"/>
          </w:tcPr>
          <w:p w14:paraId="5D5A3ACC">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color w:val="auto"/>
                <w:sz w:val="21"/>
                <w:szCs w:val="21"/>
                <w:highlight w:val="none"/>
              </w:rPr>
            </w:pPr>
            <w:r>
              <w:rPr>
                <w:rFonts w:hint="eastAsia" w:ascii="仿宋" w:hAnsi="仿宋" w:eastAsia="仿宋" w:cs="仿宋"/>
                <w:b/>
                <w:bCs/>
                <w:color w:val="auto"/>
                <w:kern w:val="0"/>
                <w:sz w:val="21"/>
                <w:szCs w:val="21"/>
                <w:highlight w:val="none"/>
                <w:lang w:bidi="ar"/>
              </w:rPr>
              <w:t>单位</w:t>
            </w:r>
          </w:p>
        </w:tc>
        <w:tc>
          <w:tcPr>
            <w:tcW w:w="1800" w:type="dxa"/>
            <w:shd w:val="clear" w:color="auto" w:fill="auto"/>
            <w:vAlign w:val="center"/>
          </w:tcPr>
          <w:p w14:paraId="550332F2">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color w:val="auto"/>
                <w:kern w:val="0"/>
                <w:sz w:val="21"/>
                <w:szCs w:val="21"/>
                <w:highlight w:val="none"/>
                <w:lang w:eastAsia="zh-CN" w:bidi="ar"/>
              </w:rPr>
            </w:pPr>
            <w:r>
              <w:rPr>
                <w:rFonts w:hint="eastAsia" w:ascii="仿宋" w:hAnsi="仿宋" w:eastAsia="仿宋" w:cs="仿宋"/>
                <w:b/>
                <w:bCs/>
                <w:color w:val="auto"/>
                <w:kern w:val="0"/>
                <w:sz w:val="21"/>
                <w:szCs w:val="21"/>
                <w:highlight w:val="none"/>
                <w:lang w:val="en-US" w:eastAsia="zh-CN" w:bidi="ar"/>
              </w:rPr>
              <w:t>单品目</w:t>
            </w:r>
            <w:r>
              <w:rPr>
                <w:rFonts w:hint="eastAsia" w:ascii="仿宋" w:hAnsi="仿宋" w:eastAsia="仿宋" w:cs="仿宋"/>
                <w:b/>
                <w:bCs/>
                <w:color w:val="auto"/>
                <w:kern w:val="0"/>
                <w:sz w:val="21"/>
                <w:szCs w:val="21"/>
                <w:highlight w:val="none"/>
                <w:lang w:bidi="ar"/>
              </w:rPr>
              <w:t>采购预算及最高限价</w:t>
            </w:r>
          </w:p>
          <w:p w14:paraId="05AB08FB">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color w:val="auto"/>
                <w:kern w:val="0"/>
                <w:sz w:val="21"/>
                <w:szCs w:val="21"/>
                <w:highlight w:val="none"/>
                <w:lang w:val="en-US" w:eastAsia="zh-CN" w:bidi="ar"/>
              </w:rPr>
            </w:pPr>
            <w:r>
              <w:rPr>
                <w:rFonts w:hint="eastAsia" w:ascii="仿宋" w:hAnsi="仿宋" w:eastAsia="仿宋" w:cs="仿宋"/>
                <w:b/>
                <w:bCs/>
                <w:color w:val="auto"/>
                <w:kern w:val="0"/>
                <w:sz w:val="21"/>
                <w:szCs w:val="21"/>
                <w:highlight w:val="none"/>
                <w:lang w:bidi="ar"/>
              </w:rPr>
              <w:t>（人民币/元）</w:t>
            </w:r>
          </w:p>
        </w:tc>
        <w:tc>
          <w:tcPr>
            <w:tcW w:w="1770" w:type="dxa"/>
            <w:shd w:val="clear" w:color="auto" w:fill="auto"/>
            <w:vAlign w:val="center"/>
          </w:tcPr>
          <w:p w14:paraId="5CD20428">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color w:val="auto"/>
                <w:sz w:val="21"/>
                <w:szCs w:val="21"/>
                <w:highlight w:val="none"/>
              </w:rPr>
            </w:pPr>
            <w:r>
              <w:rPr>
                <w:rFonts w:hint="eastAsia" w:ascii="仿宋" w:hAnsi="仿宋" w:eastAsia="仿宋" w:cs="仿宋"/>
                <w:b/>
                <w:bCs/>
                <w:color w:val="auto"/>
                <w:kern w:val="0"/>
                <w:sz w:val="21"/>
                <w:szCs w:val="21"/>
                <w:highlight w:val="none"/>
                <w:lang w:bidi="ar"/>
              </w:rPr>
              <w:t>采购预算及最高限价（人民币/元）</w:t>
            </w:r>
          </w:p>
        </w:tc>
        <w:tc>
          <w:tcPr>
            <w:tcW w:w="1065" w:type="dxa"/>
            <w:shd w:val="clear" w:color="auto" w:fill="auto"/>
            <w:vAlign w:val="center"/>
          </w:tcPr>
          <w:p w14:paraId="78DFE0A7">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b/>
                <w:bCs/>
                <w:color w:val="auto"/>
                <w:kern w:val="0"/>
                <w:sz w:val="21"/>
                <w:szCs w:val="21"/>
                <w:highlight w:val="none"/>
                <w:lang w:val="en-US" w:eastAsia="zh-CN" w:bidi="ar"/>
              </w:rPr>
            </w:pPr>
            <w:r>
              <w:rPr>
                <w:rFonts w:hint="eastAsia" w:ascii="仿宋" w:hAnsi="仿宋" w:eastAsia="仿宋" w:cs="仿宋"/>
                <w:b/>
                <w:bCs/>
                <w:color w:val="auto"/>
                <w:kern w:val="0"/>
                <w:sz w:val="21"/>
                <w:szCs w:val="21"/>
                <w:highlight w:val="none"/>
                <w:lang w:val="en-US" w:eastAsia="zh-CN" w:bidi="ar"/>
              </w:rPr>
              <w:t>备注</w:t>
            </w:r>
          </w:p>
        </w:tc>
      </w:tr>
      <w:tr w14:paraId="669DC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710" w:type="dxa"/>
            <w:shd w:val="clear" w:color="auto" w:fill="auto"/>
            <w:vAlign w:val="center"/>
          </w:tcPr>
          <w:p w14:paraId="10F8E79F">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1包</w:t>
            </w:r>
          </w:p>
        </w:tc>
        <w:tc>
          <w:tcPr>
            <w:tcW w:w="692" w:type="dxa"/>
            <w:shd w:val="clear" w:color="auto" w:fill="auto"/>
            <w:vAlign w:val="center"/>
          </w:tcPr>
          <w:p w14:paraId="54339A5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Style w:val="14"/>
                <w:rFonts w:hint="default" w:ascii="仿宋" w:hAnsi="仿宋" w:eastAsia="仿宋" w:cs="仿宋"/>
                <w:color w:val="auto"/>
                <w:sz w:val="21"/>
                <w:szCs w:val="21"/>
                <w:highlight w:val="none"/>
                <w:lang w:val="en-US" w:eastAsia="zh-CN" w:bidi="ar"/>
              </w:rPr>
            </w:pPr>
            <w:r>
              <w:rPr>
                <w:rStyle w:val="14"/>
                <w:rFonts w:hint="eastAsia" w:ascii="仿宋" w:hAnsi="仿宋" w:eastAsia="仿宋" w:cs="仿宋"/>
                <w:color w:val="auto"/>
                <w:sz w:val="21"/>
                <w:szCs w:val="21"/>
                <w:highlight w:val="none"/>
                <w:lang w:val="en-US" w:eastAsia="zh-CN" w:bidi="ar"/>
              </w:rPr>
              <w:t>1</w:t>
            </w:r>
          </w:p>
        </w:tc>
        <w:tc>
          <w:tcPr>
            <w:tcW w:w="1605" w:type="dxa"/>
            <w:shd w:val="clear" w:color="auto" w:fill="auto"/>
            <w:vAlign w:val="center"/>
          </w:tcPr>
          <w:p w14:paraId="7E0B443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自由移动式全身CT扫描仪</w:t>
            </w:r>
          </w:p>
        </w:tc>
        <w:tc>
          <w:tcPr>
            <w:tcW w:w="765" w:type="dxa"/>
            <w:shd w:val="clear" w:color="auto" w:fill="auto"/>
            <w:noWrap/>
            <w:vAlign w:val="center"/>
          </w:tcPr>
          <w:p w14:paraId="76D9AD0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1</w:t>
            </w:r>
          </w:p>
        </w:tc>
        <w:tc>
          <w:tcPr>
            <w:tcW w:w="705" w:type="dxa"/>
            <w:shd w:val="clear" w:color="auto" w:fill="auto"/>
            <w:noWrap/>
            <w:vAlign w:val="center"/>
          </w:tcPr>
          <w:p w14:paraId="59878346">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套</w:t>
            </w:r>
          </w:p>
        </w:tc>
        <w:tc>
          <w:tcPr>
            <w:tcW w:w="1800" w:type="dxa"/>
            <w:shd w:val="clear" w:color="auto" w:fill="auto"/>
            <w:noWrap/>
            <w:vAlign w:val="center"/>
          </w:tcPr>
          <w:p w14:paraId="4C78AFB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10000000.00</w:t>
            </w:r>
          </w:p>
        </w:tc>
        <w:tc>
          <w:tcPr>
            <w:tcW w:w="1770" w:type="dxa"/>
            <w:shd w:val="clear" w:color="auto" w:fill="auto"/>
            <w:noWrap/>
            <w:vAlign w:val="center"/>
          </w:tcPr>
          <w:p w14:paraId="7B19F1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 w:hAnsi="仿宋" w:eastAsia="仿宋" w:cs="仿宋"/>
                <w:i w:val="0"/>
                <w:iCs w:val="0"/>
                <w:color w:val="auto"/>
                <w:kern w:val="2"/>
                <w:sz w:val="21"/>
                <w:szCs w:val="21"/>
                <w:highlight w:val="none"/>
                <w:u w:val="none"/>
                <w:lang w:val="en-US" w:eastAsia="zh-CN" w:bidi="ar-SA"/>
              </w:rPr>
            </w:pPr>
            <w:r>
              <w:rPr>
                <w:rFonts w:hint="eastAsia" w:ascii="仿宋" w:hAnsi="仿宋" w:eastAsia="仿宋" w:cs="仿宋"/>
                <w:i w:val="0"/>
                <w:iCs w:val="0"/>
                <w:color w:val="auto"/>
                <w:kern w:val="0"/>
                <w:sz w:val="21"/>
                <w:szCs w:val="21"/>
                <w:highlight w:val="none"/>
                <w:u w:val="none"/>
                <w:lang w:val="en-US" w:eastAsia="zh-CN" w:bidi="ar"/>
              </w:rPr>
              <w:t>10000000.00</w:t>
            </w:r>
          </w:p>
        </w:tc>
        <w:tc>
          <w:tcPr>
            <w:tcW w:w="1065" w:type="dxa"/>
            <w:shd w:val="clear" w:color="auto" w:fill="auto"/>
            <w:noWrap/>
            <w:vAlign w:val="center"/>
          </w:tcPr>
          <w:p w14:paraId="125F9CB5">
            <w:pPr>
              <w:keepNext w:val="0"/>
              <w:keepLines w:val="0"/>
              <w:pageBreakBefore w:val="0"/>
              <w:widowControl/>
              <w:kinsoku/>
              <w:wordWrap/>
              <w:overflowPunct/>
              <w:topLinePunct w:val="0"/>
              <w:autoSpaceDE/>
              <w:autoSpaceDN/>
              <w:bidi w:val="0"/>
              <w:adjustRightInd/>
              <w:snapToGrid/>
              <w:spacing w:after="0" w:line="240" w:lineRule="auto"/>
              <w:jc w:val="center"/>
              <w:textAlignment w:val="center"/>
              <w:rPr>
                <w:rFonts w:hint="eastAsia" w:ascii="仿宋" w:hAnsi="仿宋" w:eastAsia="仿宋" w:cs="仿宋"/>
                <w:color w:val="auto"/>
                <w:sz w:val="21"/>
                <w:szCs w:val="21"/>
                <w:highlight w:val="none"/>
                <w:lang w:val="en-US" w:eastAsia="zh-CN"/>
              </w:rPr>
            </w:pPr>
            <w:r>
              <w:rPr>
                <w:rFonts w:hint="eastAsia" w:ascii="仿宋" w:hAnsi="仿宋" w:eastAsia="仿宋" w:cs="仿宋"/>
                <w:i w:val="0"/>
                <w:iCs w:val="0"/>
                <w:color w:val="auto"/>
                <w:kern w:val="0"/>
                <w:sz w:val="21"/>
                <w:szCs w:val="21"/>
                <w:highlight w:val="none"/>
                <w:u w:val="none"/>
                <w:lang w:val="en-US" w:eastAsia="zh-CN" w:bidi="ar"/>
              </w:rPr>
              <w:t>允许采购进口产品</w:t>
            </w:r>
          </w:p>
        </w:tc>
      </w:tr>
    </w:tbl>
    <w:p w14:paraId="73C9DC5C">
      <w:pPr>
        <w:keepNext w:val="0"/>
        <w:keepLines w:val="0"/>
        <w:pageBreakBefore w:val="0"/>
        <w:widowControl w:val="0"/>
        <w:kinsoku/>
        <w:wordWrap/>
        <w:overflowPunct/>
        <w:topLinePunct w:val="0"/>
        <w:autoSpaceDE/>
        <w:autoSpaceDN/>
        <w:bidi w:val="0"/>
        <w:adjustRightInd/>
        <w:snapToGrid w:val="0"/>
        <w:spacing w:after="0" w:line="360" w:lineRule="auto"/>
        <w:ind w:firstLine="442" w:firstLineChars="200"/>
        <w:textAlignment w:val="baseline"/>
        <w:rPr>
          <w:rFonts w:hint="default" w:ascii="仿宋" w:hAnsi="仿宋" w:eastAsia="仿宋" w:cs="仿宋"/>
          <w:b/>
          <w:bCs/>
          <w:color w:val="auto"/>
          <w:sz w:val="22"/>
          <w:szCs w:val="22"/>
          <w:highlight w:val="none"/>
          <w:lang w:val="en-US" w:eastAsia="zh-CN"/>
        </w:rPr>
      </w:pPr>
      <w:r>
        <w:rPr>
          <w:rFonts w:hint="eastAsia" w:ascii="仿宋" w:hAnsi="仿宋" w:eastAsia="仿宋" w:cs="仿宋"/>
          <w:b/>
          <w:bCs/>
          <w:color w:val="auto"/>
          <w:sz w:val="22"/>
          <w:szCs w:val="22"/>
          <w:highlight w:val="none"/>
        </w:rPr>
        <w:t>注：</w:t>
      </w:r>
      <w:r>
        <w:rPr>
          <w:rFonts w:hint="eastAsia" w:ascii="仿宋" w:hAnsi="仿宋" w:eastAsia="仿宋" w:cs="仿宋"/>
          <w:b/>
          <w:bCs/>
          <w:color w:val="auto"/>
          <w:sz w:val="22"/>
          <w:szCs w:val="22"/>
          <w:highlight w:val="none"/>
          <w:lang w:val="en-US" w:eastAsia="zh-CN"/>
        </w:rPr>
        <w:t>1.本项目</w:t>
      </w:r>
      <w:r>
        <w:rPr>
          <w:rFonts w:hint="eastAsia" w:ascii="仿宋" w:hAnsi="仿宋" w:eastAsia="仿宋" w:cs="仿宋"/>
          <w:b/>
          <w:bCs/>
          <w:color w:val="auto"/>
          <w:kern w:val="0"/>
          <w:sz w:val="22"/>
          <w:szCs w:val="22"/>
          <w:highlight w:val="none"/>
          <w:lang w:val="en-US" w:eastAsia="zh-CN" w:bidi="ar"/>
        </w:rPr>
        <w:t>采购标的所属行业：工业（制造业）。</w:t>
      </w:r>
    </w:p>
    <w:p w14:paraId="4C0AA906">
      <w:pPr>
        <w:keepNext w:val="0"/>
        <w:keepLines w:val="0"/>
        <w:pageBreakBefore w:val="0"/>
        <w:widowControl w:val="0"/>
        <w:kinsoku/>
        <w:wordWrap/>
        <w:overflowPunct/>
        <w:topLinePunct w:val="0"/>
        <w:autoSpaceDE/>
        <w:autoSpaceDN/>
        <w:bidi w:val="0"/>
        <w:adjustRightInd/>
        <w:snapToGrid w:val="0"/>
        <w:spacing w:after="0" w:line="360" w:lineRule="auto"/>
        <w:ind w:firstLine="442" w:firstLineChars="200"/>
        <w:textAlignment w:val="baseline"/>
        <w:rPr>
          <w:rFonts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val="en-US" w:eastAsia="zh-CN"/>
        </w:rPr>
        <w:t>2</w:t>
      </w:r>
      <w:r>
        <w:rPr>
          <w:rFonts w:hint="eastAsia" w:ascii="仿宋" w:hAnsi="仿宋" w:eastAsia="仿宋" w:cs="仿宋"/>
          <w:b/>
          <w:bCs/>
          <w:color w:val="auto"/>
          <w:sz w:val="22"/>
          <w:szCs w:val="22"/>
          <w:highlight w:val="none"/>
        </w:rPr>
        <w:t>.</w:t>
      </w:r>
      <w:r>
        <w:rPr>
          <w:rFonts w:hint="eastAsia" w:ascii="仿宋" w:hAnsi="仿宋" w:eastAsia="仿宋" w:cs="仿宋"/>
          <w:b/>
          <w:color w:val="auto"/>
          <w:sz w:val="22"/>
          <w:szCs w:val="22"/>
          <w:highlight w:val="none"/>
        </w:rPr>
        <w:t>如所供货物为医疗器械的,医疗器械注册证上的名称与采购标的名称不一致的,需在《开标</w:t>
      </w:r>
      <w:r>
        <w:rPr>
          <w:rFonts w:hint="eastAsia" w:ascii="仿宋" w:hAnsi="仿宋" w:eastAsia="仿宋" w:cs="仿宋"/>
          <w:b/>
          <w:color w:val="auto"/>
          <w:sz w:val="22"/>
          <w:szCs w:val="22"/>
          <w:highlight w:val="none"/>
          <w:lang w:eastAsia="zh-CN"/>
        </w:rPr>
        <w:t>（</w:t>
      </w:r>
      <w:r>
        <w:rPr>
          <w:rFonts w:hint="eastAsia" w:ascii="仿宋" w:hAnsi="仿宋" w:eastAsia="仿宋" w:cs="仿宋"/>
          <w:b/>
          <w:color w:val="auto"/>
          <w:sz w:val="22"/>
          <w:szCs w:val="22"/>
          <w:highlight w:val="none"/>
          <w:lang w:val="en-US" w:eastAsia="zh-CN"/>
        </w:rPr>
        <w:t>报价</w:t>
      </w:r>
      <w:r>
        <w:rPr>
          <w:rFonts w:hint="eastAsia" w:ascii="仿宋" w:hAnsi="仿宋" w:eastAsia="仿宋" w:cs="仿宋"/>
          <w:b/>
          <w:color w:val="auto"/>
          <w:sz w:val="22"/>
          <w:szCs w:val="22"/>
          <w:highlight w:val="none"/>
          <w:lang w:eastAsia="zh-CN"/>
        </w:rPr>
        <w:t>）</w:t>
      </w:r>
      <w:r>
        <w:rPr>
          <w:rFonts w:hint="eastAsia" w:ascii="仿宋" w:hAnsi="仿宋" w:eastAsia="仿宋" w:cs="仿宋"/>
          <w:b/>
          <w:color w:val="auto"/>
          <w:sz w:val="22"/>
          <w:szCs w:val="22"/>
          <w:highlight w:val="none"/>
        </w:rPr>
        <w:t>一览表》的“备注”中填写医疗器械注册证上的名称,验收以医疗器械注册证上的产品名称为准。</w:t>
      </w:r>
    </w:p>
    <w:p w14:paraId="61D56199">
      <w:pPr>
        <w:keepNext w:val="0"/>
        <w:keepLines w:val="0"/>
        <w:pageBreakBefore w:val="0"/>
        <w:widowControl w:val="0"/>
        <w:kinsoku/>
        <w:wordWrap/>
        <w:overflowPunct/>
        <w:topLinePunct w:val="0"/>
        <w:autoSpaceDE/>
        <w:autoSpaceDN/>
        <w:bidi w:val="0"/>
        <w:adjustRightInd/>
        <w:snapToGrid w:val="0"/>
        <w:spacing w:after="0" w:line="360" w:lineRule="auto"/>
        <w:ind w:firstLine="442" w:firstLineChars="200"/>
        <w:rPr>
          <w:rFonts w:hint="eastAsia" w:ascii="仿宋" w:hAnsi="仿宋" w:eastAsia="仿宋" w:cs="仿宋"/>
          <w:color w:val="auto"/>
          <w:sz w:val="22"/>
          <w:szCs w:val="22"/>
          <w:highlight w:val="none"/>
          <w:lang w:val="en-US" w:eastAsia="zh-CN"/>
        </w:rPr>
      </w:pPr>
      <w:r>
        <w:rPr>
          <w:rFonts w:hint="eastAsia" w:ascii="仿宋" w:hAnsi="仿宋" w:eastAsia="仿宋" w:cs="仿宋"/>
          <w:b/>
          <w:bCs/>
          <w:color w:val="auto"/>
          <w:sz w:val="22"/>
          <w:szCs w:val="22"/>
          <w:highlight w:val="none"/>
          <w:lang w:val="en-US" w:eastAsia="zh-CN"/>
        </w:rPr>
        <w:t>3</w:t>
      </w:r>
      <w:r>
        <w:rPr>
          <w:rFonts w:hint="eastAsia" w:ascii="仿宋" w:hAnsi="仿宋" w:eastAsia="仿宋" w:cs="仿宋"/>
          <w:b/>
          <w:bCs/>
          <w:color w:val="auto"/>
          <w:sz w:val="22"/>
          <w:szCs w:val="22"/>
          <w:highlight w:val="none"/>
        </w:rPr>
        <w:t>.此报价包含</w:t>
      </w:r>
      <w:r>
        <w:rPr>
          <w:rFonts w:hint="eastAsia" w:ascii="仿宋" w:hAnsi="仿宋" w:eastAsia="仿宋" w:cs="仿宋"/>
          <w:b/>
          <w:bCs/>
          <w:color w:val="auto"/>
          <w:sz w:val="22"/>
          <w:szCs w:val="22"/>
          <w:highlight w:val="none"/>
          <w:lang w:val="en-US" w:eastAsia="zh-CN"/>
        </w:rPr>
        <w:t>设备、</w:t>
      </w:r>
      <w:r>
        <w:rPr>
          <w:rFonts w:hint="eastAsia" w:ascii="仿宋" w:hAnsi="仿宋" w:eastAsia="仿宋" w:cs="仿宋"/>
          <w:b/>
          <w:bCs/>
          <w:color w:val="auto"/>
          <w:sz w:val="22"/>
          <w:szCs w:val="22"/>
          <w:highlight w:val="none"/>
        </w:rPr>
        <w:t>材料、包装、运输、装卸（卸货至采购人指定位置）、税金</w:t>
      </w:r>
      <w:r>
        <w:rPr>
          <w:rFonts w:hint="eastAsia" w:ascii="仿宋" w:hAnsi="仿宋" w:eastAsia="仿宋" w:cs="仿宋"/>
          <w:b/>
          <w:bCs/>
          <w:color w:val="auto"/>
          <w:sz w:val="22"/>
          <w:szCs w:val="22"/>
          <w:highlight w:val="none"/>
          <w:lang w:val="en-US" w:eastAsia="zh-CN"/>
        </w:rPr>
        <w:t>等</w:t>
      </w:r>
      <w:r>
        <w:rPr>
          <w:rFonts w:hint="eastAsia" w:ascii="仿宋" w:hAnsi="仿宋" w:eastAsia="仿宋" w:cs="仿宋"/>
          <w:b/>
          <w:bCs/>
          <w:color w:val="auto"/>
          <w:sz w:val="22"/>
          <w:szCs w:val="22"/>
          <w:highlight w:val="none"/>
        </w:rPr>
        <w:t>所有费用。</w:t>
      </w:r>
    </w:p>
    <w:p w14:paraId="4623F56E">
      <w:pPr>
        <w:widowControl/>
        <w:spacing w:line="240" w:lineRule="auto"/>
        <w:jc w:val="center"/>
        <w:textAlignment w:val="center"/>
        <w:rPr>
          <w:rFonts w:hint="eastAsia" w:ascii="仿宋" w:hAnsi="仿宋" w:eastAsia="仿宋" w:cs="仿宋"/>
          <w:color w:val="auto"/>
          <w:sz w:val="21"/>
          <w:szCs w:val="21"/>
          <w:highlight w:val="none"/>
          <w:lang w:val="en-US" w:eastAsia="zh-CN"/>
        </w:rPr>
      </w:pPr>
    </w:p>
    <w:p w14:paraId="58C0E9DE">
      <w:pPr>
        <w:pStyle w:val="15"/>
        <w:numPr>
          <w:ilvl w:val="0"/>
          <w:numId w:val="1"/>
        </w:numPr>
        <w:spacing w:line="360" w:lineRule="auto"/>
        <w:ind w:firstLine="281" w:firstLineChars="1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技术、服务</w:t>
      </w:r>
      <w:r>
        <w:rPr>
          <w:rFonts w:hint="eastAsia" w:ascii="仿宋" w:hAnsi="仿宋" w:eastAsia="仿宋" w:cs="仿宋"/>
          <w:b/>
          <w:color w:val="auto"/>
          <w:sz w:val="28"/>
          <w:szCs w:val="28"/>
          <w:highlight w:val="none"/>
        </w:rPr>
        <w:t>要求</w:t>
      </w:r>
    </w:p>
    <w:p w14:paraId="42E453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用途：用于临床CT检查，设备可移动，可用于辅助外科手术，介入治疗以及急诊常规诊断扫描。</w:t>
      </w:r>
    </w:p>
    <w:p w14:paraId="7E2D6366">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.具备NMPA三类医疗器械注册证</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投标文件中须提供所投产品有效的</w:t>
      </w:r>
      <w:r>
        <w:rPr>
          <w:rFonts w:hint="eastAsia" w:ascii="仿宋" w:hAnsi="仿宋" w:eastAsia="仿宋" w:cs="仿宋"/>
          <w:b/>
          <w:bCs/>
          <w:color w:val="auto"/>
          <w:sz w:val="24"/>
          <w:szCs w:val="24"/>
          <w:highlight w:val="none"/>
        </w:rPr>
        <w:t>医疗器械注册证</w:t>
      </w:r>
      <w:r>
        <w:rPr>
          <w:rFonts w:hint="eastAsia" w:ascii="仿宋" w:hAnsi="仿宋" w:eastAsia="仿宋" w:cs="仿宋"/>
          <w:b/>
          <w:bCs/>
          <w:color w:val="auto"/>
          <w:sz w:val="24"/>
          <w:szCs w:val="24"/>
          <w:highlight w:val="none"/>
          <w:lang w:val="en-US" w:eastAsia="zh-CN"/>
        </w:rPr>
        <w:t>书加盖供应商公章</w:t>
      </w:r>
      <w:r>
        <w:rPr>
          <w:rFonts w:hint="eastAsia" w:ascii="仿宋" w:hAnsi="仿宋" w:eastAsia="仿宋" w:cs="仿宋"/>
          <w:b/>
          <w:bCs/>
          <w:color w:val="auto"/>
          <w:sz w:val="24"/>
          <w:szCs w:val="24"/>
          <w:highlight w:val="none"/>
          <w:lang w:eastAsia="zh-CN"/>
        </w:rPr>
        <w:t>）</w:t>
      </w:r>
      <w:r>
        <w:rPr>
          <w:rFonts w:hint="eastAsia" w:ascii="仿宋" w:hAnsi="仿宋" w:eastAsia="仿宋" w:cs="仿宋"/>
          <w:color w:val="auto"/>
          <w:sz w:val="24"/>
          <w:szCs w:val="24"/>
          <w:highlight w:val="none"/>
        </w:rPr>
        <w:t>。</w:t>
      </w:r>
    </w:p>
    <w:p w14:paraId="60B9F1E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 功能和技术参数及配置</w:t>
      </w:r>
    </w:p>
    <w:p w14:paraId="5516948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.1 设备概述</w:t>
      </w:r>
    </w:p>
    <w:p w14:paraId="021D1975">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由扫描架和工作站组成。扫描架由球管、高压发生器，机架、探测器，扫描架计算机以及相关控制电路组成的移动式设备。要求具备主机原厂的后处理工作站及软件，而非第三方后处理工作站及软件。</w:t>
      </w:r>
    </w:p>
    <w:p w14:paraId="25132F0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 xml:space="preserve"> 机架系统</w:t>
      </w:r>
    </w:p>
    <w:p w14:paraId="521A7B8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 扫描孔径：≥70cm。</w:t>
      </w:r>
    </w:p>
    <w:p w14:paraId="27770B0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 扫描架激光定位精度：±1mm。</w:t>
      </w:r>
    </w:p>
    <w:p w14:paraId="6D7AF0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  LED显示屏：≥2个。</w:t>
      </w:r>
    </w:p>
    <w:p w14:paraId="29D927B9">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.4 紧急停止按钮：≥2个，位于主机机架两侧。</w:t>
      </w:r>
    </w:p>
    <w:p w14:paraId="5F5DAC0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.5 内置蓄电池支持曝光，无需外部电路供电：具备。</w:t>
      </w:r>
    </w:p>
    <w:p w14:paraId="512D9A7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.6 激光定位系统：具备。激光器数量≥5个，波长≥650nm，输出功率≥1mW。</w:t>
      </w:r>
    </w:p>
    <w:p w14:paraId="461C731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.7 充满电状态下待机时间：≥12小时。</w:t>
      </w:r>
    </w:p>
    <w:p w14:paraId="510AA65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.8 内置X射线屏蔽：≥0.70mm铅当量。</w:t>
      </w:r>
    </w:p>
    <w:p w14:paraId="201EE45E">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.9  X射线延迟曝光倒计时读秒：具备。</w:t>
      </w:r>
    </w:p>
    <w:p w14:paraId="3B7D71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.10 扫描视野：≥600mm。</w:t>
      </w:r>
    </w:p>
    <w:p w14:paraId="6EB9277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 可移动性：电力辅助，1人可移动，具备履带校准系统及地板平坦度验证系统。</w:t>
      </w:r>
    </w:p>
    <w:p w14:paraId="0B407E0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.12  Z轴扫描范围≥200cm。</w:t>
      </w:r>
    </w:p>
    <w:p w14:paraId="49E79F69">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.13 噪声：≤65dB。</w:t>
      </w:r>
    </w:p>
    <w:p w14:paraId="3BEF4DB6">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w:t>
      </w: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 xml:space="preserve"> 探测器</w:t>
      </w:r>
    </w:p>
    <w:p w14:paraId="5606D9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.1 探测器类型: 固体探测器。</w:t>
      </w:r>
    </w:p>
    <w:p w14:paraId="047003E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.2 探测器排列数：≥32排。</w:t>
      </w:r>
    </w:p>
    <w:p w14:paraId="578DE6E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.3 每排探测器物理个数：≥700个。</w:t>
      </w:r>
    </w:p>
    <w:p w14:paraId="0B6C8B4F">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.4 探测器单元总数：≥29000个。</w:t>
      </w:r>
    </w:p>
    <w:p w14:paraId="49F788B5">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.5 探测器Z轴宽度：≥40mm。</w:t>
      </w:r>
    </w:p>
    <w:p w14:paraId="3A0C7235">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.6 滑环类型：低压滑环。</w:t>
      </w:r>
    </w:p>
    <w:p w14:paraId="5E56AFB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w:t>
      </w:r>
      <w:r>
        <w:rPr>
          <w:rFonts w:hint="eastAsia" w:ascii="仿宋" w:hAnsi="仿宋" w:eastAsia="仿宋" w:cs="仿宋"/>
          <w:b/>
          <w:bCs/>
          <w:color w:val="auto"/>
          <w:sz w:val="24"/>
          <w:szCs w:val="24"/>
          <w:highlight w:val="none"/>
          <w:lang w:val="en-US" w:eastAsia="zh-CN"/>
        </w:rPr>
        <w:t xml:space="preserve">4 </w:t>
      </w:r>
      <w:r>
        <w:rPr>
          <w:rFonts w:hint="eastAsia" w:ascii="仿宋" w:hAnsi="仿宋" w:eastAsia="仿宋" w:cs="仿宋"/>
          <w:b/>
          <w:bCs/>
          <w:color w:val="auto"/>
          <w:sz w:val="24"/>
          <w:szCs w:val="24"/>
          <w:highlight w:val="none"/>
        </w:rPr>
        <w:t xml:space="preserve"> X线系统</w:t>
      </w:r>
    </w:p>
    <w:p w14:paraId="077F29B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.1 球管热容量：≥3.0MHU。</w:t>
      </w:r>
    </w:p>
    <w:p w14:paraId="669BF10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.2 球管焦点尺寸：大焦点≥1.2mm×1.4mm；小焦点≤0.7mm×0.8mm。 </w:t>
      </w:r>
    </w:p>
    <w:p w14:paraId="0E84AD3F">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.3 最大球管电流：≥300mA。</w:t>
      </w:r>
    </w:p>
    <w:p w14:paraId="2E0FD91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.4 球管最高电压：≥140kV。</w:t>
      </w:r>
    </w:p>
    <w:p w14:paraId="7E128E2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.5 旋转阳极：具备。</w:t>
      </w:r>
    </w:p>
    <w:p w14:paraId="53A7E4B9">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.6 球管冷却方式：风冷或油冷。</w:t>
      </w:r>
    </w:p>
    <w:p w14:paraId="44D5C056">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.7 阳极最大散热率：≥8kW。</w:t>
      </w:r>
    </w:p>
    <w:p w14:paraId="07437EA9">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.8 高压发生器：最大输出功率≥42kW。</w:t>
      </w:r>
    </w:p>
    <w:p w14:paraId="5281F255">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w:t>
      </w:r>
      <w:r>
        <w:rPr>
          <w:rFonts w:hint="eastAsia" w:ascii="仿宋" w:hAnsi="仿宋" w:eastAsia="仿宋" w:cs="仿宋"/>
          <w:b/>
          <w:bCs/>
          <w:color w:val="auto"/>
          <w:sz w:val="24"/>
          <w:szCs w:val="24"/>
          <w:highlight w:val="none"/>
          <w:lang w:val="en-US" w:eastAsia="zh-CN"/>
        </w:rPr>
        <w:t>5</w:t>
      </w:r>
      <w:r>
        <w:rPr>
          <w:rFonts w:hint="eastAsia" w:ascii="仿宋" w:hAnsi="仿宋" w:eastAsia="仿宋" w:cs="仿宋"/>
          <w:b/>
          <w:bCs/>
          <w:color w:val="auto"/>
          <w:sz w:val="24"/>
          <w:szCs w:val="24"/>
          <w:highlight w:val="none"/>
        </w:rPr>
        <w:t xml:space="preserve"> 扫描参数</w:t>
      </w:r>
    </w:p>
    <w:p w14:paraId="6EECCAE5">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.1 扫描速度/360°：≤1秒。</w:t>
      </w:r>
    </w:p>
    <w:p w14:paraId="26AAB84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.2 最小扫描层厚：≤1.25mm。</w:t>
      </w:r>
    </w:p>
    <w:p w14:paraId="5949570E">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.3 图像噪声：≤0.3%。</w:t>
      </w:r>
    </w:p>
    <w:p w14:paraId="395662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.4 最长扫描时间：≥60秒。</w:t>
      </w:r>
    </w:p>
    <w:p w14:paraId="218F8A06">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.5 螺旋扫描螺距：≥0.4。</w:t>
      </w:r>
    </w:p>
    <w:p w14:paraId="1FB0FA5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.6 空间分辨率：≥17 lp/cm @ 0% MTF。</w:t>
      </w:r>
    </w:p>
    <w:p w14:paraId="26E9073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.7 图像矩阵：≥512 × 512。</w:t>
      </w:r>
    </w:p>
    <w:p w14:paraId="678ACAC6">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.8 密度分辨率：≤5mm@0.3%。</w:t>
      </w:r>
    </w:p>
    <w:p w14:paraId="124630F9">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.9 扫描模式：≥5种，至少包括轴扫、螺旋扫、增强、探查、动态扫描。</w:t>
      </w:r>
    </w:p>
    <w:p w14:paraId="667BDB74">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w:t>
      </w:r>
      <w:r>
        <w:rPr>
          <w:rFonts w:hint="eastAsia" w:ascii="仿宋" w:hAnsi="仿宋" w:eastAsia="仿宋" w:cs="仿宋"/>
          <w:b/>
          <w:bCs/>
          <w:color w:val="auto"/>
          <w:sz w:val="24"/>
          <w:szCs w:val="24"/>
          <w:highlight w:val="none"/>
          <w:lang w:val="en-US" w:eastAsia="zh-CN"/>
        </w:rPr>
        <w:t>6</w:t>
      </w:r>
      <w:r>
        <w:rPr>
          <w:rFonts w:hint="eastAsia" w:ascii="仿宋" w:hAnsi="仿宋" w:eastAsia="仿宋" w:cs="仿宋"/>
          <w:b/>
          <w:bCs/>
          <w:color w:val="auto"/>
          <w:sz w:val="24"/>
          <w:szCs w:val="24"/>
          <w:highlight w:val="none"/>
        </w:rPr>
        <w:t xml:space="preserve"> 移动式图像工作站</w:t>
      </w:r>
    </w:p>
    <w:p w14:paraId="1F95A1B5">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 主频：≥3.2GHz。</w:t>
      </w:r>
    </w:p>
    <w:p w14:paraId="3EE3266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.2 内存：≥32GB。</w:t>
      </w:r>
    </w:p>
    <w:p w14:paraId="2DB1345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.3 硬盘存储空间：≥240GB。</w:t>
      </w:r>
    </w:p>
    <w:p w14:paraId="5314D04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.4 显示器尺寸：≥27英寸。</w:t>
      </w:r>
    </w:p>
    <w:p w14:paraId="349DBF9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.5 工作站内置蓄电池：具备。</w:t>
      </w:r>
    </w:p>
    <w:p w14:paraId="3CF0F95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.6 兼容 DICOM 3.1 协议：具备。</w:t>
      </w:r>
    </w:p>
    <w:p w14:paraId="00804A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.7 兼容 PACS、HIS、RIS：具备。</w:t>
      </w:r>
    </w:p>
    <w:p w14:paraId="4F6DBAD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.8 工作站和 CT 主机可同室操作：具备。</w:t>
      </w:r>
    </w:p>
    <w:p w14:paraId="1B421EF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.9 工作站和 CT 主机数据传输方式≥2 种：无线和有线。</w:t>
      </w:r>
    </w:p>
    <w:p w14:paraId="733A08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.10  CT数据兼容不少于一种主流品牌型号的外科导航系统和/或手术机器人。</w:t>
      </w:r>
    </w:p>
    <w:p w14:paraId="7787E2A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 xml:space="preserve"> 临床应用软件</w:t>
      </w:r>
    </w:p>
    <w:p w14:paraId="0495CC76">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多平面重建（MPR）：具备。</w:t>
      </w:r>
    </w:p>
    <w:p w14:paraId="4F30018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二维重建显示（2D）：具备。</w:t>
      </w:r>
    </w:p>
    <w:p w14:paraId="1D2298D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.3 三维重建显示（3D）：具备。</w:t>
      </w:r>
    </w:p>
    <w:p w14:paraId="33CB550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.4 自动曝光控制（AEC）：提供。</w:t>
      </w:r>
    </w:p>
    <w:p w14:paraId="66AB0FD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.5 去金属伪影技术（MAR）：提供。</w:t>
      </w:r>
    </w:p>
    <w:p w14:paraId="142B0A45">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.6 风车伪影校正技术： 提供。</w:t>
      </w:r>
    </w:p>
    <w:p w14:paraId="58B61B0E">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.7 自动剂量报告：提供。</w:t>
      </w:r>
    </w:p>
    <w:p w14:paraId="7730731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.8  成人及儿童扫描方案： 提供。</w:t>
      </w:r>
    </w:p>
    <w:p w14:paraId="303D18E0">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 xml:space="preserve"> 其他要求</w:t>
      </w:r>
    </w:p>
    <w:p w14:paraId="3164891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 内置ups电池工作参数：工作电压：≥480 V  DC；输出电流（峰值）≥100安。</w:t>
      </w:r>
    </w:p>
    <w:p w14:paraId="692F86B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★4 .配置清单</w:t>
      </w:r>
    </w:p>
    <w:tbl>
      <w:tblPr>
        <w:tblStyle w:val="10"/>
        <w:tblW w:w="7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5560"/>
        <w:gridCol w:w="709"/>
        <w:gridCol w:w="709"/>
      </w:tblGrid>
      <w:tr w14:paraId="11D1C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823" w:type="dxa"/>
            <w:vAlign w:val="center"/>
          </w:tcPr>
          <w:p w14:paraId="25A36367">
            <w:pPr>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序号</w:t>
            </w:r>
          </w:p>
        </w:tc>
        <w:tc>
          <w:tcPr>
            <w:tcW w:w="5560" w:type="dxa"/>
            <w:vAlign w:val="center"/>
          </w:tcPr>
          <w:p w14:paraId="2EC0A513">
            <w:pPr>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内容</w:t>
            </w:r>
          </w:p>
        </w:tc>
        <w:tc>
          <w:tcPr>
            <w:tcW w:w="709" w:type="dxa"/>
            <w:vAlign w:val="center"/>
          </w:tcPr>
          <w:p w14:paraId="00B42E10">
            <w:pPr>
              <w:keepNext w:val="0"/>
              <w:keepLines w:val="0"/>
              <w:pageBreakBefore w:val="0"/>
              <w:widowControl w:val="0"/>
              <w:kinsoku/>
              <w:wordWrap/>
              <w:overflowPunct/>
              <w:topLinePunct w:val="0"/>
              <w:autoSpaceDE/>
              <w:autoSpaceDN/>
              <w:bidi w:val="0"/>
              <w:adjustRightInd/>
              <w:snapToGrid w:val="0"/>
              <w:spacing w:after="0" w:line="240" w:lineRule="auto"/>
              <w:jc w:val="center"/>
              <w:textAlignment w:val="auto"/>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数量</w:t>
            </w:r>
          </w:p>
        </w:tc>
        <w:tc>
          <w:tcPr>
            <w:tcW w:w="709" w:type="dxa"/>
            <w:vAlign w:val="center"/>
          </w:tcPr>
          <w:p w14:paraId="5DA6C8B1">
            <w:pPr>
              <w:widowControl w:val="0"/>
              <w:snapToGrid w:val="0"/>
              <w:spacing w:after="0" w:line="24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单位</w:t>
            </w:r>
          </w:p>
        </w:tc>
      </w:tr>
      <w:tr w14:paraId="76A60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shd w:val="clear" w:color="auto" w:fill="D8D8D8" w:themeFill="background1" w:themeFillShade="D9"/>
            <w:vAlign w:val="center"/>
          </w:tcPr>
          <w:p w14:paraId="7F9DB176">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5560" w:type="dxa"/>
            <w:shd w:val="clear" w:color="auto" w:fill="D8D8D8" w:themeFill="background1" w:themeFillShade="D9"/>
            <w:vAlign w:val="center"/>
          </w:tcPr>
          <w:p w14:paraId="41D75F6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主机硬件系统</w:t>
            </w:r>
          </w:p>
        </w:tc>
        <w:tc>
          <w:tcPr>
            <w:tcW w:w="709" w:type="dxa"/>
            <w:shd w:val="clear" w:color="auto" w:fill="D8D8D8" w:themeFill="background1" w:themeFillShade="D9"/>
            <w:vAlign w:val="center"/>
          </w:tcPr>
          <w:p w14:paraId="2C91AA9C">
            <w:pPr>
              <w:widowControl w:val="0"/>
              <w:snapToGrid w:val="0"/>
              <w:spacing w:after="0" w:line="240" w:lineRule="auto"/>
              <w:jc w:val="center"/>
              <w:rPr>
                <w:rFonts w:ascii="仿宋" w:hAnsi="仿宋" w:eastAsia="仿宋" w:cs="仿宋"/>
                <w:color w:val="auto"/>
                <w:sz w:val="21"/>
                <w:szCs w:val="21"/>
                <w:highlight w:val="none"/>
              </w:rPr>
            </w:pPr>
          </w:p>
        </w:tc>
        <w:tc>
          <w:tcPr>
            <w:tcW w:w="709" w:type="dxa"/>
            <w:shd w:val="clear" w:color="auto" w:fill="D8D8D8" w:themeFill="background1" w:themeFillShade="D9"/>
            <w:vAlign w:val="center"/>
          </w:tcPr>
          <w:p w14:paraId="352FB4D5">
            <w:pPr>
              <w:widowControl w:val="0"/>
              <w:snapToGrid w:val="0"/>
              <w:spacing w:after="0" w:line="240" w:lineRule="auto"/>
              <w:jc w:val="center"/>
              <w:rPr>
                <w:rFonts w:ascii="仿宋" w:hAnsi="仿宋" w:eastAsia="仿宋" w:cs="仿宋"/>
                <w:color w:val="auto"/>
                <w:sz w:val="21"/>
                <w:szCs w:val="21"/>
                <w:highlight w:val="none"/>
              </w:rPr>
            </w:pPr>
          </w:p>
        </w:tc>
      </w:tr>
      <w:tr w14:paraId="144D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1AA23B5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1.1</w:t>
            </w:r>
          </w:p>
        </w:tc>
        <w:tc>
          <w:tcPr>
            <w:tcW w:w="5560" w:type="dxa"/>
            <w:vAlign w:val="center"/>
          </w:tcPr>
          <w:p w14:paraId="77D0E3F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移动式CT扫描架</w:t>
            </w:r>
          </w:p>
        </w:tc>
        <w:tc>
          <w:tcPr>
            <w:tcW w:w="709" w:type="dxa"/>
            <w:vAlign w:val="center"/>
          </w:tcPr>
          <w:p w14:paraId="07C49966">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6D14EA07">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5A977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0FF8CFB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1.2</w:t>
            </w:r>
          </w:p>
        </w:tc>
        <w:tc>
          <w:tcPr>
            <w:tcW w:w="5560" w:type="dxa"/>
            <w:vAlign w:val="center"/>
          </w:tcPr>
          <w:p w14:paraId="2946F38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内置驱动系统</w:t>
            </w:r>
          </w:p>
        </w:tc>
        <w:tc>
          <w:tcPr>
            <w:tcW w:w="709" w:type="dxa"/>
            <w:vAlign w:val="center"/>
          </w:tcPr>
          <w:p w14:paraId="5921F5B2">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71FCAC7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42003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5A0CE00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1.3</w:t>
            </w:r>
          </w:p>
        </w:tc>
        <w:tc>
          <w:tcPr>
            <w:tcW w:w="5560" w:type="dxa"/>
            <w:vAlign w:val="center"/>
          </w:tcPr>
          <w:p w14:paraId="2E078EB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激光定位系统</w:t>
            </w:r>
          </w:p>
        </w:tc>
        <w:tc>
          <w:tcPr>
            <w:tcW w:w="709" w:type="dxa"/>
            <w:vAlign w:val="center"/>
          </w:tcPr>
          <w:p w14:paraId="5EF4B70C">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0555AC2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58DE7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0D332911">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1.4</w:t>
            </w:r>
          </w:p>
        </w:tc>
        <w:tc>
          <w:tcPr>
            <w:tcW w:w="5560" w:type="dxa"/>
            <w:vAlign w:val="center"/>
          </w:tcPr>
          <w:p w14:paraId="23832FDB">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X线球管和高压发生器</w:t>
            </w:r>
          </w:p>
        </w:tc>
        <w:tc>
          <w:tcPr>
            <w:tcW w:w="709" w:type="dxa"/>
            <w:vAlign w:val="center"/>
          </w:tcPr>
          <w:p w14:paraId="733D19FB">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7FFE3541">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29F8E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5A71A2D2">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1.5</w:t>
            </w:r>
          </w:p>
        </w:tc>
        <w:tc>
          <w:tcPr>
            <w:tcW w:w="5560" w:type="dxa"/>
            <w:vAlign w:val="center"/>
          </w:tcPr>
          <w:p w14:paraId="2B9634A2">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探测器</w:t>
            </w:r>
          </w:p>
        </w:tc>
        <w:tc>
          <w:tcPr>
            <w:tcW w:w="709" w:type="dxa"/>
            <w:vAlign w:val="center"/>
          </w:tcPr>
          <w:p w14:paraId="0469ED1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2257866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11B6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685BC91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1.6</w:t>
            </w:r>
          </w:p>
        </w:tc>
        <w:tc>
          <w:tcPr>
            <w:tcW w:w="5560" w:type="dxa"/>
            <w:vAlign w:val="center"/>
          </w:tcPr>
          <w:p w14:paraId="1726B215">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内置ups电池4组</w:t>
            </w:r>
          </w:p>
        </w:tc>
        <w:tc>
          <w:tcPr>
            <w:tcW w:w="709" w:type="dxa"/>
            <w:vAlign w:val="center"/>
          </w:tcPr>
          <w:p w14:paraId="1F9F955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209729DF">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6A2F3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07C3A6C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1.7</w:t>
            </w:r>
          </w:p>
        </w:tc>
        <w:tc>
          <w:tcPr>
            <w:tcW w:w="5560" w:type="dxa"/>
            <w:vAlign w:val="center"/>
          </w:tcPr>
          <w:p w14:paraId="01BF1809">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主动安全缓冲系统</w:t>
            </w:r>
          </w:p>
        </w:tc>
        <w:tc>
          <w:tcPr>
            <w:tcW w:w="709" w:type="dxa"/>
            <w:vAlign w:val="center"/>
          </w:tcPr>
          <w:p w14:paraId="1FFC194B">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20FB3632">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3EE72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3B74166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1.8</w:t>
            </w:r>
          </w:p>
        </w:tc>
        <w:tc>
          <w:tcPr>
            <w:tcW w:w="5560" w:type="dxa"/>
            <w:vAlign w:val="center"/>
          </w:tcPr>
          <w:p w14:paraId="436868B6">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紧急停止系统</w:t>
            </w:r>
          </w:p>
        </w:tc>
        <w:tc>
          <w:tcPr>
            <w:tcW w:w="709" w:type="dxa"/>
            <w:vAlign w:val="center"/>
          </w:tcPr>
          <w:p w14:paraId="54560F3C">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7C07C167">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04E5E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1EBF4014">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1.9</w:t>
            </w:r>
          </w:p>
        </w:tc>
        <w:tc>
          <w:tcPr>
            <w:tcW w:w="5560" w:type="dxa"/>
            <w:vAlign w:val="center"/>
          </w:tcPr>
          <w:p w14:paraId="234494F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视频摄像头135度广角</w:t>
            </w:r>
          </w:p>
        </w:tc>
        <w:tc>
          <w:tcPr>
            <w:tcW w:w="709" w:type="dxa"/>
            <w:vAlign w:val="center"/>
          </w:tcPr>
          <w:p w14:paraId="488E8F5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09B57C7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1294D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6DA8DF7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1.10</w:t>
            </w:r>
          </w:p>
        </w:tc>
        <w:tc>
          <w:tcPr>
            <w:tcW w:w="5560" w:type="dxa"/>
            <w:vAlign w:val="center"/>
          </w:tcPr>
          <w:p w14:paraId="0F433EC6">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控制面板</w:t>
            </w:r>
          </w:p>
        </w:tc>
        <w:tc>
          <w:tcPr>
            <w:tcW w:w="709" w:type="dxa"/>
            <w:vAlign w:val="center"/>
          </w:tcPr>
          <w:p w14:paraId="2787AA4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1424771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06035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shd w:val="clear" w:color="auto" w:fill="D8D8D8" w:themeFill="background1" w:themeFillShade="D9"/>
            <w:vAlign w:val="center"/>
          </w:tcPr>
          <w:p w14:paraId="0BB1F30B">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5560" w:type="dxa"/>
            <w:shd w:val="clear" w:color="auto" w:fill="D8D8D8" w:themeFill="background1" w:themeFillShade="D9"/>
            <w:vAlign w:val="center"/>
          </w:tcPr>
          <w:p w14:paraId="1B8CB04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主机软件系统</w:t>
            </w:r>
          </w:p>
        </w:tc>
        <w:tc>
          <w:tcPr>
            <w:tcW w:w="709" w:type="dxa"/>
            <w:shd w:val="clear" w:color="auto" w:fill="D8D8D8" w:themeFill="background1" w:themeFillShade="D9"/>
            <w:vAlign w:val="center"/>
          </w:tcPr>
          <w:p w14:paraId="4D49BFDA">
            <w:pPr>
              <w:widowControl w:val="0"/>
              <w:snapToGrid w:val="0"/>
              <w:spacing w:after="0" w:line="240" w:lineRule="auto"/>
              <w:jc w:val="center"/>
              <w:rPr>
                <w:rFonts w:ascii="仿宋" w:hAnsi="仿宋" w:eastAsia="仿宋" w:cs="仿宋"/>
                <w:color w:val="auto"/>
                <w:sz w:val="21"/>
                <w:szCs w:val="21"/>
                <w:highlight w:val="none"/>
              </w:rPr>
            </w:pPr>
          </w:p>
        </w:tc>
        <w:tc>
          <w:tcPr>
            <w:tcW w:w="709" w:type="dxa"/>
            <w:shd w:val="clear" w:color="auto" w:fill="D8D8D8" w:themeFill="background1" w:themeFillShade="D9"/>
            <w:vAlign w:val="center"/>
          </w:tcPr>
          <w:p w14:paraId="47D5E992">
            <w:pPr>
              <w:widowControl w:val="0"/>
              <w:snapToGrid w:val="0"/>
              <w:spacing w:after="0" w:line="240" w:lineRule="auto"/>
              <w:jc w:val="center"/>
              <w:rPr>
                <w:rFonts w:ascii="仿宋" w:hAnsi="仿宋" w:eastAsia="仿宋" w:cs="仿宋"/>
                <w:color w:val="auto"/>
                <w:sz w:val="21"/>
                <w:szCs w:val="21"/>
                <w:highlight w:val="none"/>
              </w:rPr>
            </w:pPr>
          </w:p>
        </w:tc>
      </w:tr>
      <w:tr w14:paraId="24D03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61C1C3D2">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2.1</w:t>
            </w:r>
          </w:p>
        </w:tc>
        <w:tc>
          <w:tcPr>
            <w:tcW w:w="5560" w:type="dxa"/>
            <w:vAlign w:val="center"/>
          </w:tcPr>
          <w:p w14:paraId="2EA3A12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轴扫描</w:t>
            </w:r>
          </w:p>
        </w:tc>
        <w:tc>
          <w:tcPr>
            <w:tcW w:w="709" w:type="dxa"/>
            <w:vAlign w:val="center"/>
          </w:tcPr>
          <w:p w14:paraId="2D258DD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0B97E0B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73111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2235C775">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2.2</w:t>
            </w:r>
          </w:p>
        </w:tc>
        <w:tc>
          <w:tcPr>
            <w:tcW w:w="5560" w:type="dxa"/>
            <w:vAlign w:val="center"/>
          </w:tcPr>
          <w:p w14:paraId="3B946F19">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螺旋扫描</w:t>
            </w:r>
          </w:p>
        </w:tc>
        <w:tc>
          <w:tcPr>
            <w:tcW w:w="709" w:type="dxa"/>
            <w:vAlign w:val="center"/>
          </w:tcPr>
          <w:p w14:paraId="799F3D8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47792137">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5447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161C196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2.3</w:t>
            </w:r>
          </w:p>
        </w:tc>
        <w:tc>
          <w:tcPr>
            <w:tcW w:w="5560" w:type="dxa"/>
            <w:vAlign w:val="center"/>
          </w:tcPr>
          <w:p w14:paraId="55CC6A5C">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探查扫描</w:t>
            </w:r>
          </w:p>
        </w:tc>
        <w:tc>
          <w:tcPr>
            <w:tcW w:w="709" w:type="dxa"/>
            <w:vAlign w:val="center"/>
          </w:tcPr>
          <w:p w14:paraId="3AC872CC">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29AE074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4D9E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3CF14811">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2.4</w:t>
            </w:r>
          </w:p>
        </w:tc>
        <w:tc>
          <w:tcPr>
            <w:tcW w:w="5560" w:type="dxa"/>
            <w:vAlign w:val="center"/>
          </w:tcPr>
          <w:p w14:paraId="65B46EC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动态扫描、增强扫描</w:t>
            </w:r>
          </w:p>
        </w:tc>
        <w:tc>
          <w:tcPr>
            <w:tcW w:w="709" w:type="dxa"/>
            <w:vAlign w:val="center"/>
          </w:tcPr>
          <w:p w14:paraId="1F952AE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188DA7E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1407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4783706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2.5</w:t>
            </w:r>
          </w:p>
        </w:tc>
        <w:tc>
          <w:tcPr>
            <w:tcW w:w="5560" w:type="dxa"/>
            <w:vAlign w:val="center"/>
          </w:tcPr>
          <w:p w14:paraId="6571C08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地板平坦度验证系统</w:t>
            </w:r>
          </w:p>
        </w:tc>
        <w:tc>
          <w:tcPr>
            <w:tcW w:w="709" w:type="dxa"/>
            <w:vAlign w:val="center"/>
          </w:tcPr>
          <w:p w14:paraId="65CDED6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4FD6A05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0C180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565854C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2.6</w:t>
            </w:r>
          </w:p>
        </w:tc>
        <w:tc>
          <w:tcPr>
            <w:tcW w:w="5560" w:type="dxa"/>
            <w:vAlign w:val="center"/>
          </w:tcPr>
          <w:p w14:paraId="4FC448D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履带校准</w:t>
            </w:r>
          </w:p>
        </w:tc>
        <w:tc>
          <w:tcPr>
            <w:tcW w:w="709" w:type="dxa"/>
            <w:vAlign w:val="center"/>
          </w:tcPr>
          <w:p w14:paraId="1FA4FD9C">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3305F525">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4326C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shd w:val="clear" w:color="auto" w:fill="D8D8D8" w:themeFill="background1" w:themeFillShade="D9"/>
            <w:vAlign w:val="center"/>
          </w:tcPr>
          <w:p w14:paraId="126E07C9">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5560" w:type="dxa"/>
            <w:shd w:val="clear" w:color="auto" w:fill="D8D8D8" w:themeFill="background1" w:themeFillShade="D9"/>
            <w:vAlign w:val="center"/>
          </w:tcPr>
          <w:p w14:paraId="1965938F">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移动式影像工作站</w:t>
            </w:r>
          </w:p>
        </w:tc>
        <w:tc>
          <w:tcPr>
            <w:tcW w:w="709" w:type="dxa"/>
            <w:shd w:val="clear" w:color="auto" w:fill="D8D8D8" w:themeFill="background1" w:themeFillShade="D9"/>
            <w:vAlign w:val="center"/>
          </w:tcPr>
          <w:p w14:paraId="55646AB6">
            <w:pPr>
              <w:widowControl w:val="0"/>
              <w:snapToGrid w:val="0"/>
              <w:spacing w:after="0" w:line="240" w:lineRule="auto"/>
              <w:jc w:val="center"/>
              <w:rPr>
                <w:rFonts w:ascii="仿宋" w:hAnsi="仿宋" w:eastAsia="仿宋" w:cs="仿宋"/>
                <w:color w:val="auto"/>
                <w:sz w:val="21"/>
                <w:szCs w:val="21"/>
                <w:highlight w:val="none"/>
              </w:rPr>
            </w:pPr>
          </w:p>
        </w:tc>
        <w:tc>
          <w:tcPr>
            <w:tcW w:w="709" w:type="dxa"/>
            <w:shd w:val="clear" w:color="auto" w:fill="D8D8D8" w:themeFill="background1" w:themeFillShade="D9"/>
            <w:vAlign w:val="center"/>
          </w:tcPr>
          <w:p w14:paraId="1DCD6231">
            <w:pPr>
              <w:widowControl w:val="0"/>
              <w:snapToGrid w:val="0"/>
              <w:spacing w:after="0" w:line="240" w:lineRule="auto"/>
              <w:jc w:val="center"/>
              <w:rPr>
                <w:rFonts w:ascii="仿宋" w:hAnsi="仿宋" w:eastAsia="仿宋" w:cs="仿宋"/>
                <w:color w:val="auto"/>
                <w:sz w:val="21"/>
                <w:szCs w:val="21"/>
                <w:highlight w:val="none"/>
              </w:rPr>
            </w:pPr>
          </w:p>
        </w:tc>
      </w:tr>
      <w:tr w14:paraId="3D968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7A49247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3.1</w:t>
            </w:r>
          </w:p>
        </w:tc>
        <w:tc>
          <w:tcPr>
            <w:tcW w:w="5560" w:type="dxa"/>
            <w:vAlign w:val="center"/>
          </w:tcPr>
          <w:p w14:paraId="7F6D06B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推车</w:t>
            </w:r>
          </w:p>
        </w:tc>
        <w:tc>
          <w:tcPr>
            <w:tcW w:w="709" w:type="dxa"/>
            <w:vAlign w:val="center"/>
          </w:tcPr>
          <w:p w14:paraId="07253797">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04F3AB5C">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3B547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163D81F4">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3.2</w:t>
            </w:r>
          </w:p>
        </w:tc>
        <w:tc>
          <w:tcPr>
            <w:tcW w:w="5560" w:type="dxa"/>
            <w:vAlign w:val="center"/>
          </w:tcPr>
          <w:p w14:paraId="7FFDF74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内置UPS</w:t>
            </w:r>
          </w:p>
        </w:tc>
        <w:tc>
          <w:tcPr>
            <w:tcW w:w="709" w:type="dxa"/>
            <w:vAlign w:val="center"/>
          </w:tcPr>
          <w:p w14:paraId="02B4ED1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66D0FC37">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79A0F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62A0748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w:t>
            </w:r>
          </w:p>
        </w:tc>
        <w:tc>
          <w:tcPr>
            <w:tcW w:w="5560" w:type="dxa"/>
            <w:vAlign w:val="center"/>
          </w:tcPr>
          <w:p w14:paraId="10C6A165">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工作站软件系统</w:t>
            </w:r>
          </w:p>
        </w:tc>
        <w:tc>
          <w:tcPr>
            <w:tcW w:w="709" w:type="dxa"/>
            <w:vAlign w:val="center"/>
          </w:tcPr>
          <w:p w14:paraId="3FA2E765">
            <w:pPr>
              <w:widowControl w:val="0"/>
              <w:snapToGrid w:val="0"/>
              <w:spacing w:after="0" w:line="240" w:lineRule="auto"/>
              <w:jc w:val="center"/>
              <w:rPr>
                <w:rFonts w:ascii="仿宋" w:hAnsi="仿宋" w:eastAsia="仿宋" w:cs="仿宋"/>
                <w:color w:val="auto"/>
                <w:sz w:val="21"/>
                <w:szCs w:val="21"/>
                <w:highlight w:val="none"/>
              </w:rPr>
            </w:pPr>
          </w:p>
        </w:tc>
        <w:tc>
          <w:tcPr>
            <w:tcW w:w="709" w:type="dxa"/>
            <w:vAlign w:val="center"/>
          </w:tcPr>
          <w:p w14:paraId="01FA0CB7">
            <w:pPr>
              <w:widowControl w:val="0"/>
              <w:snapToGrid w:val="0"/>
              <w:spacing w:after="0" w:line="240" w:lineRule="auto"/>
              <w:jc w:val="center"/>
              <w:rPr>
                <w:rFonts w:ascii="仿宋" w:hAnsi="仿宋" w:eastAsia="仿宋" w:cs="仿宋"/>
                <w:color w:val="auto"/>
                <w:sz w:val="21"/>
                <w:szCs w:val="21"/>
                <w:highlight w:val="none"/>
              </w:rPr>
            </w:pPr>
          </w:p>
        </w:tc>
      </w:tr>
      <w:tr w14:paraId="5DA93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6913CBA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3.3.1</w:t>
            </w:r>
          </w:p>
        </w:tc>
        <w:tc>
          <w:tcPr>
            <w:tcW w:w="5560" w:type="dxa"/>
            <w:vAlign w:val="center"/>
          </w:tcPr>
          <w:p w14:paraId="4FE11B96">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存储/打印</w:t>
            </w:r>
          </w:p>
        </w:tc>
        <w:tc>
          <w:tcPr>
            <w:tcW w:w="709" w:type="dxa"/>
            <w:vAlign w:val="center"/>
          </w:tcPr>
          <w:p w14:paraId="02E8365F">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0EEDD63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31E37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4F4E903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3.3.2</w:t>
            </w:r>
          </w:p>
        </w:tc>
        <w:tc>
          <w:tcPr>
            <w:tcW w:w="5560" w:type="dxa"/>
            <w:vAlign w:val="center"/>
          </w:tcPr>
          <w:p w14:paraId="4B36A6C5">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方案管理器</w:t>
            </w:r>
          </w:p>
        </w:tc>
        <w:tc>
          <w:tcPr>
            <w:tcW w:w="709" w:type="dxa"/>
            <w:vAlign w:val="center"/>
          </w:tcPr>
          <w:p w14:paraId="5489467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63A82205">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6401C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544DCC0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3.3.3</w:t>
            </w:r>
          </w:p>
        </w:tc>
        <w:tc>
          <w:tcPr>
            <w:tcW w:w="5560" w:type="dxa"/>
            <w:vAlign w:val="center"/>
          </w:tcPr>
          <w:p w14:paraId="710949C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日常校准</w:t>
            </w:r>
          </w:p>
        </w:tc>
        <w:tc>
          <w:tcPr>
            <w:tcW w:w="709" w:type="dxa"/>
            <w:vAlign w:val="center"/>
          </w:tcPr>
          <w:p w14:paraId="55817BA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76E1A691">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30748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5D621B8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3.3.4</w:t>
            </w:r>
          </w:p>
        </w:tc>
        <w:tc>
          <w:tcPr>
            <w:tcW w:w="5560" w:type="dxa"/>
            <w:vAlign w:val="center"/>
          </w:tcPr>
          <w:p w14:paraId="5F19954F">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质量保证</w:t>
            </w:r>
          </w:p>
        </w:tc>
        <w:tc>
          <w:tcPr>
            <w:tcW w:w="709" w:type="dxa"/>
            <w:vAlign w:val="center"/>
          </w:tcPr>
          <w:p w14:paraId="76999429">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4CEB0E21">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7AA55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12128904">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3.3.5</w:t>
            </w:r>
          </w:p>
        </w:tc>
        <w:tc>
          <w:tcPr>
            <w:tcW w:w="5560" w:type="dxa"/>
            <w:vAlign w:val="center"/>
          </w:tcPr>
          <w:p w14:paraId="064124B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系统配置</w:t>
            </w:r>
          </w:p>
        </w:tc>
        <w:tc>
          <w:tcPr>
            <w:tcW w:w="709" w:type="dxa"/>
            <w:vAlign w:val="center"/>
          </w:tcPr>
          <w:p w14:paraId="607445F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0F8028D8">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4AB80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0932F9B1">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3.3.6</w:t>
            </w:r>
          </w:p>
        </w:tc>
        <w:tc>
          <w:tcPr>
            <w:tcW w:w="5560" w:type="dxa"/>
            <w:vAlign w:val="center"/>
          </w:tcPr>
          <w:p w14:paraId="4A0C4B2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用户配置</w:t>
            </w:r>
          </w:p>
        </w:tc>
        <w:tc>
          <w:tcPr>
            <w:tcW w:w="709" w:type="dxa"/>
            <w:vAlign w:val="center"/>
          </w:tcPr>
          <w:p w14:paraId="03E66C3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373CB8D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0FCAE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7AD3C8FB">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3.3.7</w:t>
            </w:r>
          </w:p>
        </w:tc>
        <w:tc>
          <w:tcPr>
            <w:tcW w:w="5560" w:type="dxa"/>
            <w:vAlign w:val="center"/>
          </w:tcPr>
          <w:p w14:paraId="0BC26247">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患者检查</w:t>
            </w:r>
          </w:p>
        </w:tc>
        <w:tc>
          <w:tcPr>
            <w:tcW w:w="709" w:type="dxa"/>
            <w:vAlign w:val="center"/>
          </w:tcPr>
          <w:p w14:paraId="4242A6E6">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0676119A">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60BF8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27C57F0B">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3.3.8</w:t>
            </w:r>
          </w:p>
        </w:tc>
        <w:tc>
          <w:tcPr>
            <w:tcW w:w="5560" w:type="dxa"/>
            <w:vAlign w:val="center"/>
          </w:tcPr>
          <w:p w14:paraId="18779992">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患者浏览</w:t>
            </w:r>
          </w:p>
        </w:tc>
        <w:tc>
          <w:tcPr>
            <w:tcW w:w="709" w:type="dxa"/>
            <w:vAlign w:val="center"/>
          </w:tcPr>
          <w:p w14:paraId="36FB73E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484F53BB">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289BD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25C5E445">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3.3.9</w:t>
            </w:r>
          </w:p>
        </w:tc>
        <w:tc>
          <w:tcPr>
            <w:tcW w:w="5560" w:type="dxa"/>
            <w:vAlign w:val="center"/>
          </w:tcPr>
          <w:p w14:paraId="7912643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患者查看</w:t>
            </w:r>
          </w:p>
        </w:tc>
        <w:tc>
          <w:tcPr>
            <w:tcW w:w="709" w:type="dxa"/>
            <w:vAlign w:val="center"/>
          </w:tcPr>
          <w:p w14:paraId="0D6C296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0DB65869">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05CCB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shd w:val="clear" w:color="auto" w:fill="D8D8D8" w:themeFill="background1" w:themeFillShade="D9"/>
            <w:vAlign w:val="center"/>
          </w:tcPr>
          <w:p w14:paraId="736CE142">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5560" w:type="dxa"/>
            <w:shd w:val="clear" w:color="auto" w:fill="D8D8D8" w:themeFill="background1" w:themeFillShade="D9"/>
            <w:vAlign w:val="center"/>
          </w:tcPr>
          <w:p w14:paraId="7DF3BD81">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辅助配件</w:t>
            </w:r>
          </w:p>
        </w:tc>
        <w:tc>
          <w:tcPr>
            <w:tcW w:w="709" w:type="dxa"/>
            <w:shd w:val="clear" w:color="auto" w:fill="D8D8D8" w:themeFill="background1" w:themeFillShade="D9"/>
            <w:vAlign w:val="center"/>
          </w:tcPr>
          <w:p w14:paraId="6D66E51A">
            <w:pPr>
              <w:widowControl w:val="0"/>
              <w:snapToGrid w:val="0"/>
              <w:spacing w:after="0" w:line="240" w:lineRule="auto"/>
              <w:jc w:val="center"/>
              <w:rPr>
                <w:rFonts w:ascii="仿宋" w:hAnsi="仿宋" w:eastAsia="仿宋" w:cs="仿宋"/>
                <w:color w:val="auto"/>
                <w:sz w:val="21"/>
                <w:szCs w:val="21"/>
                <w:highlight w:val="none"/>
              </w:rPr>
            </w:pPr>
          </w:p>
        </w:tc>
        <w:tc>
          <w:tcPr>
            <w:tcW w:w="709" w:type="dxa"/>
            <w:shd w:val="clear" w:color="auto" w:fill="D8D8D8" w:themeFill="background1" w:themeFillShade="D9"/>
            <w:vAlign w:val="center"/>
          </w:tcPr>
          <w:p w14:paraId="7254E9F4">
            <w:pPr>
              <w:widowControl w:val="0"/>
              <w:snapToGrid w:val="0"/>
              <w:spacing w:after="0" w:line="240" w:lineRule="auto"/>
              <w:jc w:val="center"/>
              <w:rPr>
                <w:rFonts w:ascii="仿宋" w:hAnsi="仿宋" w:eastAsia="仿宋" w:cs="仿宋"/>
                <w:color w:val="auto"/>
                <w:sz w:val="21"/>
                <w:szCs w:val="21"/>
                <w:highlight w:val="none"/>
              </w:rPr>
            </w:pPr>
          </w:p>
        </w:tc>
      </w:tr>
      <w:tr w14:paraId="57E3E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7A71C03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4.1</w:t>
            </w:r>
          </w:p>
        </w:tc>
        <w:tc>
          <w:tcPr>
            <w:tcW w:w="5560" w:type="dxa"/>
            <w:vAlign w:val="center"/>
          </w:tcPr>
          <w:p w14:paraId="2366DC91">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质控体模</w:t>
            </w:r>
          </w:p>
        </w:tc>
        <w:tc>
          <w:tcPr>
            <w:tcW w:w="709" w:type="dxa"/>
            <w:vAlign w:val="center"/>
          </w:tcPr>
          <w:p w14:paraId="18959663">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3DDD6525">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1F2AD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1B129FEB">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4.2</w:t>
            </w:r>
          </w:p>
        </w:tc>
        <w:tc>
          <w:tcPr>
            <w:tcW w:w="5560" w:type="dxa"/>
            <w:vAlign w:val="center"/>
          </w:tcPr>
          <w:p w14:paraId="656BB34C">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bCs/>
                <w:color w:val="auto"/>
                <w:sz w:val="21"/>
                <w:szCs w:val="21"/>
                <w:highlight w:val="none"/>
              </w:rPr>
              <w:t>用户手册</w:t>
            </w:r>
          </w:p>
        </w:tc>
        <w:tc>
          <w:tcPr>
            <w:tcW w:w="709" w:type="dxa"/>
            <w:vAlign w:val="center"/>
          </w:tcPr>
          <w:p w14:paraId="182B8924">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50DA407D">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6FA46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687D49AB">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4.3</w:t>
            </w:r>
          </w:p>
        </w:tc>
        <w:tc>
          <w:tcPr>
            <w:tcW w:w="5560" w:type="dxa"/>
            <w:vAlign w:val="center"/>
          </w:tcPr>
          <w:p w14:paraId="65C574CD">
            <w:pPr>
              <w:widowControl w:val="0"/>
              <w:snapToGrid w:val="0"/>
              <w:spacing w:after="0" w:line="240" w:lineRule="auto"/>
              <w:jc w:val="center"/>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电源线</w:t>
            </w:r>
          </w:p>
        </w:tc>
        <w:tc>
          <w:tcPr>
            <w:tcW w:w="709" w:type="dxa"/>
            <w:vAlign w:val="center"/>
          </w:tcPr>
          <w:p w14:paraId="0C41B5D1">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65537F1C">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r w14:paraId="76FEC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3" w:type="dxa"/>
            <w:vAlign w:val="center"/>
          </w:tcPr>
          <w:p w14:paraId="1156DDD7">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4.4</w:t>
            </w:r>
          </w:p>
        </w:tc>
        <w:tc>
          <w:tcPr>
            <w:tcW w:w="5560" w:type="dxa"/>
            <w:vAlign w:val="center"/>
          </w:tcPr>
          <w:p w14:paraId="7E339567">
            <w:pPr>
              <w:widowControl w:val="0"/>
              <w:snapToGrid w:val="0"/>
              <w:spacing w:after="0" w:line="240" w:lineRule="auto"/>
              <w:jc w:val="center"/>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手控器</w:t>
            </w:r>
          </w:p>
        </w:tc>
        <w:tc>
          <w:tcPr>
            <w:tcW w:w="709" w:type="dxa"/>
            <w:vAlign w:val="center"/>
          </w:tcPr>
          <w:p w14:paraId="37002610">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709" w:type="dxa"/>
            <w:vAlign w:val="center"/>
          </w:tcPr>
          <w:p w14:paraId="42C97F0E">
            <w:pPr>
              <w:widowControl w:val="0"/>
              <w:snapToGrid w:val="0"/>
              <w:spacing w:after="0" w:line="24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套</w:t>
            </w:r>
          </w:p>
        </w:tc>
      </w:tr>
    </w:tbl>
    <w:p w14:paraId="62A77829">
      <w:pPr>
        <w:pStyle w:val="15"/>
        <w:numPr>
          <w:ilvl w:val="0"/>
          <w:numId w:val="0"/>
        </w:numPr>
        <w:spacing w:line="360" w:lineRule="auto"/>
        <w:ind w:left="0" w:leftChars="0" w:firstLine="218" w:firstLineChars="91"/>
        <w:rPr>
          <w:rFonts w:hint="eastAsia" w:ascii="仿宋" w:hAnsi="仿宋" w:eastAsia="仿宋" w:cs="仿宋"/>
          <w:b w:val="0"/>
          <w:bCs/>
          <w:color w:val="auto"/>
          <w:sz w:val="24"/>
          <w:szCs w:val="24"/>
          <w:highlight w:val="none"/>
        </w:rPr>
      </w:pPr>
    </w:p>
    <w:p w14:paraId="6CCAB202">
      <w:pPr>
        <w:pStyle w:val="15"/>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★三、商务要求（以下服务条款产生的所有费用应包含</w:t>
      </w:r>
      <w:r>
        <w:rPr>
          <w:rFonts w:hint="eastAsia" w:ascii="仿宋" w:hAnsi="仿宋" w:eastAsia="仿宋" w:cs="仿宋"/>
          <w:b/>
          <w:color w:val="auto"/>
          <w:sz w:val="28"/>
          <w:szCs w:val="28"/>
          <w:highlight w:val="none"/>
          <w:lang w:val="en-US" w:eastAsia="zh-CN"/>
        </w:rPr>
        <w:t>在</w:t>
      </w:r>
      <w:r>
        <w:rPr>
          <w:rFonts w:hint="eastAsia" w:ascii="仿宋" w:hAnsi="仿宋" w:eastAsia="仿宋" w:cs="仿宋"/>
          <w:b/>
          <w:color w:val="auto"/>
          <w:sz w:val="28"/>
          <w:szCs w:val="28"/>
          <w:highlight w:val="none"/>
        </w:rPr>
        <w:t>本次报价中）</w:t>
      </w:r>
    </w:p>
    <w:p w14:paraId="230F99FA">
      <w:pPr>
        <w:pStyle w:val="8"/>
        <w:keepNext w:val="0"/>
        <w:keepLines w:val="0"/>
        <w:pageBreakBefore w:val="0"/>
        <w:widowControl w:val="0"/>
        <w:kinsoku/>
        <w:wordWrap/>
        <w:overflowPunct/>
        <w:topLinePunct w:val="0"/>
        <w:autoSpaceDE/>
        <w:autoSpaceDN/>
        <w:bidi w:val="0"/>
        <w:adjustRightInd/>
        <w:snapToGrid/>
        <w:spacing w:after="0" w:line="360" w:lineRule="auto"/>
        <w:ind w:firstLine="241" w:firstLineChars="100"/>
        <w:textAlignment w:val="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（一）交货方式</w:t>
      </w:r>
    </w:p>
    <w:p w14:paraId="60EC5A79">
      <w:pPr>
        <w:pStyle w:val="8"/>
        <w:keepNext w:val="0"/>
        <w:keepLines w:val="0"/>
        <w:pageBreakBefore w:val="0"/>
        <w:widowControl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1.交货时间：签订合同</w:t>
      </w:r>
      <w:r>
        <w:rPr>
          <w:rFonts w:hint="eastAsia" w:ascii="仿宋" w:hAnsi="仿宋" w:eastAsia="仿宋" w:cs="仿宋"/>
          <w:color w:val="auto"/>
          <w:sz w:val="24"/>
          <w:highlight w:val="none"/>
          <w:lang w:val="en-US" w:eastAsia="zh-Hans"/>
        </w:rPr>
        <w:t>生效</w:t>
      </w:r>
      <w:r>
        <w:rPr>
          <w:rFonts w:hint="eastAsia" w:ascii="仿宋" w:hAnsi="仿宋" w:eastAsia="仿宋" w:cs="仿宋"/>
          <w:color w:val="auto"/>
          <w:sz w:val="24"/>
          <w:highlight w:val="none"/>
        </w:rPr>
        <w:t>之日起国产</w:t>
      </w:r>
      <w:r>
        <w:rPr>
          <w:rFonts w:hint="eastAsia" w:ascii="仿宋" w:hAnsi="仿宋" w:eastAsia="仿宋" w:cs="仿宋"/>
          <w:color w:val="auto"/>
          <w:sz w:val="24"/>
          <w:highlight w:val="none"/>
          <w:lang w:val="en-US" w:eastAsia="zh-CN"/>
        </w:rPr>
        <w:t>设备</w:t>
      </w:r>
      <w:r>
        <w:rPr>
          <w:rFonts w:hint="eastAsia" w:ascii="仿宋" w:hAnsi="仿宋" w:eastAsia="仿宋" w:cs="仿宋"/>
          <w:color w:val="auto"/>
          <w:sz w:val="24"/>
          <w:highlight w:val="none"/>
        </w:rPr>
        <w:t>60天、进口</w:t>
      </w:r>
      <w:r>
        <w:rPr>
          <w:rFonts w:hint="eastAsia" w:ascii="仿宋" w:hAnsi="仿宋" w:eastAsia="仿宋" w:cs="仿宋"/>
          <w:color w:val="auto"/>
          <w:sz w:val="24"/>
          <w:highlight w:val="none"/>
          <w:lang w:val="en-US" w:eastAsia="zh-CN"/>
        </w:rPr>
        <w:t>设备</w:t>
      </w:r>
      <w:r>
        <w:rPr>
          <w:rFonts w:hint="eastAsia" w:ascii="仿宋" w:hAnsi="仿宋" w:eastAsia="仿宋" w:cs="仿宋"/>
          <w:color w:val="auto"/>
          <w:sz w:val="24"/>
          <w:highlight w:val="none"/>
        </w:rPr>
        <w:t>90天内交付全部产品。</w:t>
      </w:r>
    </w:p>
    <w:p w14:paraId="6F0E81E3">
      <w:pPr>
        <w:pStyle w:val="8"/>
        <w:keepNext w:val="0"/>
        <w:keepLines w:val="0"/>
        <w:pageBreakBefore w:val="0"/>
        <w:widowControl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2.交货地点：海南医</w:t>
      </w:r>
      <w:r>
        <w:rPr>
          <w:rFonts w:hint="eastAsia" w:ascii="仿宋" w:hAnsi="仿宋" w:eastAsia="仿宋" w:cs="仿宋"/>
          <w:color w:val="auto"/>
          <w:sz w:val="24"/>
          <w:highlight w:val="none"/>
          <w:lang w:val="en-US" w:eastAsia="zh-CN"/>
        </w:rPr>
        <w:t>科大学</w:t>
      </w:r>
      <w:r>
        <w:rPr>
          <w:rFonts w:hint="eastAsia" w:ascii="仿宋" w:hAnsi="仿宋" w:eastAsia="仿宋" w:cs="仿宋"/>
          <w:color w:val="auto"/>
          <w:sz w:val="24"/>
          <w:highlight w:val="none"/>
        </w:rPr>
        <w:t>第二附属医院（地址：海南省海口市龙华区椰海大道368号）</w:t>
      </w:r>
      <w:r>
        <w:rPr>
          <w:rFonts w:hint="eastAsia" w:ascii="仿宋" w:hAnsi="仿宋" w:eastAsia="仿宋" w:cs="仿宋"/>
          <w:color w:val="auto"/>
          <w:sz w:val="24"/>
          <w:highlight w:val="none"/>
          <w:lang w:eastAsia="zh-CN"/>
        </w:rPr>
        <w:t>。</w:t>
      </w:r>
    </w:p>
    <w:p w14:paraId="653D9455">
      <w:pPr>
        <w:pStyle w:val="8"/>
        <w:keepNext w:val="0"/>
        <w:keepLines w:val="0"/>
        <w:pageBreakBefore w:val="0"/>
        <w:widowControl w:val="0"/>
        <w:kinsoku/>
        <w:wordWrap/>
        <w:overflowPunct/>
        <w:topLinePunct w:val="0"/>
        <w:autoSpaceDE/>
        <w:autoSpaceDN/>
        <w:bidi w:val="0"/>
        <w:adjustRightInd/>
        <w:snapToGrid/>
        <w:spacing w:after="0" w:line="360" w:lineRule="auto"/>
        <w:ind w:firstLine="241" w:firstLineChars="100"/>
        <w:textAlignment w:val="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（二）安装验收</w:t>
      </w:r>
    </w:p>
    <w:p w14:paraId="2D442CA2">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1.开箱检验，采购人和供应商双方应共同对设备的包装、外观、设备品牌、原厂商、产地、规格型号、数量进行检验。所提供的产品生产日期国产设备应在自合同签署之日往前推算</w:t>
      </w:r>
      <w:r>
        <w:rPr>
          <w:rFonts w:hint="eastAsia" w:ascii="仿宋" w:hAnsi="仿宋" w:eastAsia="仿宋" w:cs="仿宋"/>
          <w:color w:val="auto"/>
          <w:sz w:val="24"/>
          <w:highlight w:val="none"/>
          <w:lang w:val="en-US" w:eastAsia="zh-CN"/>
        </w:rPr>
        <w:t>9</w:t>
      </w:r>
      <w:r>
        <w:rPr>
          <w:rFonts w:hint="eastAsia" w:ascii="仿宋" w:hAnsi="仿宋" w:eastAsia="仿宋" w:cs="仿宋"/>
          <w:color w:val="auto"/>
          <w:sz w:val="24"/>
          <w:highlight w:val="none"/>
        </w:rPr>
        <w:t>个月内</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进口设备应在自合同签署之日往前推算12个月内</w:t>
      </w:r>
      <w:r>
        <w:rPr>
          <w:rFonts w:hint="eastAsia" w:ascii="仿宋" w:hAnsi="仿宋" w:eastAsia="仿宋" w:cs="仿宋"/>
          <w:color w:val="auto"/>
          <w:sz w:val="24"/>
          <w:highlight w:val="none"/>
          <w:lang w:eastAsia="zh-CN"/>
        </w:rPr>
        <w:t>。如在开箱检验中发现所交付的合同设备有短缺、损坏、不合格产品等或与合同、随机文件不相符的情形，供应商应于约定交货时间内、最长不超过交货截止时间5个工作日予以无条件补足、更换,并承担由此造成的一切损失。待设备补足或更换后，采购人和供应商双方重新对合同设备进行检验后再组织安装调试。</w:t>
      </w:r>
    </w:p>
    <w:p w14:paraId="1B3FD275">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供应商应派专业工程师到现场进行安装、调试设备，并对相关人员进行培训。在安装过程中，采购人工程师负责对设备安装调试予以配合和相应的协调工作。</w:t>
      </w:r>
    </w:p>
    <w:p w14:paraId="1E78BA21">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供应商对设备所进行的安装调试应与招标文件约定的性能完全一致，且不能低于相应的国家标准及行业标准。安装调试完毕，双方根据招标文件的技术标准共同进行验收，供应商向采购人交付合同设备的质量合格证、保修单、使用说明书、维修手册等相关资料。在验收过程中，如合同设备的一项或数项指标未达到设备技术资料所规定要求，供应商应于约定交货时间内、最长不超过交货截止时间5个工作日予以无条件补足、更换,并承担由此造成的一切损失，由此产生的费用由供应商承担。验收合格后，双方签署验收报告，并加盖公章确认。验收报告仅证明供应商所提供的设备截止出具检验报告之日时可以按招标文件、合同要求予以接受，但不能视为供应商对设备存在的潜在质量缺陷所应负的责任的解除，此验收报告不作为对设备质量认定的依据。</w:t>
      </w:r>
    </w:p>
    <w:p w14:paraId="00AC80E0">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验收标准以招标文件技术参数及要求和相关行业标准为准，属于强检或需要校准的设备，安装后第一次计量检定费用由供应商承担，若达不到标准采购人可以要求退货或者换货。</w:t>
      </w:r>
    </w:p>
    <w:p w14:paraId="330238FA">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lang w:eastAsia="zh-CN"/>
        </w:rPr>
        <w:t>提供的资料</w:t>
      </w:r>
    </w:p>
    <w:p w14:paraId="2C5F53B4">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5.1</w:t>
      </w:r>
      <w:r>
        <w:rPr>
          <w:rFonts w:hint="eastAsia" w:ascii="仿宋" w:hAnsi="仿宋" w:eastAsia="仿宋" w:cs="仿宋"/>
          <w:color w:val="auto"/>
          <w:sz w:val="24"/>
          <w:highlight w:val="none"/>
          <w:lang w:eastAsia="zh-CN"/>
        </w:rPr>
        <w:t>提供主机及配套设备的相关技术资料。</w:t>
      </w:r>
    </w:p>
    <w:p w14:paraId="29E586CA">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5.2</w:t>
      </w:r>
      <w:r>
        <w:rPr>
          <w:rFonts w:hint="eastAsia" w:ascii="仿宋" w:hAnsi="仿宋" w:eastAsia="仿宋" w:cs="仿宋"/>
          <w:color w:val="auto"/>
          <w:sz w:val="24"/>
          <w:highlight w:val="none"/>
          <w:lang w:eastAsia="zh-CN"/>
        </w:rPr>
        <w:t>进口产品按要求提供报关单、完税证明，属商检产品提供商检报告。</w:t>
      </w:r>
    </w:p>
    <w:p w14:paraId="5533693E">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lang w:eastAsia="zh-CN"/>
        </w:rPr>
        <w:t>安装调试设备完后及时清理现场垃圾。</w:t>
      </w:r>
    </w:p>
    <w:p w14:paraId="06B07C49">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w:t>
      </w:r>
      <w:r>
        <w:rPr>
          <w:rFonts w:hint="eastAsia" w:ascii="仿宋" w:hAnsi="仿宋" w:eastAsia="仿宋" w:cs="仿宋"/>
          <w:b/>
          <w:bCs/>
          <w:color w:val="auto"/>
          <w:sz w:val="24"/>
          <w:highlight w:val="none"/>
          <w:lang w:val="en-US" w:eastAsia="zh-CN"/>
        </w:rPr>
        <w:t>三</w:t>
      </w:r>
      <w:r>
        <w:rPr>
          <w:rFonts w:hint="eastAsia" w:ascii="仿宋" w:hAnsi="仿宋" w:eastAsia="仿宋" w:cs="仿宋"/>
          <w:b/>
          <w:bCs/>
          <w:color w:val="auto"/>
          <w:sz w:val="24"/>
          <w:highlight w:val="none"/>
          <w:lang w:eastAsia="zh-CN"/>
        </w:rPr>
        <w:t>）质量保证和售后服务</w:t>
      </w:r>
    </w:p>
    <w:p w14:paraId="0B5254E9">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lang w:eastAsia="zh-CN"/>
        </w:rPr>
        <w:t>供应商保证提供的设备必须为正规渠道销售的设备，并为全新未使用过的。设备必须符合国家检测标准，供应商承诺所供设备与成交所示设备明细完全一致，不存在任何偏差。</w:t>
      </w:r>
    </w:p>
    <w:p w14:paraId="0B290CB2">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如因设备的质量问题发生纠纷，应由具有鉴定资质的鉴定机构进行质量鉴定，鉴定结果合格，费用由采购人承担；结果不合格，费用由中标人承担。</w:t>
      </w:r>
    </w:p>
    <w:p w14:paraId="58632131">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供应商保证合同设备不侵犯任何第三方的专利、商标或版权。否则，供应商须承担由此对第三方的专利或版权的侵权责任并承担因此而发生的所有费用。</w:t>
      </w:r>
    </w:p>
    <w:p w14:paraId="651F2306">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设备最终验收合格正式移交</w:t>
      </w:r>
      <w:r>
        <w:rPr>
          <w:rFonts w:hint="eastAsia" w:ascii="仿宋" w:hAnsi="仿宋" w:eastAsia="仿宋" w:cs="仿宋"/>
          <w:color w:val="auto"/>
          <w:sz w:val="24"/>
          <w:highlight w:val="none"/>
          <w:lang w:val="en-US" w:eastAsia="zh-CN"/>
        </w:rPr>
        <w:t>采购人</w:t>
      </w:r>
      <w:r>
        <w:rPr>
          <w:rFonts w:hint="eastAsia" w:ascii="仿宋" w:hAnsi="仿宋" w:eastAsia="仿宋" w:cs="仿宋"/>
          <w:color w:val="auto"/>
          <w:sz w:val="24"/>
          <w:highlight w:val="none"/>
          <w:lang w:eastAsia="zh-CN"/>
        </w:rPr>
        <w:t>使用之日前，其中产生的所有费用均包含在投标报价中。</w:t>
      </w:r>
    </w:p>
    <w:p w14:paraId="04D8087F">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lang w:eastAsia="zh-CN"/>
        </w:rPr>
        <w:t>供应商负责指导和培训采购人维修及使用规范，主要内容为设备的基本结构、性能、主要部件的构造及修理，日常使用保养与管理，常见故障的排除、紧急情况的处理等，培训地点在设备安装现场或按采购人安排。</w:t>
      </w:r>
    </w:p>
    <w:p w14:paraId="24C1BFB6">
      <w:pPr>
        <w:pStyle w:val="15"/>
        <w:numPr>
          <w:ilvl w:val="0"/>
          <w:numId w:val="0"/>
        </w:numPr>
        <w:spacing w:line="360" w:lineRule="auto"/>
        <w:ind w:left="0" w:leftChars="0" w:firstLine="458" w:firstLineChars="191"/>
        <w:rPr>
          <w:rFonts w:hint="eastAsia" w:ascii="仿宋" w:hAnsi="仿宋" w:eastAsia="仿宋" w:cs="仿宋"/>
          <w:color w:val="auto"/>
          <w:sz w:val="24"/>
          <w:highlight w:val="none"/>
          <w:lang w:eastAsia="zh-CN"/>
        </w:rPr>
      </w:pPr>
      <w:bookmarkStart w:id="1" w:name="_GoBack"/>
      <w:bookmarkEnd w:id="1"/>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lang w:eastAsia="zh-CN"/>
        </w:rPr>
        <w:t>供应商提供</w:t>
      </w:r>
      <w:r>
        <w:rPr>
          <w:rFonts w:hint="eastAsia" w:ascii="仿宋" w:hAnsi="仿宋" w:eastAsia="仿宋" w:cs="仿宋"/>
          <w:color w:val="auto"/>
          <w:sz w:val="24"/>
          <w:highlight w:val="none"/>
          <w:lang w:val="en-US" w:eastAsia="zh-CN"/>
        </w:rPr>
        <w:t>不少于2年整机</w:t>
      </w:r>
      <w:r>
        <w:rPr>
          <w:rFonts w:hint="eastAsia" w:ascii="仿宋" w:hAnsi="仿宋" w:eastAsia="仿宋" w:cs="仿宋"/>
          <w:color w:val="auto"/>
          <w:sz w:val="24"/>
          <w:highlight w:val="none"/>
          <w:lang w:eastAsia="zh-CN"/>
        </w:rPr>
        <w:t>的质保期</w:t>
      </w:r>
      <w:r>
        <w:rPr>
          <w:rFonts w:hint="eastAsia" w:ascii="仿宋" w:hAnsi="仿宋" w:eastAsia="仿宋" w:cs="仿宋"/>
          <w:b w:val="0"/>
          <w:bCs/>
          <w:color w:val="auto"/>
          <w:sz w:val="24"/>
          <w:szCs w:val="24"/>
          <w:highlight w:val="none"/>
        </w:rPr>
        <w:t>（含球管、探测器、电池等其他品牌辅助设备）</w:t>
      </w:r>
      <w:r>
        <w:rPr>
          <w:rFonts w:hint="eastAsia" w:ascii="仿宋" w:hAnsi="仿宋" w:eastAsia="仿宋" w:cs="仿宋"/>
          <w:color w:val="auto"/>
          <w:sz w:val="24"/>
          <w:highlight w:val="none"/>
          <w:lang w:eastAsia="zh-CN"/>
        </w:rPr>
        <w:t>，从设备安装验收合格之日算起。</w:t>
      </w:r>
      <w:r>
        <w:rPr>
          <w:rFonts w:hint="eastAsia" w:ascii="仿宋" w:hAnsi="仿宋" w:eastAsia="仿宋" w:cs="仿宋"/>
          <w:color w:val="auto"/>
          <w:sz w:val="24"/>
          <w:highlight w:val="none"/>
          <w:lang w:val="en-US" w:eastAsia="zh-CN"/>
        </w:rPr>
        <w:t>供应商</w:t>
      </w:r>
      <w:r>
        <w:rPr>
          <w:rFonts w:hint="eastAsia" w:ascii="仿宋" w:hAnsi="仿宋" w:eastAsia="仿宋" w:cs="仿宋"/>
          <w:b w:val="0"/>
          <w:bCs/>
          <w:color w:val="auto"/>
          <w:sz w:val="24"/>
          <w:szCs w:val="24"/>
          <w:highlight w:val="none"/>
        </w:rPr>
        <w:t>需提供原厂保修承诺。</w:t>
      </w:r>
      <w:r>
        <w:rPr>
          <w:rFonts w:hint="eastAsia" w:ascii="仿宋" w:hAnsi="仿宋" w:eastAsia="仿宋" w:cs="仿宋"/>
          <w:color w:val="auto"/>
          <w:sz w:val="24"/>
          <w:highlight w:val="none"/>
          <w:lang w:eastAsia="zh-CN"/>
        </w:rPr>
        <w:t>在此期间所有维修费用由供应商承担。</w:t>
      </w:r>
      <w:r>
        <w:rPr>
          <w:rFonts w:hint="eastAsia" w:ascii="仿宋" w:hAnsi="仿宋" w:eastAsia="仿宋" w:cs="仿宋"/>
          <w:b w:val="0"/>
          <w:bCs/>
          <w:color w:val="auto"/>
          <w:sz w:val="24"/>
          <w:szCs w:val="24"/>
          <w:highlight w:val="none"/>
        </w:rPr>
        <w:t>保修起始时间以</w:t>
      </w:r>
      <w:r>
        <w:rPr>
          <w:rFonts w:hint="eastAsia" w:ascii="仿宋" w:hAnsi="仿宋" w:eastAsia="仿宋" w:cs="仿宋"/>
          <w:b w:val="0"/>
          <w:bCs/>
          <w:color w:val="auto"/>
          <w:sz w:val="24"/>
          <w:szCs w:val="24"/>
          <w:highlight w:val="none"/>
          <w:lang w:val="en-US" w:eastAsia="zh-CN"/>
        </w:rPr>
        <w:t>采购人</w:t>
      </w:r>
      <w:r>
        <w:rPr>
          <w:rFonts w:hint="eastAsia" w:ascii="仿宋" w:hAnsi="仿宋" w:eastAsia="仿宋" w:cs="仿宋"/>
          <w:b w:val="0"/>
          <w:bCs/>
          <w:color w:val="auto"/>
          <w:sz w:val="24"/>
          <w:szCs w:val="24"/>
          <w:highlight w:val="none"/>
        </w:rPr>
        <w:t>验收合格之日为准，不得用任何方式将设备到货至安装完毕后验收的该段时间，部分的或全部的计入设备的保修期。</w:t>
      </w:r>
      <w:r>
        <w:rPr>
          <w:rFonts w:hint="eastAsia" w:ascii="仿宋" w:hAnsi="仿宋" w:eastAsia="仿宋" w:cs="仿宋"/>
          <w:color w:val="auto"/>
          <w:sz w:val="24"/>
          <w:highlight w:val="none"/>
          <w:lang w:eastAsia="zh-CN"/>
        </w:rPr>
        <w:t>生产厂家若提供更长的保修期限，应由生产厂家出具盖章的售后服务承诺函及厂家资质材料。</w:t>
      </w:r>
      <w:r>
        <w:rPr>
          <w:rFonts w:hint="eastAsia" w:ascii="仿宋" w:hAnsi="仿宋" w:eastAsia="仿宋" w:cs="仿宋"/>
          <w:b w:val="0"/>
          <w:bCs/>
          <w:color w:val="auto"/>
          <w:sz w:val="24"/>
          <w:szCs w:val="24"/>
          <w:highlight w:val="none"/>
        </w:rPr>
        <w:t>提供中文操作手册</w:t>
      </w:r>
      <w:r>
        <w:rPr>
          <w:rFonts w:hint="eastAsia" w:ascii="仿宋" w:hAnsi="仿宋" w:eastAsia="仿宋" w:cs="仿宋"/>
          <w:b w:val="0"/>
          <w:bCs/>
          <w:color w:val="auto"/>
          <w:sz w:val="24"/>
          <w:szCs w:val="24"/>
          <w:highlight w:val="none"/>
          <w:lang w:val="en-US" w:eastAsia="zh-CN"/>
        </w:rPr>
        <w:t>和</w:t>
      </w:r>
      <w:r>
        <w:rPr>
          <w:rFonts w:hint="eastAsia" w:ascii="仿宋" w:hAnsi="仿宋" w:eastAsia="仿宋" w:cs="仿宋"/>
          <w:b w:val="0"/>
          <w:bCs/>
          <w:color w:val="auto"/>
          <w:sz w:val="24"/>
          <w:szCs w:val="24"/>
          <w:highlight w:val="none"/>
        </w:rPr>
        <w:t>提供操作和维修培训（包含时间、地点、人次、内容）</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费用包含在</w:t>
      </w:r>
      <w:r>
        <w:rPr>
          <w:rFonts w:hint="eastAsia" w:ascii="仿宋" w:hAnsi="仿宋" w:eastAsia="仿宋" w:cs="仿宋"/>
          <w:b w:val="0"/>
          <w:bCs/>
          <w:color w:val="auto"/>
          <w:sz w:val="24"/>
          <w:szCs w:val="24"/>
          <w:highlight w:val="none"/>
          <w:lang w:val="en-US" w:eastAsia="zh-CN"/>
        </w:rPr>
        <w:t>本次</w:t>
      </w:r>
      <w:r>
        <w:rPr>
          <w:rFonts w:hint="eastAsia" w:ascii="仿宋" w:hAnsi="仿宋" w:eastAsia="仿宋" w:cs="仿宋"/>
          <w:b w:val="0"/>
          <w:bCs/>
          <w:color w:val="auto"/>
          <w:sz w:val="24"/>
          <w:szCs w:val="24"/>
          <w:highlight w:val="none"/>
        </w:rPr>
        <w:t>投标报价中</w:t>
      </w:r>
      <w:r>
        <w:rPr>
          <w:rFonts w:hint="eastAsia" w:ascii="仿宋" w:hAnsi="仿宋" w:eastAsia="仿宋" w:cs="仿宋"/>
          <w:b w:val="0"/>
          <w:bCs/>
          <w:color w:val="auto"/>
          <w:sz w:val="24"/>
          <w:szCs w:val="24"/>
          <w:highlight w:val="none"/>
          <w:lang w:eastAsia="zh-CN"/>
        </w:rPr>
        <w:t>。</w:t>
      </w:r>
    </w:p>
    <w:p w14:paraId="0410672B">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7.</w:t>
      </w:r>
      <w:r>
        <w:rPr>
          <w:rFonts w:hint="eastAsia" w:ascii="仿宋" w:hAnsi="仿宋" w:eastAsia="仿宋" w:cs="仿宋"/>
          <w:color w:val="auto"/>
          <w:sz w:val="24"/>
          <w:highlight w:val="none"/>
          <w:lang w:eastAsia="zh-CN"/>
        </w:rPr>
        <w:t>供应商接到采购人设备故障报修，须在24小时内到现场检修（不可抗力因素除外），迅速解决问题。如因供应商无法及时到场检修或者不配合进行检修，采购人有权聘请第三方进行检修，由此产生的费用由供应商承担。</w:t>
      </w:r>
    </w:p>
    <w:p w14:paraId="2466BCCD">
      <w:pPr>
        <w:pStyle w:val="8"/>
        <w:keepNext w:val="0"/>
        <w:keepLines w:val="0"/>
        <w:pageBreakBefore w:val="0"/>
        <w:widowControl w:val="0"/>
        <w:kinsoku/>
        <w:wordWrap/>
        <w:overflowPunct/>
        <w:topLinePunct w:val="0"/>
        <w:autoSpaceDE/>
        <w:autoSpaceDN/>
        <w:bidi w:val="0"/>
        <w:adjustRightInd/>
        <w:snapToGrid/>
        <w:spacing w:after="0" w:line="360" w:lineRule="auto"/>
        <w:ind w:firstLineChars="175"/>
        <w:textAlignment w:val="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r>
        <w:rPr>
          <w:rFonts w:hint="eastAsia" w:ascii="仿宋" w:hAnsi="仿宋" w:eastAsia="仿宋" w:cs="仿宋"/>
          <w:color w:val="auto"/>
          <w:sz w:val="24"/>
          <w:highlight w:val="none"/>
          <w:lang w:eastAsia="zh-CN"/>
        </w:rPr>
        <w:t>供应商保证年开机率大于95％（按365天计算），若≤95％则每少一天，相应延长保修期七天。保修期满后，供应商可以继续为设备提供有偿维修服务。</w:t>
      </w:r>
    </w:p>
    <w:p w14:paraId="71AC2ECE">
      <w:pPr>
        <w:pStyle w:val="8"/>
        <w:keepNext w:val="0"/>
        <w:keepLines w:val="0"/>
        <w:pageBreakBefore w:val="0"/>
        <w:widowControl w:val="0"/>
        <w:kinsoku/>
        <w:wordWrap/>
        <w:overflowPunct/>
        <w:topLinePunct w:val="0"/>
        <w:autoSpaceDE/>
        <w:autoSpaceDN/>
        <w:bidi w:val="0"/>
        <w:adjustRightInd/>
        <w:snapToGrid/>
        <w:spacing w:after="0" w:line="360" w:lineRule="auto"/>
        <w:ind w:firstLine="241" w:firstLineChars="100"/>
        <w:textAlignment w:val="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（四）付款方式</w:t>
      </w:r>
    </w:p>
    <w:p w14:paraId="37D580E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合同签订后,设备到货，正式验收合格后，供应商按照法律规定出具等额税费票据、验收合格单、合同总价款5%的银行保函原件（期限：在保修期基础上延长三个月）及合同等相关凭证，采购人收到供应商上述付款材料后15个工作日内，向供应商支付合同总价款的100%支付至供应商指定账户；</w:t>
      </w:r>
    </w:p>
    <w:p w14:paraId="5D08A1E1">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2.开具的5%银行保函有效期为：如保函到期时，设备仍在质保期内，则需重新开具银行保函。 </w:t>
      </w:r>
    </w:p>
    <w:p w14:paraId="34EB00B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3.设备自验收合格之日起2年后，经采购人确认供应商所提供设备无任何产品质量、售后问题，采购人将合同总价款5%的银行保函原件退还给供应商。</w:t>
      </w:r>
    </w:p>
    <w:p w14:paraId="7A0CC4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AFE181"/>
    <w:multiLevelType w:val="singleLevel"/>
    <w:tmpl w:val="DEAFE18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05C46"/>
    <w:rsid w:val="0179007C"/>
    <w:rsid w:val="04240A9B"/>
    <w:rsid w:val="1425646C"/>
    <w:rsid w:val="15905C46"/>
    <w:rsid w:val="17780661"/>
    <w:rsid w:val="1EAC07D7"/>
    <w:rsid w:val="2A18307C"/>
    <w:rsid w:val="39267D3B"/>
    <w:rsid w:val="3A072E70"/>
    <w:rsid w:val="50594B98"/>
    <w:rsid w:val="57BB325E"/>
    <w:rsid w:val="68FE5845"/>
    <w:rsid w:val="710102A7"/>
    <w:rsid w:val="71D4056A"/>
    <w:rsid w:val="725D2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link w:val="12"/>
    <w:qFormat/>
    <w:uiPriority w:val="0"/>
    <w:pPr>
      <w:keepNext/>
      <w:keepLines/>
      <w:spacing w:before="20" w:beforeLines="0" w:after="20" w:afterLines="0" w:line="240" w:lineRule="auto"/>
      <w:outlineLvl w:val="0"/>
    </w:pPr>
    <w:rPr>
      <w:rFonts w:ascii="黑体" w:hAnsi="黑体" w:eastAsia="方正小标宋_GBK" w:cs="黑体"/>
      <w:b/>
      <w:bCs/>
      <w:kern w:val="44"/>
      <w:sz w:val="36"/>
      <w:szCs w:val="72"/>
    </w:rPr>
  </w:style>
  <w:style w:type="paragraph" w:styleId="6">
    <w:name w:val="heading 2"/>
    <w:basedOn w:val="1"/>
    <w:next w:val="1"/>
    <w:link w:val="13"/>
    <w:semiHidden/>
    <w:unhideWhenUsed/>
    <w:qFormat/>
    <w:uiPriority w:val="0"/>
    <w:pPr>
      <w:spacing w:before="50" w:beforeLines="50" w:beforeAutospacing="0" w:after="50" w:afterLines="50" w:afterAutospacing="0"/>
      <w:jc w:val="left"/>
      <w:outlineLvl w:val="1"/>
    </w:pPr>
    <w:rPr>
      <w:rFonts w:hint="eastAsia" w:ascii="宋体" w:hAnsi="宋体" w:eastAsia="宋体" w:cs="宋体"/>
      <w:b/>
      <w:bCs/>
      <w:kern w:val="0"/>
      <w:sz w:val="28"/>
      <w:szCs w:val="36"/>
      <w:lang w:bidi="ar"/>
    </w:rPr>
  </w:style>
  <w:style w:type="paragraph" w:styleId="7">
    <w:name w:val="heading 3"/>
    <w:basedOn w:val="1"/>
    <w:next w:val="1"/>
    <w:semiHidden/>
    <w:unhideWhenUsed/>
    <w:qFormat/>
    <w:uiPriority w:val="0"/>
    <w:pPr>
      <w:keepNext/>
      <w:keepLines/>
      <w:spacing w:before="20" w:after="20" w:line="416" w:lineRule="auto"/>
      <w:outlineLvl w:val="2"/>
    </w:pPr>
    <w:rPr>
      <w:rFonts w:ascii="Times New Roman" w:hAnsi="Times New Roman" w:eastAsia="宋体" w:cs="Times New Roman"/>
      <w:b/>
      <w:bCs/>
      <w:sz w:val="24"/>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表格文字"/>
    <w:basedOn w:val="3"/>
    <w:qFormat/>
    <w:uiPriority w:val="0"/>
    <w:pPr>
      <w:spacing w:before="25" w:after="25"/>
      <w:jc w:val="left"/>
    </w:pPr>
    <w:rPr>
      <w:bCs/>
      <w:spacing w:val="10"/>
      <w:kern w:val="0"/>
      <w:sz w:val="24"/>
      <w:szCs w:val="20"/>
    </w:rPr>
  </w:style>
  <w:style w:type="paragraph" w:styleId="3">
    <w:name w:val="Plain Text"/>
    <w:basedOn w:val="1"/>
    <w:next w:val="4"/>
    <w:qFormat/>
    <w:uiPriority w:val="0"/>
    <w:rPr>
      <w:rFonts w:ascii="宋体" w:hAnsi="Courier New"/>
      <w:szCs w:val="20"/>
    </w:rPr>
  </w:style>
  <w:style w:type="paragraph" w:styleId="4">
    <w:name w:val="toc 2"/>
    <w:basedOn w:val="1"/>
    <w:next w:val="1"/>
    <w:qFormat/>
    <w:uiPriority w:val="0"/>
    <w:pPr>
      <w:ind w:left="420" w:leftChars="200"/>
    </w:pPr>
    <w:rPr>
      <w:rFonts w:ascii="Times New Roman" w:hAnsi="Times New Roman" w:eastAsia="宋体" w:cs="Times New Roman"/>
      <w:szCs w:val="20"/>
    </w:rPr>
  </w:style>
  <w:style w:type="paragraph" w:styleId="8">
    <w:name w:val="Normal Indent"/>
    <w:basedOn w:val="1"/>
    <w:next w:val="1"/>
    <w:qFormat/>
    <w:uiPriority w:val="0"/>
    <w:pPr>
      <w:ind w:firstLine="200" w:firstLineChars="200"/>
    </w:pPr>
  </w:style>
  <w:style w:type="table" w:styleId="10">
    <w:name w:val="Table Grid"/>
    <w:basedOn w:val="9"/>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link w:val="5"/>
    <w:qFormat/>
    <w:uiPriority w:val="0"/>
    <w:rPr>
      <w:rFonts w:ascii="Times New Roman" w:hAnsi="Times New Roman" w:eastAsia="方正小标宋_GBK" w:cs="Times New Roman"/>
      <w:b/>
      <w:bCs/>
      <w:kern w:val="44"/>
      <w:sz w:val="36"/>
      <w:szCs w:val="44"/>
    </w:rPr>
  </w:style>
  <w:style w:type="character" w:customStyle="1" w:styleId="13">
    <w:name w:val="标题 2 Char"/>
    <w:link w:val="6"/>
    <w:qFormat/>
    <w:uiPriority w:val="0"/>
    <w:rPr>
      <w:rFonts w:hint="eastAsia" w:ascii="宋体" w:hAnsi="宋体" w:eastAsia="宋体" w:cs="宋体"/>
      <w:b/>
      <w:bCs/>
      <w:kern w:val="0"/>
      <w:sz w:val="28"/>
      <w:szCs w:val="36"/>
      <w:lang w:bidi="ar"/>
    </w:rPr>
  </w:style>
  <w:style w:type="character" w:customStyle="1" w:styleId="14">
    <w:name w:val="font11"/>
    <w:basedOn w:val="11"/>
    <w:qFormat/>
    <w:uiPriority w:val="0"/>
    <w:rPr>
      <w:rFonts w:hint="eastAsia" w:ascii="宋体" w:hAnsi="宋体" w:eastAsia="宋体" w:cs="宋体"/>
      <w:color w:val="000000"/>
      <w:sz w:val="22"/>
      <w:szCs w:val="22"/>
      <w:u w:val="none"/>
    </w:rPr>
  </w:style>
  <w:style w:type="paragraph" w:customStyle="1" w:styleId="15">
    <w:name w:val="正文 New New New New New New New New New New New New New New New"/>
    <w:qFormat/>
    <w:uiPriority w:val="0"/>
    <w:pPr>
      <w:widowControl w:val="0"/>
      <w:spacing w:line="360" w:lineRule="auto"/>
      <w:jc w:val="both"/>
    </w:pPr>
    <w:rPr>
      <w:rFonts w:ascii="宋体" w:hAnsi="宋体" w:eastAsia="宋体" w:cs="宋体"/>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3613</Words>
  <Characters>4166</Characters>
  <Lines>0</Lines>
  <Paragraphs>0</Paragraphs>
  <TotalTime>0</TotalTime>
  <ScaleCrop>false</ScaleCrop>
  <LinksUpToDate>false</LinksUpToDate>
  <CharactersWithSpaces>4262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2025-09-08T10:22:00Z</dcterms:created>
  <dc:creator>HNCZ</dc:creator>
  <cp:lastModifiedBy>HNCZ</cp:lastModifiedBy>
  <dcterms:modified xsi:type="dcterms:W3CDTF">2025-09-09T02:58:03Z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E9AEB84F87504AE8B80CB35D4FE55540_11</vt:lpwstr>
  </property>
  <property fmtid="{D5CDD505-2E9C-101B-9397-08002B2CF9AE}" pid="4" name="KSOTemplateDocerSaveRecord">
    <vt:lpwstr>eyJoZGlkIjoiMzdjMTBjMTRiZDc4ZDZhYzMyZDY4YWE4MDNjZmRhOGIiLCJ1c2VySWQiOiI2MzU0ODc5NTgifQ==</vt:lpwstr>
  </property>
</Properties>
</file>