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海南省级融媒体中心及融合技术平台“南海云”运维服务项目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HXY2025-179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中共海南省委宣传部</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海南和信源招标代理有限公司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中共海南省委宣传部</w:t>
      </w:r>
      <w:r>
        <w:rPr>
          <w:rFonts w:ascii="仿宋_GB2312" w:hAnsi="仿宋_GB2312" w:cs="仿宋_GB2312" w:eastAsia="仿宋_GB2312"/>
        </w:rPr>
        <w:t xml:space="preserve"> 的委托， </w:t>
      </w:r>
      <w:r>
        <w:rPr>
          <w:rFonts w:ascii="仿宋_GB2312" w:hAnsi="仿宋_GB2312" w:cs="仿宋_GB2312" w:eastAsia="仿宋_GB2312"/>
        </w:rPr>
        <w:t>海南和信源招标代理有限公司</w:t>
      </w:r>
      <w:r>
        <w:rPr>
          <w:rFonts w:ascii="仿宋_GB2312" w:hAnsi="仿宋_GB2312" w:cs="仿宋_GB2312" w:eastAsia="仿宋_GB2312"/>
        </w:rPr>
        <w:t xml:space="preserve"> 对 </w:t>
      </w:r>
      <w:r>
        <w:rPr>
          <w:rFonts w:ascii="仿宋_GB2312" w:hAnsi="仿宋_GB2312" w:cs="仿宋_GB2312" w:eastAsia="仿宋_GB2312"/>
        </w:rPr>
        <w:t>海南省级融媒体中心及融合技术平台“南海云”运维服务项目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HXY2025-179</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海南省级融媒体中心及融合技术平台“南海云”运维服务项目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3,015,948.22元</w:t>
      </w:r>
      <w:r>
        <w:rPr>
          <w:rFonts w:ascii="仿宋_GB2312" w:hAnsi="仿宋_GB2312" w:cs="仿宋_GB2312" w:eastAsia="仿宋_GB2312"/>
        </w:rPr>
        <w:t>叁佰零壹万伍仟玖佰肆拾捌元贰角贰分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1年（自2025年8月29日至2026年8月28日）</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用户通知进场后60天内交付测评报告</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下达测评通知书后60天内交付《信息系统商用密码应用安全性评估报告》。</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供应商需具备公安部第三研究所颁发的《网络安全服务认证证书等级保护测评服务认证》或《网络安全等级测评与检测评估机构服务认证证书》(须提供证书复印件并加盖公章)：供应商需具备公安部第三研究所颁发的《网络安全服务认证证书等级保护测评服务认证》或《网络安全等级测评与检测评估机构服务认证证书》(须提供证书复印件并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供应商需具有国家密码管理局颁发的《商用密码检测机构资质证书》且业务范围为商用密码应用安全性评估(须提供证书复印件并加盖公章)。：供应商需具有国家密码管理局颁发的《商用密码检测机构资质证书》且业务范围为商用密码应用安全性评估(须提供证书复印件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中国政府采购网海南分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2、投标人须在海南政府采购网 (https://ccgp-hainan.gov.cn/)中的海南省政府采购智慧云平台进行注册并完善信息，然后下载参与投标项目电子招标文件（数据包）及其他文件；3、电子标：本项目采用全程电子化操作，必须使用投标工具（下载专区下载）制作电子版的投标文件， 并使用数字证书（http://www.qqsoftware.cn/hnhxy-cfca/）进行签字和加密，投标截止时间前，必须登录系统上传加密的电子投标文件；供应商使用交易系统遇到问题请拨打以下热线电话： 热线一：4001691288；本项目需使用CA锁，CA数字证书认证咨询电话：0898-65328224；4、本项目为远程不见面开标，供应商无须到达开标现场，但开标前必须进入电子开标大厅在线签到（未签到视为无效投标），远程按时参加在线开标解密即可；5、注意事项：电子标采用全程电子化操作，供应商应详细阅读海南政府采购网的通知《海南省财政厅关于进一步推进政府采购全流程电子化的通知》。 6、采购项目需落实的政府采购政策：本项目支持政府采购促进中小企业发展政策、政府采购支持监狱企业发展政策、促进残疾人就业政府采购政策、政府采购优先采购节能产品政策、政府采购优先采购环境标志产品政策、扶持不发达地区和少数民族地区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中共海南省委宣传部</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海南省海口市国兴大道69号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0898-65348111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海南和信源招标代理有限公司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海南省海口市美兰区蓝天路12-1号国机中洋公馆2号楼2-1101房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0898-65328224</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采购包1：1,736,000.00元</w:t>
            </w:r>
          </w:p>
          <w:p>
            <w:pPr>
              <w:pStyle w:val="null3"/>
              <w:jc w:val="left"/>
            </w:pPr>
            <w:r>
              <w:rPr>
                <w:rFonts w:ascii="仿宋_GB2312" w:hAnsi="仿宋_GB2312" w:cs="仿宋_GB2312" w:eastAsia="仿宋_GB2312"/>
              </w:rPr>
              <w:t>采购包2：511,000.00元</w:t>
            </w:r>
          </w:p>
          <w:p>
            <w:pPr>
              <w:pStyle w:val="null3"/>
              <w:jc w:val="left"/>
            </w:pPr>
            <w:r>
              <w:rPr>
                <w:rFonts w:ascii="仿宋_GB2312" w:hAnsi="仿宋_GB2312" w:cs="仿宋_GB2312" w:eastAsia="仿宋_GB2312"/>
              </w:rPr>
              <w:t>采购包3：768,948.22元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自递交投标文件截止之日起60日历天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国家发展改革委关于进一步放开建设项目专业服务价格的通知》发改价格〔2015〕299号文件规定，双方同意招标代理服务费参照国家发展计划委员会计价格[2002]1980号的《招标代理服务收费管理暂行办法》标准，以预算金额为基数下浮18%取整收取代理服务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联系人：李女士</w:t>
      </w:r>
    </w:p>
    <w:p>
      <w:pPr>
        <w:pStyle w:val="null3"/>
        <w:jc w:val="left"/>
      </w:pPr>
      <w:r>
        <w:rPr>
          <w:rFonts w:ascii="仿宋_GB2312" w:hAnsi="仿宋_GB2312" w:cs="仿宋_GB2312" w:eastAsia="仿宋_GB2312"/>
        </w:rPr>
        <w:t>联系电话：0898-65328224</w:t>
      </w:r>
    </w:p>
    <w:p>
      <w:pPr>
        <w:pStyle w:val="null3"/>
        <w:jc w:val="left"/>
      </w:pPr>
      <w:r>
        <w:rPr>
          <w:rFonts w:ascii="仿宋_GB2312" w:hAnsi="仿宋_GB2312" w:cs="仿宋_GB2312" w:eastAsia="仿宋_GB2312"/>
        </w:rPr>
        <w:t>地址：海南省海口市美兰区蓝天路12-1号国机中洋公馆2号楼2-1101房</w:t>
      </w:r>
    </w:p>
    <w:p>
      <w:pPr>
        <w:pStyle w:val="null3"/>
        <w:jc w:val="left"/>
      </w:pPr>
      <w:r>
        <w:rPr>
          <w:rFonts w:ascii="仿宋_GB2312" w:hAnsi="仿宋_GB2312" w:cs="仿宋_GB2312" w:eastAsia="仿宋_GB2312"/>
        </w:rPr>
        <w:t>邮编：570203</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rPr>
        <w:t>（一）项目概况</w:t>
      </w:r>
    </w:p>
    <w:p>
      <w:pPr>
        <w:pStyle w:val="null3"/>
        <w:ind w:firstLine="640"/>
        <w:jc w:val="left"/>
      </w:pPr>
      <w:r>
        <w:rPr>
          <w:rFonts w:ascii="仿宋_GB2312" w:hAnsi="仿宋_GB2312" w:cs="仿宋_GB2312" w:eastAsia="仿宋_GB2312"/>
          <w:sz w:val="21"/>
        </w:rPr>
        <w:t>采购包</w:t>
      </w:r>
      <w:r>
        <w:rPr>
          <w:rFonts w:ascii="仿宋_GB2312" w:hAnsi="仿宋_GB2312" w:cs="仿宋_GB2312" w:eastAsia="仿宋_GB2312"/>
          <w:sz w:val="21"/>
        </w:rPr>
        <w:t>1：海南省级融媒体中心及融合技术平台是按照“全省一平台、全域一盘棋、全岛一张网”的总体规划原则，围绕“全省一体化、作业全媒化、运行智能化、协同高效化、传播全球化”的目标，建设全省跨媒体融合指挥中枢，构建的“播、视、报、网”全媒体融合的新闻生产机制和指挥调控体系，打造的全媒体融合的生态型平台。</w:t>
      </w:r>
    </w:p>
    <w:p>
      <w:pPr>
        <w:pStyle w:val="null3"/>
        <w:ind w:firstLine="640"/>
        <w:jc w:val="left"/>
      </w:pPr>
      <w:r>
        <w:rPr>
          <w:rFonts w:ascii="仿宋_GB2312" w:hAnsi="仿宋_GB2312" w:cs="仿宋_GB2312" w:eastAsia="仿宋_GB2312"/>
          <w:sz w:val="21"/>
        </w:rPr>
        <w:t>为保障海南省级融媒体中心及融合技术平台的跨媒体融合指挥中枢及</w:t>
      </w:r>
      <w:r>
        <w:rPr>
          <w:rFonts w:ascii="仿宋_GB2312" w:hAnsi="仿宋_GB2312" w:cs="仿宋_GB2312" w:eastAsia="仿宋_GB2312"/>
          <w:sz w:val="21"/>
        </w:rPr>
        <w:t>“播、视、报、网”全媒体生产机制，将购买该平台所需的链路、 公有云资源、 直播流媒体服务资源等服务，全面构建省级融媒体中心的稳固基石，实现全媒体融合生态型平台的可持续运营与性能跃升。</w:t>
      </w:r>
    </w:p>
    <w:p>
      <w:pPr>
        <w:pStyle w:val="null3"/>
        <w:ind w:firstLine="640"/>
        <w:jc w:val="left"/>
      </w:pPr>
      <w:r>
        <w:rPr>
          <w:rFonts w:ascii="仿宋_GB2312" w:hAnsi="仿宋_GB2312" w:cs="仿宋_GB2312" w:eastAsia="仿宋_GB2312"/>
          <w:sz w:val="21"/>
        </w:rPr>
        <w:t>采购包</w:t>
      </w:r>
      <w:r>
        <w:rPr>
          <w:rFonts w:ascii="仿宋_GB2312" w:hAnsi="仿宋_GB2312" w:cs="仿宋_GB2312" w:eastAsia="仿宋_GB2312"/>
          <w:sz w:val="21"/>
        </w:rPr>
        <w:t>2：通过委托专业的网络安全等级保护测评服务机构，对用户方的信息系统安全保护等级进行需求分析，并协助用户方完成等保备案相关事宜。依据《信息安全技术 网络安全等级保护基本要求》(GB/T 22239-2019)、《信息安全技术 网络安全等级保护测评要求》（GB/T 28448-2019），对信息系统的物理机房、网络结构、应用系统、主机、网络及安全设备等进行合规性检查，分析信息系统与安全保护等级要求之间的差距，出具《网络安全等级保护测评报告》。</w:t>
      </w:r>
    </w:p>
    <w:p>
      <w:pPr>
        <w:pStyle w:val="null3"/>
        <w:ind w:firstLine="640"/>
        <w:jc w:val="left"/>
      </w:pPr>
      <w:r>
        <w:rPr>
          <w:rFonts w:ascii="仿宋_GB2312" w:hAnsi="仿宋_GB2312" w:cs="仿宋_GB2312" w:eastAsia="仿宋_GB2312"/>
          <w:sz w:val="21"/>
        </w:rPr>
        <w:t>采购包</w:t>
      </w:r>
      <w:r>
        <w:rPr>
          <w:rFonts w:ascii="仿宋_GB2312" w:hAnsi="仿宋_GB2312" w:cs="仿宋_GB2312" w:eastAsia="仿宋_GB2312"/>
          <w:sz w:val="21"/>
        </w:rPr>
        <w:t>3：当前，网络安全已经成为国家安全的重要组成部分，没有网络安全就没有国家安全。近年来，网络空间安全事件频发。面对国内外越来越严峻的网络安全的形势，网络安全提升到国家战略高度，而密码技术又是与核技术、航天技术并称为国家三大“撒手锏”，因此国产密码应用推进提到新的日程。《中华人民共和国密码法》、《中华人民共和国网络安全法》等法律法规明确要求，重要领域网络和信息系统，应当采用国产密码进行保护，做到同步规划、同步建设、同步运行并定期评估。</w:t>
      </w:r>
    </w:p>
    <w:p>
      <w:pPr>
        <w:pStyle w:val="null3"/>
        <w:ind w:firstLine="480"/>
        <w:jc w:val="both"/>
      </w:pPr>
      <w:r>
        <w:rPr>
          <w:rFonts w:ascii="仿宋_GB2312" w:hAnsi="仿宋_GB2312" w:cs="仿宋_GB2312" w:eastAsia="仿宋_GB2312"/>
          <w:sz w:val="21"/>
        </w:rPr>
        <w:t>对重要领域重要信息系统开展商用密码应用安全性评估，是《中华人民共和国密码法》和中央有关文件的明确要求，是落实总体国家安全观和网络强国战略的具体行动，是深入推进重要领域密码应用的必然要求。开展商用密码应用安全性评估工作，不仅对规范密码应用具有重大意义，同时对维护网络和信息系统密码安全，切实保障网络安全，有效应对各类网络安全风险，也具有不可替代的重要作用。</w:t>
      </w:r>
    </w:p>
    <w:p>
      <w:pPr>
        <w:pStyle w:val="null3"/>
        <w:ind w:firstLine="64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1,736,000.00</w:t>
      </w:r>
    </w:p>
    <w:p>
      <w:pPr>
        <w:pStyle w:val="null3"/>
        <w:jc w:val="left"/>
      </w:pPr>
      <w:r>
        <w:rPr>
          <w:rFonts w:ascii="仿宋_GB2312" w:hAnsi="仿宋_GB2312" w:cs="仿宋_GB2312" w:eastAsia="仿宋_GB2312"/>
        </w:rPr>
        <w:t>采购包最高限价（元）: 1,736,000.00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海南省级融媒体中心及融合技术平台“南海云”运维服务项目 （链路）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1,736,000.00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511,000.00</w:t>
      </w:r>
    </w:p>
    <w:p>
      <w:pPr>
        <w:pStyle w:val="null3"/>
        <w:jc w:val="left"/>
      </w:pPr>
      <w:r>
        <w:rPr>
          <w:rFonts w:ascii="仿宋_GB2312" w:hAnsi="仿宋_GB2312" w:cs="仿宋_GB2312" w:eastAsia="仿宋_GB2312"/>
        </w:rPr>
        <w:t>采购包最高限价（元）: 511,000.00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海南省级融媒体中心及融合技术平台“南海云”运维服务项目 （等保测评）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511,000.00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768,948.22</w:t>
      </w:r>
    </w:p>
    <w:p>
      <w:pPr>
        <w:pStyle w:val="null3"/>
        <w:jc w:val="left"/>
      </w:pPr>
      <w:r>
        <w:rPr>
          <w:rFonts w:ascii="仿宋_GB2312" w:hAnsi="仿宋_GB2312" w:cs="仿宋_GB2312" w:eastAsia="仿宋_GB2312"/>
        </w:rPr>
        <w:t>采购包最高限价（元）: 768,948.22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海南省级融媒体中心及融合技术平台“南海云”运维服务项目 （密评）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768,948.22</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海南省级融媒体中心及融合技术平台“南海云”运维服务项目 （链路）</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海南省级融媒体中心及融合技术平台“南海云”运维服务项目 （等保测评）</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海南省级融媒体中心及融合技术平台“南海云”运维服务项目 （密评）</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768,948.22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标的名称：海南省级融媒体中心及融合技术平台“南海云”运维服务项目 （链路）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一、项目名称</w:t>
            </w:r>
            <w:r>
              <w:rPr>
                <w:rFonts w:ascii="仿宋_GB2312" w:hAnsi="仿宋_GB2312" w:cs="仿宋_GB2312" w:eastAsia="仿宋_GB2312"/>
                <w:sz w:val="21"/>
              </w:rPr>
              <w:t>：海南省级融媒体中心及融合技术平台</w:t>
            </w:r>
            <w:r>
              <w:rPr>
                <w:rFonts w:ascii="仿宋_GB2312" w:hAnsi="仿宋_GB2312" w:cs="仿宋_GB2312" w:eastAsia="仿宋_GB2312"/>
                <w:sz w:val="21"/>
              </w:rPr>
              <w:t>“南海云”运维服务项目</w:t>
            </w:r>
          </w:p>
          <w:p>
            <w:pPr>
              <w:pStyle w:val="null3"/>
              <w:jc w:val="both"/>
            </w:pPr>
            <w:r>
              <w:rPr>
                <w:rFonts w:ascii="仿宋_GB2312" w:hAnsi="仿宋_GB2312" w:cs="仿宋_GB2312" w:eastAsia="仿宋_GB2312"/>
                <w:sz w:val="21"/>
                <w:b/>
              </w:rPr>
              <w:t>二、项目背景</w:t>
            </w:r>
          </w:p>
          <w:p>
            <w:pPr>
              <w:pStyle w:val="null3"/>
              <w:ind w:firstLine="640"/>
              <w:jc w:val="both"/>
            </w:pPr>
            <w:r>
              <w:rPr>
                <w:rFonts w:ascii="仿宋_GB2312" w:hAnsi="仿宋_GB2312" w:cs="仿宋_GB2312" w:eastAsia="仿宋_GB2312"/>
                <w:sz w:val="21"/>
              </w:rPr>
              <w:t>海南省级融媒体中心及融合技术平台是按照</w:t>
            </w:r>
            <w:r>
              <w:rPr>
                <w:rFonts w:ascii="仿宋_GB2312" w:hAnsi="仿宋_GB2312" w:cs="仿宋_GB2312" w:eastAsia="仿宋_GB2312"/>
                <w:sz w:val="21"/>
              </w:rPr>
              <w:t>“全省一平台、全域一盘棋、全岛一张网”的总体规划原则，围绕“全省一体化、作业全媒化、运行智能化、协同高效化、传播全球化”的目标，建设全省跨媒体融合指挥中枢，构建的“播、视、报、网”全媒体融合的新闻生产机制和指挥调控体系，打造的全媒体融合的生态型平台。</w:t>
            </w:r>
          </w:p>
          <w:p>
            <w:pPr>
              <w:pStyle w:val="null3"/>
              <w:ind w:firstLine="640"/>
              <w:jc w:val="both"/>
            </w:pPr>
            <w:r>
              <w:rPr>
                <w:rFonts w:ascii="仿宋_GB2312" w:hAnsi="仿宋_GB2312" w:cs="仿宋_GB2312" w:eastAsia="仿宋_GB2312"/>
                <w:sz w:val="21"/>
              </w:rPr>
              <w:t>为保障海南省级融媒体中心及融合技术平台的跨媒体融合指挥中枢及</w:t>
            </w:r>
            <w:r>
              <w:rPr>
                <w:rFonts w:ascii="仿宋_GB2312" w:hAnsi="仿宋_GB2312" w:cs="仿宋_GB2312" w:eastAsia="仿宋_GB2312"/>
                <w:sz w:val="21"/>
              </w:rPr>
              <w:t>“播、视、报、网”全媒体生产机制，将购买该平台所需的链路、 公有云资源、 直播流媒体服务资源等服务，全面构建省级融媒体中心的稳固基石，实现全媒体融合生态型平台的可持续运营与性能跃升。</w:t>
            </w:r>
          </w:p>
          <w:p>
            <w:pPr>
              <w:pStyle w:val="null3"/>
              <w:jc w:val="both"/>
            </w:pPr>
            <w:r>
              <w:rPr>
                <w:rFonts w:ascii="仿宋_GB2312" w:hAnsi="仿宋_GB2312" w:cs="仿宋_GB2312" w:eastAsia="仿宋_GB2312"/>
                <w:sz w:val="21"/>
                <w:b/>
              </w:rPr>
              <w:t>三、项目内容</w:t>
            </w:r>
          </w:p>
          <w:p>
            <w:pPr>
              <w:pStyle w:val="null3"/>
              <w:ind w:left="420"/>
              <w:jc w:val="both"/>
            </w:pPr>
            <w:r>
              <w:rPr>
                <w:rFonts w:ascii="仿宋_GB2312" w:hAnsi="仿宋_GB2312" w:cs="仿宋_GB2312" w:eastAsia="仿宋_GB2312"/>
                <w:sz w:val="21"/>
                <w:b/>
              </w:rPr>
              <w:t>（一）采购清单</w:t>
            </w:r>
          </w:p>
          <w:tbl>
            <w:tblPr>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255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裸纤、专线服务清单：</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采购品目名称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服务内容</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数据专线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shd w:fill="FFFF00" w:val="clear"/>
                    </w:rPr>
                    <w:t>1.</w:t>
                  </w:r>
                  <w:r>
                    <w:rPr>
                      <w:rFonts w:ascii="仿宋_GB2312" w:hAnsi="仿宋_GB2312" w:cs="仿宋_GB2312" w:eastAsia="仿宋_GB2312"/>
                      <w:sz w:val="21"/>
                    </w:rPr>
                    <w:t>链接点位：海南省融媒体中心至中共海南省委宣传部</w:t>
                  </w:r>
                </w:p>
                <w:p>
                  <w:pPr>
                    <w:pStyle w:val="null3"/>
                    <w:jc w:val="both"/>
                  </w:pPr>
                  <w:r>
                    <w:rPr>
                      <w:rFonts w:ascii="仿宋_GB2312" w:hAnsi="仿宋_GB2312" w:cs="仿宋_GB2312" w:eastAsia="仿宋_GB2312"/>
                      <w:sz w:val="21"/>
                      <w:shd w:fill="FFFF00" w:val="clear"/>
                    </w:rPr>
                    <w:t>2.</w:t>
                  </w:r>
                  <w:r>
                    <w:rPr>
                      <w:rFonts w:ascii="仿宋_GB2312" w:hAnsi="仿宋_GB2312" w:cs="仿宋_GB2312" w:eastAsia="仿宋_GB2312"/>
                      <w:sz w:val="21"/>
                    </w:rPr>
                    <w:t>带宽：</w:t>
                  </w:r>
                  <w:r>
                    <w:rPr>
                      <w:rFonts w:ascii="仿宋_GB2312" w:hAnsi="仿宋_GB2312" w:cs="仿宋_GB2312" w:eastAsia="仿宋_GB2312"/>
                      <w:sz w:val="21"/>
                    </w:rPr>
                    <w:t>1000M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裸纤链路</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shd w:fill="FFFF00" w:val="clear"/>
                    </w:rPr>
                    <w:t>1.</w:t>
                  </w:r>
                  <w:r>
                    <w:rPr>
                      <w:rFonts w:ascii="仿宋_GB2312" w:hAnsi="仿宋_GB2312" w:cs="仿宋_GB2312" w:eastAsia="仿宋_GB2312"/>
                      <w:sz w:val="21"/>
                    </w:rPr>
                    <w:t>链接点位：海南省融媒体中心至海南省广播电视总台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互联网专线</w:t>
                  </w:r>
                  <w:r>
                    <w:rPr>
                      <w:rFonts w:ascii="仿宋_GB2312" w:hAnsi="仿宋_GB2312" w:cs="仿宋_GB2312" w:eastAsia="仿宋_GB2312"/>
                      <w:sz w:val="21"/>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shd w:fill="FFFF00" w:val="clear"/>
                    </w:rPr>
                    <w:t>1.</w:t>
                  </w:r>
                  <w:r>
                    <w:rPr>
                      <w:rFonts w:ascii="仿宋_GB2312" w:hAnsi="仿宋_GB2312" w:cs="仿宋_GB2312" w:eastAsia="仿宋_GB2312"/>
                      <w:sz w:val="21"/>
                    </w:rPr>
                    <w:t>链接点位：省融媒体中心</w:t>
                  </w:r>
                </w:p>
                <w:p>
                  <w:pPr>
                    <w:pStyle w:val="null3"/>
                    <w:jc w:val="left"/>
                  </w:pPr>
                  <w:r>
                    <w:rPr>
                      <w:rFonts w:ascii="仿宋_GB2312" w:hAnsi="仿宋_GB2312" w:cs="仿宋_GB2312" w:eastAsia="仿宋_GB2312"/>
                      <w:sz w:val="21"/>
                      <w:shd w:fill="FFFF00" w:val="clear"/>
                    </w:rPr>
                    <w:t>2.</w:t>
                  </w:r>
                  <w:r>
                    <w:rPr>
                      <w:rFonts w:ascii="仿宋_GB2312" w:hAnsi="仿宋_GB2312" w:cs="仿宋_GB2312" w:eastAsia="仿宋_GB2312"/>
                      <w:sz w:val="21"/>
                    </w:rPr>
                    <w:t>带宽：</w:t>
                  </w:r>
                  <w:r>
                    <w:rPr>
                      <w:rFonts w:ascii="仿宋_GB2312" w:hAnsi="仿宋_GB2312" w:cs="仿宋_GB2312" w:eastAsia="仿宋_GB2312"/>
                      <w:sz w:val="21"/>
                    </w:rPr>
                    <w:t>1000M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互联网专线</w:t>
                  </w:r>
                  <w:r>
                    <w:rPr>
                      <w:rFonts w:ascii="仿宋_GB2312" w:hAnsi="仿宋_GB2312" w:cs="仿宋_GB2312" w:eastAsia="仿宋_GB2312"/>
                      <w:sz w:val="21"/>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链接点位：省融媒体中心</w:t>
                  </w:r>
                </w:p>
                <w:p>
                  <w:pPr>
                    <w:pStyle w:val="null3"/>
                    <w:jc w:val="left"/>
                  </w:pPr>
                  <w:r>
                    <w:rPr>
                      <w:rFonts w:ascii="仿宋_GB2312" w:hAnsi="仿宋_GB2312" w:cs="仿宋_GB2312" w:eastAsia="仿宋_GB2312"/>
                      <w:sz w:val="21"/>
                      <w:shd w:fill="FFFF00" w:val="clear"/>
                    </w:rPr>
                    <w:t>2.</w:t>
                  </w:r>
                  <w:r>
                    <w:rPr>
                      <w:rFonts w:ascii="仿宋_GB2312" w:hAnsi="仿宋_GB2312" w:cs="仿宋_GB2312" w:eastAsia="仿宋_GB2312"/>
                      <w:sz w:val="21"/>
                    </w:rPr>
                    <w:t>带宽：</w:t>
                  </w:r>
                  <w:r>
                    <w:rPr>
                      <w:rFonts w:ascii="仿宋_GB2312" w:hAnsi="仿宋_GB2312" w:cs="仿宋_GB2312" w:eastAsia="仿宋_GB2312"/>
                      <w:sz w:val="21"/>
                    </w:rPr>
                    <w:t>600M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公有云资源服务清单：</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采购品目名称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服务内容</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云主机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1、▲单台配置，CPU≥8核，内存≥16G</w:t>
                  </w:r>
                </w:p>
                <w:p>
                  <w:pPr>
                    <w:pStyle w:val="null3"/>
                    <w:jc w:val="left"/>
                  </w:pPr>
                  <w:r>
                    <w:rPr>
                      <w:rFonts w:ascii="仿宋_GB2312" w:hAnsi="仿宋_GB2312" w:cs="仿宋_GB2312" w:eastAsia="仿宋_GB2312"/>
                      <w:sz w:val="21"/>
                    </w:rPr>
                    <w:t>2、支持通过控制中心对云主机进行开机、关机、重启、制作镜像、重置密码、变配、编辑云主机属性等操作。需要提供相应功能截图证明并加盖公章。</w:t>
                  </w:r>
                </w:p>
                <w:p>
                  <w:pPr>
                    <w:pStyle w:val="null3"/>
                    <w:jc w:val="left"/>
                  </w:pPr>
                  <w:r>
                    <w:rPr>
                      <w:rFonts w:ascii="仿宋_GB2312" w:hAnsi="仿宋_GB2312" w:cs="仿宋_GB2312" w:eastAsia="仿宋_GB2312"/>
                      <w:sz w:val="21"/>
                    </w:rPr>
                    <w:t>3、支持通过控制中心对云主机进行一键重装，为了方便用户使用，重装时可设置密码、配置用户数据、选择重装后是否开机等。需要提供相应功能截图证明并加盖公章。</w:t>
                  </w:r>
                </w:p>
                <w:p>
                  <w:pPr>
                    <w:pStyle w:val="null3"/>
                    <w:jc w:val="left"/>
                  </w:pPr>
                  <w:r>
                    <w:rPr>
                      <w:rFonts w:ascii="仿宋_GB2312" w:hAnsi="仿宋_GB2312" w:cs="仿宋_GB2312" w:eastAsia="仿宋_GB2312"/>
                      <w:sz w:val="21"/>
                    </w:rPr>
                    <w:t>4、支持镜像管理功能，可管理的镜像包括：公共镜像、私有镜像、共享镜像、安全产品镜像、应用镜像等。公共镜像支持Centos、Windows、KylinOS（银河麒麟）、UOS（统信）、Anolis（龙蜥）、OpenEuler（欧拉）等。</w:t>
                  </w:r>
                </w:p>
                <w:p>
                  <w:pPr>
                    <w:pStyle w:val="null3"/>
                    <w:jc w:val="left"/>
                  </w:pPr>
                  <w:r>
                    <w:rPr>
                      <w:rFonts w:ascii="仿宋_GB2312" w:hAnsi="仿宋_GB2312" w:cs="仿宋_GB2312" w:eastAsia="仿宋_GB2312"/>
                      <w:sz w:val="21"/>
                    </w:rPr>
                    <w:t>5、支持创建私有镜像功能，创建时支持选择私有镜像类型，包括系统盘镜像、数据盘镜像等；可选择云主机、镜像文件等镜像源创建私有镜像；支持私有镜像导出。</w:t>
                  </w:r>
                </w:p>
                <w:p>
                  <w:pPr>
                    <w:pStyle w:val="null3"/>
                    <w:jc w:val="left"/>
                  </w:pPr>
                  <w:r>
                    <w:rPr>
                      <w:rFonts w:ascii="仿宋_GB2312" w:hAnsi="仿宋_GB2312" w:cs="仿宋_GB2312" w:eastAsia="仿宋_GB2312"/>
                      <w:sz w:val="21"/>
                    </w:rPr>
                    <w:t>6、▲支持创建云主机组，云主机组支持配置强制反亲和性、强制亲和性、反亲和性、亲和性等策略。需要提供相应功能截图证明并加盖公章。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1、▲单台配置，CPU≥16核，内存≥32G</w:t>
                  </w:r>
                </w:p>
                <w:p>
                  <w:pPr>
                    <w:pStyle w:val="null3"/>
                    <w:jc w:val="left"/>
                  </w:pPr>
                  <w:r>
                    <w:rPr>
                      <w:rFonts w:ascii="仿宋_GB2312" w:hAnsi="仿宋_GB2312" w:cs="仿宋_GB2312" w:eastAsia="仿宋_GB2312"/>
                      <w:sz w:val="21"/>
                    </w:rPr>
                    <w:t>2、支持通过控制中心对云主机进行开机、关机、重启、制作镜像、重置密码、变配、编辑云主机属性等操作。需要提供相应功能截图证明并加盖公章。</w:t>
                  </w:r>
                </w:p>
                <w:p>
                  <w:pPr>
                    <w:pStyle w:val="null3"/>
                    <w:jc w:val="left"/>
                  </w:pPr>
                  <w:r>
                    <w:rPr>
                      <w:rFonts w:ascii="仿宋_GB2312" w:hAnsi="仿宋_GB2312" w:cs="仿宋_GB2312" w:eastAsia="仿宋_GB2312"/>
                      <w:sz w:val="21"/>
                    </w:rPr>
                    <w:t>3、支持通过控制中心对云主机进行一键重装，为了方便用户使用，重装时可设置密码、配置用户数据、选择重装后是否开机等。需要提供相应功能截图证明并加盖公章。</w:t>
                  </w:r>
                </w:p>
                <w:p>
                  <w:pPr>
                    <w:pStyle w:val="null3"/>
                    <w:jc w:val="left"/>
                  </w:pPr>
                  <w:r>
                    <w:rPr>
                      <w:rFonts w:ascii="仿宋_GB2312" w:hAnsi="仿宋_GB2312" w:cs="仿宋_GB2312" w:eastAsia="仿宋_GB2312"/>
                      <w:sz w:val="21"/>
                    </w:rPr>
                    <w:t>4、支持镜像管理功能，可管理的镜像包括：公共镜像、私有镜像、共享镜像、安全产品镜像、应用镜像等。公共镜像支持Centos、Windows、KylinOS（银河麒麟）、UOS（统信）、Anolis（龙蜥）、OpenEuler（欧拉）等。</w:t>
                  </w:r>
                </w:p>
                <w:p>
                  <w:pPr>
                    <w:pStyle w:val="null3"/>
                    <w:jc w:val="left"/>
                  </w:pPr>
                  <w:r>
                    <w:rPr>
                      <w:rFonts w:ascii="仿宋_GB2312" w:hAnsi="仿宋_GB2312" w:cs="仿宋_GB2312" w:eastAsia="仿宋_GB2312"/>
                      <w:sz w:val="21"/>
                    </w:rPr>
                    <w:t>5、支持创建私有镜像功能，创建时支持选择私有镜像类型，包括系统盘镜像、数据盘镜像等；可选择云主机、镜像文件等镜像源创建私有镜像；支持私有镜像导出。</w:t>
                  </w:r>
                </w:p>
                <w:p>
                  <w:pPr>
                    <w:pStyle w:val="null3"/>
                    <w:jc w:val="left"/>
                  </w:pPr>
                  <w:r>
                    <w:rPr>
                      <w:rFonts w:ascii="仿宋_GB2312" w:hAnsi="仿宋_GB2312" w:cs="仿宋_GB2312" w:eastAsia="仿宋_GB2312"/>
                      <w:sz w:val="21"/>
                    </w:rPr>
                    <w:t>6、▲支持创建云主机组，云主机组支持配置强制反亲和性、强制亲和性、反亲和性、亲和性等策略。需要提供相应功能截图证明并加盖公章。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云硬盘</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1、▲≥240GB，SAS</w:t>
                  </w:r>
                </w:p>
                <w:p>
                  <w:pPr>
                    <w:pStyle w:val="null3"/>
                    <w:jc w:val="left"/>
                  </w:pPr>
                  <w:r>
                    <w:rPr>
                      <w:rFonts w:ascii="仿宋_GB2312" w:hAnsi="仿宋_GB2312" w:cs="仿宋_GB2312" w:eastAsia="仿宋_GB2312"/>
                      <w:sz w:val="21"/>
                    </w:rPr>
                    <w:t>2、SAS型云硬盘的最大IOPS可达5000，最大吞吐量可达200MB/s。</w:t>
                  </w:r>
                </w:p>
                <w:p>
                  <w:pPr>
                    <w:pStyle w:val="null3"/>
                    <w:jc w:val="left"/>
                  </w:pPr>
                  <w:r>
                    <w:rPr>
                      <w:rFonts w:ascii="仿宋_GB2312" w:hAnsi="仿宋_GB2312" w:cs="仿宋_GB2312" w:eastAsia="仿宋_GB2312"/>
                      <w:sz w:val="21"/>
                    </w:rPr>
                    <w:t>3、采用分布式存储技术，底层通过多副本等技术进行冗余，有效避免因硬件故障导致的数据丢失。</w:t>
                  </w:r>
                </w:p>
                <w:p>
                  <w:pPr>
                    <w:pStyle w:val="null3"/>
                    <w:jc w:val="left"/>
                  </w:pPr>
                  <w:r>
                    <w:rPr>
                      <w:rFonts w:ascii="仿宋_GB2312" w:hAnsi="仿宋_GB2312" w:cs="仿宋_GB2312" w:eastAsia="仿宋_GB2312"/>
                      <w:sz w:val="21"/>
                    </w:rPr>
                    <w:t>4、支持对云硬盘进行挂载、卸载、扩容等操作。</w:t>
                  </w:r>
                </w:p>
                <w:p>
                  <w:pPr>
                    <w:pStyle w:val="null3"/>
                    <w:jc w:val="left"/>
                  </w:pPr>
                  <w:r>
                    <w:rPr>
                      <w:rFonts w:ascii="仿宋_GB2312" w:hAnsi="仿宋_GB2312" w:cs="仿宋_GB2312" w:eastAsia="仿宋_GB2312"/>
                      <w:sz w:val="21"/>
                    </w:rPr>
                    <w:t>5、支持从数据源创建云硬盘，数据源可选择从备份创建或者从镜像创建。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1、▲≥240GB，SAS</w:t>
                  </w:r>
                </w:p>
                <w:p>
                  <w:pPr>
                    <w:pStyle w:val="null3"/>
                    <w:jc w:val="left"/>
                  </w:pPr>
                  <w:r>
                    <w:rPr>
                      <w:rFonts w:ascii="仿宋_GB2312" w:hAnsi="仿宋_GB2312" w:cs="仿宋_GB2312" w:eastAsia="仿宋_GB2312"/>
                      <w:sz w:val="21"/>
                    </w:rPr>
                    <w:t>2、SAS型云硬盘的最大IOPS可达5000，最大吞吐量可达200MB/s。</w:t>
                  </w:r>
                </w:p>
                <w:p>
                  <w:pPr>
                    <w:pStyle w:val="null3"/>
                    <w:jc w:val="left"/>
                  </w:pPr>
                  <w:r>
                    <w:rPr>
                      <w:rFonts w:ascii="仿宋_GB2312" w:hAnsi="仿宋_GB2312" w:cs="仿宋_GB2312" w:eastAsia="仿宋_GB2312"/>
                      <w:sz w:val="21"/>
                    </w:rPr>
                    <w:t>3、采用分布式存储技术，底层通过多副本等技术进行冗余，有效避免因硬件故障导致的数据丢失。</w:t>
                  </w:r>
                </w:p>
                <w:p>
                  <w:pPr>
                    <w:pStyle w:val="null3"/>
                    <w:jc w:val="left"/>
                  </w:pPr>
                  <w:r>
                    <w:rPr>
                      <w:rFonts w:ascii="仿宋_GB2312" w:hAnsi="仿宋_GB2312" w:cs="仿宋_GB2312" w:eastAsia="仿宋_GB2312"/>
                      <w:sz w:val="21"/>
                    </w:rPr>
                    <w:t>4、支持对云硬盘进行挂载、卸载、扩容等操作。</w:t>
                  </w:r>
                </w:p>
                <w:p>
                  <w:pPr>
                    <w:pStyle w:val="null3"/>
                    <w:jc w:val="left"/>
                  </w:pPr>
                  <w:r>
                    <w:rPr>
                      <w:rFonts w:ascii="仿宋_GB2312" w:hAnsi="仿宋_GB2312" w:cs="仿宋_GB2312" w:eastAsia="仿宋_GB2312"/>
                      <w:sz w:val="21"/>
                    </w:rPr>
                    <w:t>5、支持从数据源创建云硬盘，数据源可选择从备份创建或者从镜像创建。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1、▲≥2000GB，SAS</w:t>
                  </w:r>
                </w:p>
                <w:p>
                  <w:pPr>
                    <w:pStyle w:val="null3"/>
                    <w:jc w:val="left"/>
                  </w:pPr>
                  <w:r>
                    <w:rPr>
                      <w:rFonts w:ascii="仿宋_GB2312" w:hAnsi="仿宋_GB2312" w:cs="仿宋_GB2312" w:eastAsia="仿宋_GB2312"/>
                      <w:sz w:val="21"/>
                    </w:rPr>
                    <w:t>2、SAS型云硬盘的最大IOPS可达5000，最大吞吐量可达200MB/s。</w:t>
                  </w:r>
                </w:p>
                <w:p>
                  <w:pPr>
                    <w:pStyle w:val="null3"/>
                    <w:jc w:val="left"/>
                  </w:pPr>
                  <w:r>
                    <w:rPr>
                      <w:rFonts w:ascii="仿宋_GB2312" w:hAnsi="仿宋_GB2312" w:cs="仿宋_GB2312" w:eastAsia="仿宋_GB2312"/>
                      <w:sz w:val="21"/>
                    </w:rPr>
                    <w:t>3、采用分布式存储技术，底层通过多副本等技术进行冗余，有效避免因硬件故障导致的数据丢失。</w:t>
                  </w:r>
                </w:p>
                <w:p>
                  <w:pPr>
                    <w:pStyle w:val="null3"/>
                    <w:jc w:val="left"/>
                  </w:pPr>
                  <w:r>
                    <w:rPr>
                      <w:rFonts w:ascii="仿宋_GB2312" w:hAnsi="仿宋_GB2312" w:cs="仿宋_GB2312" w:eastAsia="仿宋_GB2312"/>
                      <w:sz w:val="21"/>
                    </w:rPr>
                    <w:t>4、支持对云硬盘进行挂载、卸载、扩容等操作。</w:t>
                  </w:r>
                </w:p>
                <w:p>
                  <w:pPr>
                    <w:pStyle w:val="null3"/>
                    <w:jc w:val="left"/>
                  </w:pPr>
                  <w:r>
                    <w:rPr>
                      <w:rFonts w:ascii="仿宋_GB2312" w:hAnsi="仿宋_GB2312" w:cs="仿宋_GB2312" w:eastAsia="仿宋_GB2312"/>
                      <w:sz w:val="21"/>
                    </w:rPr>
                    <w:t>5、支持从数据源创建云硬盘，数据源可选择从备份创建或者从镜像创建。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带宽服务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1、▲弹性公网IP，≥500M</w:t>
                  </w:r>
                </w:p>
                <w:p>
                  <w:pPr>
                    <w:pStyle w:val="null3"/>
                    <w:jc w:val="left"/>
                  </w:pPr>
                  <w:r>
                    <w:rPr>
                      <w:rFonts w:ascii="仿宋_GB2312" w:hAnsi="仿宋_GB2312" w:cs="仿宋_GB2312" w:eastAsia="仿宋_GB2312"/>
                      <w:sz w:val="21"/>
                    </w:rPr>
                    <w:t>2、提供虚拟私有云（VPC）功能，为云服务器、云容器、云数据库等云上资源构建隔离、私密的虚拟网络环境。</w:t>
                  </w:r>
                </w:p>
                <w:p>
                  <w:pPr>
                    <w:pStyle w:val="null3"/>
                    <w:jc w:val="left"/>
                  </w:pPr>
                  <w:r>
                    <w:rPr>
                      <w:rFonts w:ascii="仿宋_GB2312" w:hAnsi="仿宋_GB2312" w:cs="仿宋_GB2312" w:eastAsia="仿宋_GB2312"/>
                      <w:sz w:val="21"/>
                    </w:rPr>
                    <w:t>3、▲支持VPC路由和子网路由功能，用户可以灵活控制网络流量走向，其中子网路由规则支持下一跳指向云主机、虚拟IP、NAT策略、对等连接网关、云专线网关等。需要提供相应功能截图证明并加盖公章。</w:t>
                  </w:r>
                </w:p>
                <w:p>
                  <w:pPr>
                    <w:pStyle w:val="null3"/>
                    <w:jc w:val="left"/>
                  </w:pPr>
                  <w:r>
                    <w:rPr>
                      <w:rFonts w:ascii="仿宋_GB2312" w:hAnsi="仿宋_GB2312" w:cs="仿宋_GB2312" w:eastAsia="仿宋_GB2312"/>
                      <w:sz w:val="21"/>
                    </w:rPr>
                    <w:t>4、支持安全组功能，支持虚拟机出、入方向安全访问控制功能，可基于IP、端口号等设置访问规则。</w:t>
                  </w:r>
                </w:p>
                <w:p>
                  <w:pPr>
                    <w:pStyle w:val="null3"/>
                    <w:jc w:val="left"/>
                  </w:pPr>
                  <w:r>
                    <w:rPr>
                      <w:rFonts w:ascii="仿宋_GB2312" w:hAnsi="仿宋_GB2312" w:cs="仿宋_GB2312" w:eastAsia="仿宋_GB2312"/>
                      <w:sz w:val="21"/>
                    </w:rPr>
                    <w:t>5、▲支持在安全组内添加/移除弹性云服务器和辅助网卡，支持快速添加规则，支持克隆安全组。需要提供相应功能截图证明并加盖公章。</w:t>
                  </w:r>
                </w:p>
                <w:p>
                  <w:pPr>
                    <w:pStyle w:val="null3"/>
                    <w:jc w:val="left"/>
                  </w:pPr>
                  <w:r>
                    <w:rPr>
                      <w:rFonts w:ascii="仿宋_GB2312" w:hAnsi="仿宋_GB2312" w:cs="仿宋_GB2312" w:eastAsia="仿宋_GB2312"/>
                      <w:sz w:val="21"/>
                    </w:rPr>
                    <w:t>6、支持网络ACL功能，可为子网绑定ACL并设置出入方向的规则，可基于协议（TCP、UDP、ICMP等）、IP、端口设置访问规则；支持ACL的启用/停用；支持设置规则优先级。</w:t>
                  </w:r>
                </w:p>
                <w:p>
                  <w:pPr>
                    <w:pStyle w:val="null3"/>
                    <w:jc w:val="left"/>
                  </w:pPr>
                  <w:r>
                    <w:rPr>
                      <w:rFonts w:ascii="仿宋_GB2312" w:hAnsi="仿宋_GB2312" w:cs="仿宋_GB2312" w:eastAsia="仿宋_GB2312"/>
                      <w:sz w:val="21"/>
                    </w:rPr>
                    <w:t>7、支持弹性IP功能，弹性IP具备公网带宽，弹性IP可绑定在云主机、NAT网关、弹性负载均衡等云资源中，实现云资源出入互联网的能力。</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云主机安全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1、以Agent方式安装在每台云服务器中，能全面识别并管理服务器中的信息资产、实时监测服务器风险并阻止非法入侵行为，包括资产清点、入侵检测、基线检查、病毒查杀等功能。</w:t>
                  </w:r>
                </w:p>
                <w:p>
                  <w:pPr>
                    <w:pStyle w:val="null3"/>
                    <w:jc w:val="left"/>
                  </w:pPr>
                  <w:r>
                    <w:rPr>
                      <w:rFonts w:ascii="仿宋_GB2312" w:hAnsi="仿宋_GB2312" w:cs="仿宋_GB2312" w:eastAsia="仿宋_GB2312"/>
                      <w:sz w:val="21"/>
                    </w:rPr>
                    <w:t>2、支持检测系统中的弱口令，包括常见弱口令、空口令、系统默认口令、口令中包含用户名等场景。</w:t>
                  </w:r>
                </w:p>
                <w:p>
                  <w:pPr>
                    <w:pStyle w:val="null3"/>
                    <w:jc w:val="left"/>
                  </w:pPr>
                  <w:r>
                    <w:rPr>
                      <w:rFonts w:ascii="仿宋_GB2312" w:hAnsi="仿宋_GB2312" w:cs="仿宋_GB2312" w:eastAsia="仿宋_GB2312"/>
                      <w:sz w:val="21"/>
                    </w:rPr>
                    <w:t>3、▲支持扫描Linux和Windows漏洞，支持一键扫描和定时扫描方式，可查看漏洞详细信息，并提供漏洞修复建议。需要提供相应功能截图证明并加盖公章。</w:t>
                  </w:r>
                </w:p>
                <w:p>
                  <w:pPr>
                    <w:pStyle w:val="null3"/>
                    <w:jc w:val="left"/>
                  </w:pPr>
                  <w:r>
                    <w:rPr>
                      <w:rFonts w:ascii="仿宋_GB2312" w:hAnsi="仿宋_GB2312" w:cs="仿宋_GB2312" w:eastAsia="仿宋_GB2312"/>
                      <w:sz w:val="21"/>
                    </w:rPr>
                    <w:t>4、支持检测服务器Web目录下的文件内容，发现Web网站中存在的后门文件实时告警，支持设置Webshell检测设置，支持设置指定检测目录。</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CDN与安全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1、▲CDN：按流量计费(≥1PB/12个月，可扩容）</w:t>
                  </w:r>
                </w:p>
                <w:p>
                  <w:pPr>
                    <w:pStyle w:val="null3"/>
                    <w:jc w:val="left"/>
                  </w:pPr>
                  <w:r>
                    <w:rPr>
                      <w:rFonts w:ascii="仿宋_GB2312" w:hAnsi="仿宋_GB2312" w:cs="仿宋_GB2312" w:eastAsia="仿宋_GB2312"/>
                      <w:sz w:val="21"/>
                    </w:rPr>
                    <w:t>2、▲含DDOS高防功能：防护带宽：≥100G，网站类：</w:t>
                  </w:r>
                </w:p>
                <w:p>
                  <w:pPr>
                    <w:pStyle w:val="null3"/>
                    <w:jc w:val="left"/>
                  </w:pPr>
                  <w:r>
                    <w:rPr>
                      <w:rFonts w:ascii="仿宋_GB2312" w:hAnsi="仿宋_GB2312" w:cs="仿宋_GB2312" w:eastAsia="仿宋_GB2312"/>
                      <w:sz w:val="21"/>
                    </w:rPr>
                    <w:t>3、支持常见流量型 DDoS 攻击防护，例如 SYN Flood、ACK Flood、ICMP Flood、UDP Flood 等</w:t>
                  </w:r>
                  <w:r>
                    <w:br/>
                  </w:r>
                  <w:r>
                    <w:rPr>
                      <w:rFonts w:ascii="仿宋_GB2312" w:hAnsi="仿宋_GB2312" w:cs="仿宋_GB2312" w:eastAsia="仿宋_GB2312"/>
                      <w:sz w:val="21"/>
                    </w:rPr>
                    <w:t>4、支持畸形报文攻击防护，例如 LAND、Smurf、Fraggle、 Winnuke、Ping of Death、Tear Drop 等</w:t>
                  </w:r>
                  <w:r>
                    <w:br/>
                  </w:r>
                  <w:r>
                    <w:rPr>
                      <w:rFonts w:ascii="仿宋_GB2312" w:hAnsi="仿宋_GB2312" w:cs="仿宋_GB2312" w:eastAsia="仿宋_GB2312"/>
                      <w:sz w:val="21"/>
                    </w:rPr>
                    <w:t>5、支持攻击特征防护、传输层威胁、应用层过滤、会话分析和行为分析</w:t>
                  </w:r>
                  <w:r>
                    <w:br/>
                  </w:r>
                  <w:r>
                    <w:rPr>
                      <w:rFonts w:ascii="仿宋_GB2312" w:hAnsi="仿宋_GB2312" w:cs="仿宋_GB2312" w:eastAsia="仿宋_GB2312"/>
                      <w:sz w:val="21"/>
                    </w:rPr>
                    <w:t>6、支持四层 CC 防护，缓解TCP 连接耗尽型攻击</w:t>
                  </w:r>
                  <w:r>
                    <w:br/>
                  </w:r>
                  <w:r>
                    <w:rPr>
                      <w:rFonts w:ascii="仿宋_GB2312" w:hAnsi="仿宋_GB2312" w:cs="仿宋_GB2312" w:eastAsia="仿宋_GB2312"/>
                      <w:sz w:val="21"/>
                    </w:rPr>
                    <w:t>7、内置数十种攻击类型检测，实时攻击溯源"</w:t>
                  </w:r>
                </w:p>
                <w:p>
                  <w:pPr>
                    <w:pStyle w:val="null3"/>
                    <w:jc w:val="left"/>
                  </w:pPr>
                  <w:r>
                    <w:rPr>
                      <w:rFonts w:ascii="仿宋_GB2312" w:hAnsi="仿宋_GB2312" w:cs="仿宋_GB2312" w:eastAsia="仿宋_GB2312"/>
                      <w:sz w:val="21"/>
                    </w:rPr>
                    <w:t>8、含WEB全栈防护功能： 包含标准版全部防护内容，提供安全态势呈现服务，安全威胁数据可视化、攻击信息、溯源信息等，实时查看业务安全态势，助力用户安全研判；提供详细的攻击日志及报表服务，支持日志导出，助力用户溯源分析及安全运维；</w:t>
                  </w:r>
                </w:p>
                <w:p>
                  <w:pPr>
                    <w:pStyle w:val="null3"/>
                    <w:jc w:val="left"/>
                  </w:pPr>
                  <w:r>
                    <w:rPr>
                      <w:rFonts w:ascii="仿宋_GB2312" w:hAnsi="仿宋_GB2312" w:cs="仿宋_GB2312" w:eastAsia="仿宋_GB2312"/>
                      <w:sz w:val="21"/>
                    </w:rPr>
                    <w:t>9、▲提供加速、WAF、DDoS防护、bot管理一体化服务，支持在同一个界面展示能力概览、安全防护概览、业务用量概览和告警总量概览，便于用户直观查看系统运行情况。支持在一条安全策略中基于域名粒度对所有的防护配置进行统一的操作。需要提供相应功能截图证明并加盖公章。</w:t>
                  </w:r>
                </w:p>
                <w:p>
                  <w:pPr>
                    <w:pStyle w:val="null3"/>
                    <w:jc w:val="left"/>
                  </w:pPr>
                  <w:r>
                    <w:rPr>
                      <w:rFonts w:ascii="仿宋_GB2312" w:hAnsi="仿宋_GB2312" w:cs="仿宋_GB2312" w:eastAsia="仿宋_GB2312"/>
                      <w:sz w:val="21"/>
                    </w:rPr>
                    <w:t>10、支持图片、js、css、pdf、swf等静态文件类型的全网加速。</w:t>
                  </w:r>
                </w:p>
                <w:p>
                  <w:pPr>
                    <w:pStyle w:val="null3"/>
                    <w:jc w:val="left"/>
                  </w:pPr>
                  <w:r>
                    <w:rPr>
                      <w:rFonts w:ascii="仿宋_GB2312" w:hAnsi="仿宋_GB2312" w:cs="仿宋_GB2312" w:eastAsia="仿宋_GB2312"/>
                      <w:sz w:val="21"/>
                    </w:rPr>
                    <w:t>11、支持TCP、UDP网络协议防护，如synflood，ackflood，空连接等，支持畸形包过滤、报文合法性判断，进行丢弃异常请求，可高效阻断攻击。</w:t>
                  </w:r>
                </w:p>
                <w:p>
                  <w:pPr>
                    <w:pStyle w:val="null3"/>
                    <w:jc w:val="left"/>
                  </w:pPr>
                  <w:r>
                    <w:rPr>
                      <w:rFonts w:ascii="仿宋_GB2312" w:hAnsi="仿宋_GB2312" w:cs="仿宋_GB2312" w:eastAsia="仿宋_GB2312"/>
                      <w:sz w:val="21"/>
                    </w:rPr>
                    <w:t>12、支持自动识别常见扫描器特征，能够精准识别并拦截主流扫描器包括但不限于：Sqlmap、AWVS、Nessus、Appscan、Webinspect、Netsparker、Nikto、Rsas等。</w:t>
                  </w:r>
                </w:p>
                <w:p>
                  <w:pPr>
                    <w:pStyle w:val="null3"/>
                    <w:jc w:val="left"/>
                  </w:pPr>
                  <w:r>
                    <w:rPr>
                      <w:rFonts w:ascii="仿宋_GB2312" w:hAnsi="仿宋_GB2312" w:cs="仿宋_GB2312" w:eastAsia="仿宋_GB2312"/>
                      <w:sz w:val="21"/>
                    </w:rPr>
                    <w:t>13、▲支持攻击挑战功能，能够自动阻断在一定时间内发起多次Web攻击（规则引擎触发）的客户端IP或IP+端口，一段时间内阻止所有请求。支持配置命令注入、防暴力破解、撞库防护、数据库注入等命中防护规则，支持基于客户端IP、UA、客户端端口、服务端口、HEADER、COOKIE等配置封禁对象，支持配置触发阈值和封禁时长。需要提供相应功能截图证明并加盖公章。</w:t>
                  </w:r>
                </w:p>
                <w:p>
                  <w:pPr>
                    <w:pStyle w:val="null3"/>
                    <w:jc w:val="left"/>
                  </w:pPr>
                  <w:r>
                    <w:rPr>
                      <w:rFonts w:ascii="仿宋_GB2312" w:hAnsi="仿宋_GB2312" w:cs="仿宋_GB2312" w:eastAsia="仿宋_GB2312"/>
                      <w:sz w:val="21"/>
                    </w:rPr>
                    <w:t>14、支持基于地域的自定义封禁功能。需要提供相应功能截图证明并加盖公章。</w:t>
                  </w:r>
                </w:p>
                <w:p>
                  <w:pPr>
                    <w:pStyle w:val="null3"/>
                    <w:jc w:val="left"/>
                  </w:pPr>
                  <w:r>
                    <w:rPr>
                      <w:rFonts w:ascii="仿宋_GB2312" w:hAnsi="仿宋_GB2312" w:cs="仿宋_GB2312" w:eastAsia="仿宋_GB2312"/>
                      <w:sz w:val="21"/>
                    </w:rPr>
                    <w:t>15、▲支持IPV6访问，支持IPV6 外链改造，支持对网站进行IPv6支持度检测，并能够导出检测报告以及不通过检测的具体链接。需要提供相应功能截图证明并加盖公章。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云堡垒机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1、支持≥20资产管理，并发会话≥20</w:t>
                  </w:r>
                </w:p>
                <w:p>
                  <w:pPr>
                    <w:pStyle w:val="null3"/>
                    <w:jc w:val="left"/>
                  </w:pPr>
                  <w:r>
                    <w:rPr>
                      <w:rFonts w:ascii="仿宋_GB2312" w:hAnsi="仿宋_GB2312" w:cs="仿宋_GB2312" w:eastAsia="仿宋_GB2312"/>
                      <w:sz w:val="21"/>
                    </w:rPr>
                    <w:t>2、云堡垒机服务器：CPU(核) ≥2 核、内存(GB) ≥4G、数据盘(GB) ≥500G；</w:t>
                  </w:r>
                </w:p>
                <w:p>
                  <w:pPr>
                    <w:pStyle w:val="null3"/>
                    <w:jc w:val="left"/>
                  </w:pPr>
                  <w:r>
                    <w:rPr>
                      <w:rFonts w:ascii="仿宋_GB2312" w:hAnsi="仿宋_GB2312" w:cs="仿宋_GB2312" w:eastAsia="仿宋_GB2312"/>
                      <w:sz w:val="21"/>
                    </w:rPr>
                    <w:t>3、云堡垒机公网带宽≥4M</w:t>
                  </w:r>
                </w:p>
                <w:p>
                  <w:pPr>
                    <w:pStyle w:val="null3"/>
                    <w:jc w:val="left"/>
                  </w:pPr>
                  <w:r>
                    <w:rPr>
                      <w:rFonts w:ascii="仿宋_GB2312" w:hAnsi="仿宋_GB2312" w:cs="仿宋_GB2312" w:eastAsia="仿宋_GB2312"/>
                      <w:sz w:val="21"/>
                    </w:rPr>
                    <w:t>4、支持对用户访问时间、IP、剪切板、文件传输进行精细化管控，支持对指令和脚本拦截，防止越权操作、误操作及恶意操作的发生；</w:t>
                  </w:r>
                </w:p>
                <w:p>
                  <w:pPr>
                    <w:pStyle w:val="null3"/>
                    <w:jc w:val="left"/>
                  </w:pPr>
                  <w:r>
                    <w:rPr>
                      <w:rFonts w:ascii="仿宋_GB2312" w:hAnsi="仿宋_GB2312" w:cs="仿宋_GB2312" w:eastAsia="仿宋_GB2312"/>
                      <w:sz w:val="21"/>
                    </w:rPr>
                    <w:t>5、支持多因子认证，二次认证的方式包括短信验证码、手机令牌、动态令牌、USB Key 等。</w:t>
                  </w:r>
                </w:p>
                <w:p>
                  <w:pPr>
                    <w:pStyle w:val="null3"/>
                    <w:jc w:val="left"/>
                  </w:pPr>
                  <w:r>
                    <w:rPr>
                      <w:rFonts w:ascii="仿宋_GB2312" w:hAnsi="仿宋_GB2312" w:cs="仿宋_GB2312" w:eastAsia="仿宋_GB2312"/>
                      <w:sz w:val="21"/>
                    </w:rPr>
                    <w:t>6、支持云服务器资产自动导入，一键授权纳入堡垒机运维管控范围。</w:t>
                  </w:r>
                </w:p>
                <w:p>
                  <w:pPr>
                    <w:pStyle w:val="null3"/>
                    <w:jc w:val="left"/>
                  </w:pPr>
                  <w:r>
                    <w:rPr>
                      <w:rFonts w:ascii="仿宋_GB2312" w:hAnsi="仿宋_GB2312" w:cs="仿宋_GB2312" w:eastAsia="仿宋_GB2312"/>
                      <w:sz w:val="21"/>
                    </w:rPr>
                    <w:t>7、纳管资源类型丰富，包括Windows、Linux等主机资源。</w:t>
                  </w:r>
                </w:p>
                <w:p>
                  <w:pPr>
                    <w:pStyle w:val="null3"/>
                    <w:jc w:val="left"/>
                  </w:pPr>
                  <w:r>
                    <w:rPr>
                      <w:rFonts w:ascii="仿宋_GB2312" w:hAnsi="仿宋_GB2312" w:cs="仿宋_GB2312" w:eastAsia="仿宋_GB2312"/>
                      <w:sz w:val="21"/>
                    </w:rPr>
                    <w:t>8、支持C/S架构运维接入，包括SSH、RDP、VNC、TELNET、FTP、SFTP、SCP协议类型主机资源。</w:t>
                  </w:r>
                </w:p>
                <w:p>
                  <w:pPr>
                    <w:pStyle w:val="null3"/>
                    <w:jc w:val="left"/>
                  </w:pPr>
                  <w:r>
                    <w:rPr>
                      <w:rFonts w:ascii="仿宋_GB2312" w:hAnsi="仿宋_GB2312" w:cs="仿宋_GB2312" w:eastAsia="仿宋_GB2312"/>
                      <w:sz w:val="21"/>
                    </w:rPr>
                    <w:t>9、支持运维水印配置，水印包括姓名、用户名、手机号、源IP等。</w:t>
                  </w:r>
                </w:p>
                <w:p>
                  <w:pPr>
                    <w:pStyle w:val="null3"/>
                    <w:jc w:val="left"/>
                  </w:pPr>
                  <w:r>
                    <w:rPr>
                      <w:rFonts w:ascii="仿宋_GB2312" w:hAnsi="仿宋_GB2312" w:cs="仿宋_GB2312" w:eastAsia="仿宋_GB2312"/>
                      <w:sz w:val="21"/>
                    </w:rPr>
                    <w:t>10、▲支持设置密码事件，包括恶意登录事件、密码过期事件、强制改密等。需要提供相应功能截图证明并加盖公章。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日志审计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1、支持≥20资产接入</w:t>
                  </w:r>
                </w:p>
                <w:p>
                  <w:pPr>
                    <w:pStyle w:val="null3"/>
                    <w:jc w:val="left"/>
                  </w:pPr>
                  <w:r>
                    <w:rPr>
                      <w:rFonts w:ascii="仿宋_GB2312" w:hAnsi="仿宋_GB2312" w:cs="仿宋_GB2312" w:eastAsia="仿宋_GB2312"/>
                      <w:sz w:val="21"/>
                    </w:rPr>
                    <w:t>2、日志审计服务器：CPU≥8 核, 内存≥32G ；系统盘：≥20GB；数据盘：≥100GB</w:t>
                  </w:r>
                </w:p>
                <w:p>
                  <w:pPr>
                    <w:pStyle w:val="null3"/>
                    <w:jc w:val="left"/>
                  </w:pPr>
                  <w:r>
                    <w:rPr>
                      <w:rFonts w:ascii="仿宋_GB2312" w:hAnsi="仿宋_GB2312" w:cs="仿宋_GB2312" w:eastAsia="仿宋_GB2312"/>
                      <w:sz w:val="21"/>
                    </w:rPr>
                    <w:t>3、日志审计公网带宽：≥4M</w:t>
                  </w:r>
                </w:p>
                <w:p>
                  <w:pPr>
                    <w:pStyle w:val="null3"/>
                    <w:jc w:val="left"/>
                  </w:pPr>
                  <w:r>
                    <w:rPr>
                      <w:rFonts w:ascii="仿宋_GB2312" w:hAnsi="仿宋_GB2312" w:cs="仿宋_GB2312" w:eastAsia="仿宋_GB2312"/>
                      <w:sz w:val="21"/>
                    </w:rPr>
                    <w:t>4、日志保存天数≥180天</w:t>
                  </w:r>
                </w:p>
                <w:p>
                  <w:pPr>
                    <w:pStyle w:val="null3"/>
                    <w:jc w:val="left"/>
                  </w:pPr>
                  <w:r>
                    <w:rPr>
                      <w:rFonts w:ascii="仿宋_GB2312" w:hAnsi="仿宋_GB2312" w:cs="仿宋_GB2312" w:eastAsia="仿宋_GB2312"/>
                      <w:sz w:val="21"/>
                    </w:rPr>
                    <w:t>5、提供丰富的日志管理功能，可以对日志进行监控，采集，存储，检索和分析；</w:t>
                  </w:r>
                  <w:r>
                    <w:br/>
                  </w:r>
                  <w:r>
                    <w:rPr>
                      <w:rFonts w:ascii="仿宋_GB2312" w:hAnsi="仿宋_GB2312" w:cs="仿宋_GB2312" w:eastAsia="仿宋_GB2312"/>
                      <w:sz w:val="21"/>
                    </w:rPr>
                    <w:t>6、提供首页仪表盘以及多样的可视化统计，来展示当前的分析情况；</w:t>
                  </w:r>
                  <w:r>
                    <w:br/>
                  </w:r>
                  <w:r>
                    <w:rPr>
                      <w:rFonts w:ascii="仿宋_GB2312" w:hAnsi="仿宋_GB2312" w:cs="仿宋_GB2312" w:eastAsia="仿宋_GB2312"/>
                      <w:sz w:val="21"/>
                    </w:rPr>
                    <w:t>7、可以设置多样化的规则来管理事件，并以此生成告警或者生成报表。</w:t>
                  </w:r>
                </w:p>
                <w:p>
                  <w:pPr>
                    <w:pStyle w:val="null3"/>
                    <w:jc w:val="left"/>
                  </w:pPr>
                  <w:r>
                    <w:rPr>
                      <w:rFonts w:ascii="仿宋_GB2312" w:hAnsi="仿宋_GB2312" w:cs="仿宋_GB2312" w:eastAsia="仿宋_GB2312"/>
                      <w:sz w:val="21"/>
                    </w:rPr>
                    <w:t>8、支持通过SNMPTrap、Syslog-udp、JDBC、Kafka、FTP/SFTP、syslog-tcp等多种方式完成日志收集功能。需要提供相应功能截图证明并加盖公章。</w:t>
                  </w:r>
                </w:p>
                <w:p>
                  <w:pPr>
                    <w:pStyle w:val="null3"/>
                    <w:jc w:val="left"/>
                  </w:pPr>
                  <w:r>
                    <w:rPr>
                      <w:rFonts w:ascii="仿宋_GB2312" w:hAnsi="仿宋_GB2312" w:cs="仿宋_GB2312" w:eastAsia="仿宋_GB2312"/>
                      <w:sz w:val="21"/>
                    </w:rPr>
                    <w:t>9、支持可视化的总体概览，展示资产事件、风险告警等维度数据统计。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云防火墙</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1、防护业务带宽：≥200M</w:t>
                  </w:r>
                </w:p>
                <w:p>
                  <w:pPr>
                    <w:pStyle w:val="null3"/>
                    <w:jc w:val="left"/>
                  </w:pPr>
                  <w:r>
                    <w:rPr>
                      <w:rFonts w:ascii="仿宋_GB2312" w:hAnsi="仿宋_GB2312" w:cs="仿宋_GB2312" w:eastAsia="仿宋_GB2312"/>
                      <w:sz w:val="21"/>
                    </w:rPr>
                    <w:t>2、对数据报文进行深度检测，阻断违规数据访问；</w:t>
                  </w:r>
                  <w:r>
                    <w:br/>
                  </w:r>
                  <w:r>
                    <w:rPr>
                      <w:rFonts w:ascii="仿宋_GB2312" w:hAnsi="仿宋_GB2312" w:cs="仿宋_GB2312" w:eastAsia="仿宋_GB2312"/>
                      <w:sz w:val="21"/>
                    </w:rPr>
                    <w:t>3、提供多种VPN 隧道业务，为企业单位之间建立安全可靠的 VPN连接服务；</w:t>
                  </w:r>
                  <w:r>
                    <w:br/>
                  </w:r>
                  <w:r>
                    <w:rPr>
                      <w:rFonts w:ascii="仿宋_GB2312" w:hAnsi="仿宋_GB2312" w:cs="仿宋_GB2312" w:eastAsia="仿宋_GB2312"/>
                      <w:sz w:val="21"/>
                    </w:rPr>
                    <w:t>4、支持静态网络地址转换（Static NAT）和动态网络地址转换（Dynamic NAT）；防护业务带宽：≥200M。</w:t>
                  </w:r>
                  <w:r>
                    <w:br/>
                  </w:r>
                  <w:r>
                    <w:rPr>
                      <w:rFonts w:ascii="仿宋_GB2312" w:hAnsi="仿宋_GB2312" w:cs="仿宋_GB2312" w:eastAsia="仿宋_GB2312"/>
                      <w:sz w:val="21"/>
                    </w:rPr>
                    <w:t>5、支持提供≥180 天的日志存储和检索，满足合规和监管要求；</w:t>
                  </w:r>
                  <w:r>
                    <w:br/>
                  </w:r>
                  <w:r>
                    <w:rPr>
                      <w:rFonts w:ascii="仿宋_GB2312" w:hAnsi="仿宋_GB2312" w:cs="仿宋_GB2312" w:eastAsia="仿宋_GB2312"/>
                      <w:sz w:val="21"/>
                    </w:rPr>
                    <w:t>6、含网络入侵检测功能，具备综合使用协议识别、协议分析、模式匹配、协议异常检测、流量异常检测、应用层状态检测、关联分析等多种入侵检测技术发现潜在异常及违规行为的能力。</w:t>
                  </w:r>
                </w:p>
                <w:p>
                  <w:pPr>
                    <w:pStyle w:val="null3"/>
                    <w:jc w:val="left"/>
                  </w:pPr>
                  <w:r>
                    <w:rPr>
                      <w:rFonts w:ascii="仿宋_GB2312" w:hAnsi="仿宋_GB2312" w:cs="仿宋_GB2312" w:eastAsia="仿宋_GB2312"/>
                      <w:sz w:val="21"/>
                    </w:rPr>
                    <w:t>7、▲支持源地址转换SNAT和目的地址转换DNAT，支持SNAT/DNAT命中数分析和冗余检测功能，协助用户快速发现并识别潜在的僵尸NAT规则。需要提供相应功能截图证明并加盖公章。</w:t>
                  </w:r>
                </w:p>
                <w:p>
                  <w:pPr>
                    <w:pStyle w:val="null3"/>
                    <w:jc w:val="left"/>
                  </w:pPr>
                  <w:r>
                    <w:rPr>
                      <w:rFonts w:ascii="仿宋_GB2312" w:hAnsi="仿宋_GB2312" w:cs="仿宋_GB2312" w:eastAsia="仿宋_GB2312"/>
                      <w:sz w:val="21"/>
                    </w:rPr>
                    <w:t>8、支持基于源目IP、用户、端口、应用、国家地区、域名、时间表等多对象/多维度的访问控制策略。</w:t>
                  </w:r>
                </w:p>
                <w:p>
                  <w:pPr>
                    <w:pStyle w:val="null3"/>
                    <w:jc w:val="left"/>
                  </w:pPr>
                  <w:r>
                    <w:rPr>
                      <w:rFonts w:ascii="仿宋_GB2312" w:hAnsi="仿宋_GB2312" w:cs="仿宋_GB2312" w:eastAsia="仿宋_GB2312"/>
                      <w:sz w:val="21"/>
                    </w:rPr>
                    <w:t>9、▲支持策略优化功能，能够提取命中指定策略ID的流量作为流量数据分析源，生成服务并且根据管理员设置的替换规则、聚合规则优化流量数据。需要提供相应功能截图证明并加盖公章。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漏洞扫描</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1、支持20个IP地址扫描。</w:t>
                  </w:r>
                </w:p>
                <w:p>
                  <w:pPr>
                    <w:pStyle w:val="null3"/>
                    <w:jc w:val="left"/>
                  </w:pPr>
                  <w:r>
                    <w:rPr>
                      <w:rFonts w:ascii="仿宋_GB2312" w:hAnsi="仿宋_GB2312" w:cs="仿宋_GB2312" w:eastAsia="仿宋_GB2312"/>
                      <w:sz w:val="21"/>
                    </w:rPr>
                    <w:t>2、支持用户资产扫描；</w:t>
                  </w:r>
                  <w:r>
                    <w:br/>
                  </w:r>
                  <w:r>
                    <w:rPr>
                      <w:rFonts w:ascii="仿宋_GB2312" w:hAnsi="仿宋_GB2312" w:cs="仿宋_GB2312" w:eastAsia="仿宋_GB2312"/>
                      <w:sz w:val="21"/>
                    </w:rPr>
                    <w:t>3、提供漏洞报告对比功能，方便用户清晰掌握主机及 Web 服务器的安全状况；</w:t>
                  </w:r>
                  <w:r>
                    <w:br/>
                  </w:r>
                  <w:r>
                    <w:rPr>
                      <w:rFonts w:ascii="仿宋_GB2312" w:hAnsi="仿宋_GB2312" w:cs="仿宋_GB2312" w:eastAsia="仿宋_GB2312"/>
                      <w:sz w:val="21"/>
                    </w:rPr>
                    <w:t>4、提供用户进行资产所有权认证操作，保障用户资产安全。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204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直播流媒体服务清单：</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采购品目名称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服务内容</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直播流媒体服务资源</w:t>
                  </w:r>
                  <w:r>
                    <w:rPr>
                      <w:rFonts w:ascii="仿宋_GB2312" w:hAnsi="仿宋_GB2312" w:cs="仿宋_GB2312" w:eastAsia="仿宋_GB2312"/>
                      <w:sz w:val="21"/>
                      <w:b/>
                    </w:rPr>
                    <w:t>(云直播连线包)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提供云连线服务时长不低于1000小时/12个月；2、可支持多人视频连线服务，支持单点直播或多点交互式视频通话；可支持连线APP，小程序，PC网页端，pc客户端；提供多种连线客户端，支持手机APP、手机小程序、PC客户端、PC网页端等多种形式互动连线；支持连线app、PC客户端具备导控能力，没有邀请的用户通过房间号进入时，需要导控确认进入，以保证直播安全；</w:t>
                  </w:r>
                </w:p>
                <w:p>
                  <w:pPr>
                    <w:pStyle w:val="null3"/>
                    <w:jc w:val="left"/>
                  </w:pPr>
                  <w:r>
                    <w:rPr>
                      <w:rFonts w:ascii="仿宋_GB2312" w:hAnsi="仿宋_GB2312" w:cs="仿宋_GB2312" w:eastAsia="仿宋_GB2312"/>
                      <w:sz w:val="21"/>
                    </w:rPr>
                    <w:t>3、.本地支持不低于20路信号同时接入，进行连线通话；云上连线不受限制；</w:t>
                  </w:r>
                </w:p>
                <w:p>
                  <w:pPr>
                    <w:pStyle w:val="null3"/>
                    <w:jc w:val="left"/>
                  </w:pPr>
                  <w:r>
                    <w:rPr>
                      <w:rFonts w:ascii="仿宋_GB2312" w:hAnsi="仿宋_GB2312" w:cs="仿宋_GB2312" w:eastAsia="仿宋_GB2312"/>
                      <w:sz w:val="21"/>
                    </w:rPr>
                    <w:t>4、支持将在线视频制作系统播出信号同步到直播手机终端；保证远程直播调度通讯不受场地约束；</w:t>
                  </w:r>
                </w:p>
                <w:p>
                  <w:pPr>
                    <w:pStyle w:val="null3"/>
                    <w:jc w:val="left"/>
                  </w:pPr>
                  <w:r>
                    <w:rPr>
                      <w:rFonts w:ascii="仿宋_GB2312" w:hAnsi="仿宋_GB2312" w:cs="仿宋_GB2312" w:eastAsia="仿宋_GB2312"/>
                      <w:sz w:val="21"/>
                    </w:rPr>
                    <w:t>双流模式设计，高低码率同时推送，确保直播顺畅；</w:t>
                  </w:r>
                </w:p>
                <w:p>
                  <w:pPr>
                    <w:pStyle w:val="null3"/>
                    <w:jc w:val="left"/>
                  </w:pPr>
                  <w:r>
                    <w:rPr>
                      <w:rFonts w:ascii="仿宋_GB2312" w:hAnsi="仿宋_GB2312" w:cs="仿宋_GB2312" w:eastAsia="仿宋_GB2312"/>
                      <w:sz w:val="21"/>
                    </w:rPr>
                    <w:t>支持兼容主流软件；</w:t>
                  </w:r>
                </w:p>
                <w:p>
                  <w:pPr>
                    <w:pStyle w:val="null3"/>
                    <w:jc w:val="left"/>
                  </w:pPr>
                  <w:r>
                    <w:rPr>
                      <w:rFonts w:ascii="仿宋_GB2312" w:hAnsi="仿宋_GB2312" w:cs="仿宋_GB2312" w:eastAsia="仿宋_GB2312"/>
                      <w:sz w:val="21"/>
                    </w:rPr>
                    <w:t>5、提供云端素材保存和管理空间，云端素材保存和管理空间不低于5TB存储容量、1TB下行流量；</w:t>
                  </w:r>
                </w:p>
                <w:p>
                  <w:pPr>
                    <w:pStyle w:val="null3"/>
                    <w:jc w:val="left"/>
                  </w:pPr>
                  <w:r>
                    <w:rPr>
                      <w:rFonts w:ascii="仿宋_GB2312" w:hAnsi="仿宋_GB2312" w:cs="仿宋_GB2312" w:eastAsia="仿宋_GB2312"/>
                      <w:sz w:val="21"/>
                    </w:rPr>
                    <w:t>6、提供多人连线APP和手机小程序页面功能；提供云端素材管理、用户管理、直播管理和资源使用情况的功能；</w:t>
                  </w:r>
                </w:p>
                <w:p>
                  <w:pPr>
                    <w:pStyle w:val="null3"/>
                    <w:jc w:val="left"/>
                  </w:pPr>
                  <w:r>
                    <w:rPr>
                      <w:rFonts w:ascii="仿宋_GB2312" w:hAnsi="仿宋_GB2312" w:cs="仿宋_GB2312" w:eastAsia="仿宋_GB2312"/>
                      <w:sz w:val="21"/>
                    </w:rPr>
                    <w:t>7、支持本地演播室信号和手机端信号连线通话;支持端对端的连接，融媒体导播机可直接作为一名用户加入另外一台融媒体导播机直播间中众支持声者和画面分开返送。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bl>
          <w:p>
            <w:pPr>
              <w:pStyle w:val="null3"/>
              <w:jc w:val="both"/>
            </w:pPr>
            <w:r>
              <w:rPr>
                <w:rFonts w:ascii="仿宋_GB2312" w:hAnsi="仿宋_GB2312" w:cs="仿宋_GB2312" w:eastAsia="仿宋_GB2312"/>
                <w:sz w:val="21"/>
                <w:b/>
              </w:rPr>
              <w:t>四、服务要求</w:t>
            </w:r>
          </w:p>
          <w:p>
            <w:pPr>
              <w:pStyle w:val="null3"/>
              <w:jc w:val="left"/>
            </w:pPr>
            <w:r>
              <w:rPr>
                <w:rFonts w:ascii="仿宋_GB2312" w:hAnsi="仿宋_GB2312" w:cs="仿宋_GB2312" w:eastAsia="仿宋_GB2312"/>
                <w:sz w:val="21"/>
                <w:b/>
              </w:rPr>
              <w:t>（一）售后服务</w:t>
            </w:r>
          </w:p>
          <w:p>
            <w:pPr>
              <w:pStyle w:val="null3"/>
              <w:jc w:val="left"/>
            </w:pPr>
            <w:r>
              <w:rPr>
                <w:rFonts w:ascii="仿宋_GB2312" w:hAnsi="仿宋_GB2312" w:cs="仿宋_GB2312" w:eastAsia="仿宋_GB2312"/>
                <w:sz w:val="21"/>
              </w:rPr>
              <w:t>投标人应提供完善的项目售后服务方案，方案内容包括但不限于：</w:t>
            </w:r>
          </w:p>
          <w:p>
            <w:pPr>
              <w:pStyle w:val="null3"/>
              <w:jc w:val="left"/>
            </w:pPr>
            <w:r>
              <w:rPr>
                <w:rFonts w:ascii="仿宋_GB2312" w:hAnsi="仿宋_GB2312" w:cs="仿宋_GB2312" w:eastAsia="仿宋_GB2312"/>
                <w:sz w:val="21"/>
                <w:shd w:fill="FFFF00" w:val="clear"/>
              </w:rPr>
              <w:t>1.</w:t>
            </w:r>
            <w:r>
              <w:rPr>
                <w:rFonts w:ascii="仿宋_GB2312" w:hAnsi="仿宋_GB2312" w:cs="仿宋_GB2312" w:eastAsia="仿宋_GB2312"/>
                <w:sz w:val="21"/>
              </w:rPr>
              <w:t>完整的售后服务体系、针对不同级别的系统故障提供合适的快速响应方案，技术支持方式包括：现场技术支持服务、电话咨询服务、远程技术支持服务、紧急故障排除服务等。</w:t>
            </w:r>
          </w:p>
          <w:p>
            <w:pPr>
              <w:pStyle w:val="null3"/>
              <w:jc w:val="left"/>
            </w:pPr>
            <w:r>
              <w:rPr>
                <w:rFonts w:ascii="仿宋_GB2312" w:hAnsi="仿宋_GB2312" w:cs="仿宋_GB2312" w:eastAsia="仿宋_GB2312"/>
                <w:sz w:val="21"/>
                <w:shd w:fill="FFFF00" w:val="clear"/>
              </w:rPr>
              <w:t>2.</w:t>
            </w:r>
            <w:r>
              <w:rPr>
                <w:rFonts w:ascii="仿宋_GB2312" w:hAnsi="仿宋_GB2312" w:cs="仿宋_GB2312" w:eastAsia="仿宋_GB2312"/>
                <w:sz w:val="21"/>
              </w:rPr>
              <w:t>提供</w:t>
            </w:r>
            <w:r>
              <w:rPr>
                <w:rFonts w:ascii="仿宋_GB2312" w:hAnsi="仿宋_GB2312" w:cs="仿宋_GB2312" w:eastAsia="仿宋_GB2312"/>
                <w:sz w:val="21"/>
              </w:rPr>
              <w:t>7×24小时技术支持响应和服务。对系统故障5分钟内作出实质性响应；其中重大问题；1小时内到达指定项目现场，4小时需解决故障，对未能解决的故障应提供应急措施；问题解决后24小时内，提交问题处理报告，说明问题种类、问题原因、问题解决中使用的方法及造成的影响等情况。</w:t>
            </w:r>
          </w:p>
          <w:p>
            <w:pPr>
              <w:pStyle w:val="null3"/>
              <w:jc w:val="left"/>
            </w:pPr>
            <w:r>
              <w:rPr>
                <w:rFonts w:ascii="仿宋_GB2312" w:hAnsi="仿宋_GB2312" w:cs="仿宋_GB2312" w:eastAsia="仿宋_GB2312"/>
                <w:sz w:val="21"/>
                <w:shd w:fill="FFFF00" w:val="clear"/>
              </w:rPr>
              <w:t>3.</w:t>
            </w:r>
            <w:r>
              <w:rPr>
                <w:rFonts w:ascii="仿宋_GB2312" w:hAnsi="仿宋_GB2312" w:cs="仿宋_GB2312" w:eastAsia="仿宋_GB2312"/>
                <w:sz w:val="21"/>
              </w:rPr>
              <w:t>要求具备针对重要节假日及重要活动的方案，以及提供技术保障。</w:t>
            </w:r>
          </w:p>
          <w:p>
            <w:pPr>
              <w:pStyle w:val="null3"/>
              <w:jc w:val="left"/>
            </w:pPr>
            <w:r>
              <w:rPr>
                <w:rFonts w:ascii="仿宋_GB2312" w:hAnsi="仿宋_GB2312" w:cs="仿宋_GB2312" w:eastAsia="仿宋_GB2312"/>
                <w:sz w:val="21"/>
                <w:shd w:fill="FFFF00" w:val="clear"/>
              </w:rPr>
              <w:t>4.</w:t>
            </w:r>
            <w:r>
              <w:rPr>
                <w:rFonts w:ascii="仿宋_GB2312" w:hAnsi="仿宋_GB2312" w:cs="仿宋_GB2312" w:eastAsia="仿宋_GB2312"/>
                <w:sz w:val="21"/>
              </w:rPr>
              <w:t>考核指标：现场技术支持每有一次未按要求响应的，扣除合同金额</w:t>
            </w:r>
            <w:r>
              <w:rPr>
                <w:rFonts w:ascii="仿宋_GB2312" w:hAnsi="仿宋_GB2312" w:cs="仿宋_GB2312" w:eastAsia="仿宋_GB2312"/>
                <w:sz w:val="21"/>
              </w:rPr>
              <w:t>1%作为处罚金，扣完为止。</w:t>
            </w:r>
          </w:p>
          <w:p>
            <w:pPr>
              <w:pStyle w:val="null3"/>
              <w:jc w:val="left"/>
            </w:pPr>
            <w:r>
              <w:rPr>
                <w:rFonts w:ascii="仿宋_GB2312" w:hAnsi="仿宋_GB2312" w:cs="仿宋_GB2312" w:eastAsia="仿宋_GB2312"/>
                <w:sz w:val="21"/>
                <w:b/>
              </w:rPr>
              <w:t>（二）技术要求</w:t>
            </w:r>
          </w:p>
          <w:p>
            <w:pPr>
              <w:pStyle w:val="null3"/>
              <w:jc w:val="both"/>
            </w:pPr>
            <w:r>
              <w:rPr>
                <w:rFonts w:ascii="仿宋_GB2312" w:hAnsi="仿宋_GB2312" w:cs="仿宋_GB2312" w:eastAsia="仿宋_GB2312"/>
                <w:sz w:val="21"/>
              </w:rPr>
              <w:t>中标人须在收到中标通知书且双方签订合同后</w:t>
            </w:r>
            <w:r>
              <w:rPr>
                <w:rFonts w:ascii="仿宋_GB2312" w:hAnsi="仿宋_GB2312" w:cs="仿宋_GB2312" w:eastAsia="仿宋_GB2312"/>
                <w:sz w:val="21"/>
              </w:rPr>
              <w:t>5 个自然日内，完成本项目与海南省级融媒体中心及融合技术平台“南海云”一期现有系统的割接工作，包括但不限于云资源（计算、存储、网络）的配置调试、专线链路的开通与测试、安全防护设备的接入与适配，确保割接后一期平台业务（如全媒体内容生产、省县融媒协同、宣传任务调度）无中断、数据无丢失、功能无异常。若中标人未在上述 5 个自然日内完成项目割接，或割接后出现业务中断超 1 小时、核心数据损坏等问题，采购人有权扣罚中标人中标金额 5% 的履约保证金，用于弥补因割接延误或故障造成的运营损失。若中标人在 5 个自然日内仍无法完成合格割接，采购人可自行委托第三方服务商完成割接工作，所需全部费用（包括第三方服务费、应急资源租赁费等）均由中标人承担，且中标人仍需承担前述 5% 履约保证金的扣罚责任。（供应商提供相关承诺函）。</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标的名称：海南省级融媒体中心及融合技术平台“南海云”运维服务项目 （等保测评）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1）技术要求</w:t>
            </w:r>
          </w:p>
          <w:p>
            <w:pPr>
              <w:pStyle w:val="null3"/>
              <w:jc w:val="left"/>
            </w:pPr>
            <w:r>
              <w:rPr>
                <w:rFonts w:ascii="仿宋_GB2312" w:hAnsi="仿宋_GB2312" w:cs="仿宋_GB2312" w:eastAsia="仿宋_GB2312"/>
                <w:sz w:val="21"/>
              </w:rPr>
              <w:t>一、服务要求</w:t>
            </w:r>
          </w:p>
          <w:p>
            <w:pPr>
              <w:pStyle w:val="null3"/>
              <w:jc w:val="left"/>
            </w:pPr>
            <w:r>
              <w:rPr>
                <w:rFonts w:ascii="仿宋_GB2312" w:hAnsi="仿宋_GB2312" w:cs="仿宋_GB2312" w:eastAsia="仿宋_GB2312"/>
                <w:sz w:val="21"/>
              </w:rPr>
              <w:t>1、服务背景</w:t>
            </w:r>
          </w:p>
          <w:p>
            <w:pPr>
              <w:pStyle w:val="null3"/>
              <w:jc w:val="left"/>
            </w:pPr>
            <w:r>
              <w:rPr>
                <w:rFonts w:ascii="仿宋_GB2312" w:hAnsi="仿宋_GB2312" w:cs="仿宋_GB2312" w:eastAsia="仿宋_GB2312"/>
                <w:sz w:val="21"/>
              </w:rPr>
              <w:t>通过委托专业的网络安全等级保护测评服务机构，对用户方的信息系统安全保护等级进行需求分析，并协助用户方完成等保备案相关事宜。依据《信息安全技术网络安全等级保护基本要求》</w:t>
            </w:r>
            <w:r>
              <w:rPr>
                <w:rFonts w:ascii="仿宋_GB2312" w:hAnsi="仿宋_GB2312" w:cs="仿宋_GB2312" w:eastAsia="仿宋_GB2312"/>
                <w:sz w:val="21"/>
              </w:rPr>
              <w:t>(GB/T 22239-2019)、《信息安全技术 网络安全等级保护测评要求》（GB/T 28448-2019），对信息系统的物理机房、网络结构、应用系统、主机、网络及安全设备等进行合规性检查，分析信息系统与安全保护等级要求之间的差距，出具《网络安全等级保护测评报告》。</w:t>
            </w:r>
          </w:p>
          <w:p>
            <w:pPr>
              <w:pStyle w:val="null3"/>
              <w:jc w:val="left"/>
            </w:pPr>
            <w:r>
              <w:rPr>
                <w:rFonts w:ascii="仿宋_GB2312" w:hAnsi="仿宋_GB2312" w:cs="仿宋_GB2312" w:eastAsia="仿宋_GB2312"/>
                <w:sz w:val="21"/>
              </w:rPr>
              <w:t>2、服务需求</w:t>
            </w:r>
          </w:p>
          <w:p>
            <w:pPr>
              <w:pStyle w:val="null3"/>
              <w:jc w:val="left"/>
            </w:pPr>
            <w:r>
              <w:rPr>
                <w:rFonts w:ascii="仿宋_GB2312" w:hAnsi="仿宋_GB2312" w:cs="仿宋_GB2312" w:eastAsia="仿宋_GB2312"/>
                <w:sz w:val="21"/>
              </w:rPr>
              <w:t>本项目涉及的等级保护对象总共为</w:t>
            </w:r>
            <w:r>
              <w:rPr>
                <w:rFonts w:ascii="仿宋_GB2312" w:hAnsi="仿宋_GB2312" w:cs="仿宋_GB2312" w:eastAsia="仿宋_GB2312"/>
                <w:sz w:val="21"/>
              </w:rPr>
              <w:t>9个三级信息系统，具体如下：</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序号</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信息系统名称</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安全保护等级</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大数据分析平台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第三级</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高清视频生产融媒体制作平台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第三级</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海南省文联</w:t>
                  </w:r>
                  <w:r>
                    <w:rPr>
                      <w:rFonts w:ascii="仿宋_GB2312" w:hAnsi="仿宋_GB2312" w:cs="仿宋_GB2312" w:eastAsia="仿宋_GB2312"/>
                      <w:sz w:val="21"/>
                    </w:rPr>
                    <w:t>“互联网+文艺”平台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第三级</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融合媒体生产平台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第三级</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融媒体发布平台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第三级</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融媒体基础支撑平台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第三级</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融媒体生产指挥平台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第三级</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媒资系统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第三级</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宣传管理与媒体协作平台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第三级</w:t>
                  </w:r>
                </w:p>
              </w:tc>
            </w:tr>
          </w:tbl>
          <w:p>
            <w:pPr>
              <w:pStyle w:val="null3"/>
              <w:jc w:val="left"/>
            </w:pPr>
            <w:r>
              <w:rPr>
                <w:rFonts w:ascii="仿宋_GB2312" w:hAnsi="仿宋_GB2312" w:cs="仿宋_GB2312" w:eastAsia="仿宋_GB2312"/>
                <w:sz w:val="21"/>
              </w:rPr>
              <w:t>3、网络安全等级保护测评</w:t>
            </w:r>
          </w:p>
          <w:p>
            <w:pPr>
              <w:pStyle w:val="null3"/>
              <w:jc w:val="left"/>
            </w:pPr>
            <w:r>
              <w:rPr>
                <w:rFonts w:ascii="仿宋_GB2312" w:hAnsi="仿宋_GB2312" w:cs="仿宋_GB2312" w:eastAsia="仿宋_GB2312"/>
                <w:sz w:val="21"/>
              </w:rPr>
              <w:t>3.1 测评内容</w:t>
            </w:r>
          </w:p>
          <w:p>
            <w:pPr>
              <w:pStyle w:val="null3"/>
              <w:jc w:val="left"/>
            </w:pPr>
            <w:r>
              <w:rPr>
                <w:rFonts w:ascii="仿宋_GB2312" w:hAnsi="仿宋_GB2312" w:cs="仿宋_GB2312" w:eastAsia="仿宋_GB2312"/>
                <w:sz w:val="21"/>
              </w:rPr>
              <w:t>3.1.1对用户的信息系统进行摸底、分析和梳理，提出详细的测评方案及完成系统备案工作。</w:t>
            </w:r>
          </w:p>
          <w:p>
            <w:pPr>
              <w:pStyle w:val="null3"/>
              <w:jc w:val="left"/>
            </w:pPr>
            <w:r>
              <w:rPr>
                <w:rFonts w:ascii="仿宋_GB2312" w:hAnsi="仿宋_GB2312" w:cs="仿宋_GB2312" w:eastAsia="仿宋_GB2312"/>
                <w:sz w:val="21"/>
              </w:rPr>
              <w:t>3.1.2 逐一对信息系统进行安全等级保护测评，测评的内容包括但不限于以下内容：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1）安全技术测评：包括安全物理环境、安全通信网络、安全区域边界、安全计算环境和安全管理中心五个方面的安全测评；</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2）安全管理测评：包括安全管理制度、安全管理机构、安全管理人员、安全建设管理和安全运维管理五个方面的安全测评。</w:t>
            </w:r>
          </w:p>
          <w:p>
            <w:pPr>
              <w:pStyle w:val="null3"/>
              <w:jc w:val="left"/>
            </w:pPr>
            <w:r>
              <w:rPr>
                <w:rFonts w:ascii="仿宋_GB2312" w:hAnsi="仿宋_GB2312" w:cs="仿宋_GB2312" w:eastAsia="仿宋_GB2312"/>
                <w:sz w:val="21"/>
              </w:rPr>
              <w:t>3.1.3 完成测评工作后，出具符合等保要求的网络安全保护等级测评报告，提出整改意见。</w:t>
            </w:r>
          </w:p>
          <w:p>
            <w:pPr>
              <w:pStyle w:val="null3"/>
              <w:jc w:val="left"/>
            </w:pPr>
            <w:r>
              <w:rPr>
                <w:rFonts w:ascii="仿宋_GB2312" w:hAnsi="仿宋_GB2312" w:cs="仿宋_GB2312" w:eastAsia="仿宋_GB2312"/>
                <w:sz w:val="21"/>
              </w:rPr>
              <w:t>3.2 项目输出(包括但不限于以下内容)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1）信息系统定级相关文件和报告；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2）《网络安全等级保护测评报告》。</w:t>
            </w:r>
          </w:p>
          <w:p>
            <w:pPr>
              <w:pStyle w:val="null3"/>
              <w:jc w:val="left"/>
            </w:pPr>
            <w:r>
              <w:rPr>
                <w:rFonts w:ascii="仿宋_GB2312" w:hAnsi="仿宋_GB2312" w:cs="仿宋_GB2312" w:eastAsia="仿宋_GB2312"/>
                <w:sz w:val="21"/>
              </w:rPr>
              <w:t>3.3 测评服务步骤</w:t>
            </w:r>
          </w:p>
          <w:p>
            <w:pPr>
              <w:pStyle w:val="null3"/>
              <w:jc w:val="left"/>
            </w:pPr>
            <w:r>
              <w:rPr>
                <w:rFonts w:ascii="仿宋_GB2312" w:hAnsi="仿宋_GB2312" w:cs="仿宋_GB2312" w:eastAsia="仿宋_GB2312"/>
                <w:sz w:val="21"/>
              </w:rPr>
              <w:t>网络等级保护测评过程需按照《信息安全技术网络安全等级保护测评过程指南》（</w:t>
            </w:r>
            <w:r>
              <w:rPr>
                <w:rFonts w:ascii="仿宋_GB2312" w:hAnsi="仿宋_GB2312" w:cs="仿宋_GB2312" w:eastAsia="仿宋_GB2312"/>
                <w:sz w:val="21"/>
              </w:rPr>
              <w:t>GB/T28449-2018）开展工作，等级测评过程分为四个基本测评活动：测评准备活动、方案编制活动、现场测评活动、分析及报告编制活动。测评双方之间的沟通与洽谈应贯穿整个等级测评过程。</w:t>
            </w:r>
          </w:p>
          <w:p>
            <w:pPr>
              <w:pStyle w:val="null3"/>
              <w:jc w:val="left"/>
            </w:pPr>
            <w:r>
              <w:rPr>
                <w:rFonts w:ascii="仿宋_GB2312" w:hAnsi="仿宋_GB2312" w:cs="仿宋_GB2312" w:eastAsia="仿宋_GB2312"/>
                <w:sz w:val="21"/>
              </w:rPr>
              <w:t>3.4 测评准备活动</w:t>
            </w:r>
          </w:p>
          <w:p>
            <w:pPr>
              <w:pStyle w:val="null3"/>
              <w:jc w:val="left"/>
            </w:pPr>
            <w:r>
              <w:rPr>
                <w:rFonts w:ascii="仿宋_GB2312" w:hAnsi="仿宋_GB2312" w:cs="仿宋_GB2312" w:eastAsia="仿宋_GB2312"/>
                <w:sz w:val="21"/>
              </w:rPr>
              <w:t>测评准备工作包括编制项目启动、信息收集和分析、工具和表单准备。详细要求见下表：</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1"/>
                    </w:rPr>
                    <w:t>项目内容</w:t>
                  </w:r>
                </w:p>
              </w:tc>
              <w:tc>
                <w:tcPr>
                  <w:tcW w:type="dxa" w:w="85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工作内容</w:t>
                  </w:r>
                </w:p>
              </w:tc>
              <w:tc>
                <w:tcPr>
                  <w:tcW w:type="dxa" w:w="85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1"/>
                    </w:rPr>
                    <w:t>成果输出</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项目启动</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1.组建测评项目组</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向用户提交《项目计划书》、《提供资料清单》</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2.编制《项目计划书》</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3.确定测评委托单位应提供的资料</w:t>
                  </w:r>
                </w:p>
              </w:tc>
              <w:tc>
                <w:tcPr>
                  <w:tcW w:type="dxa" w:w="851"/>
                  <w:vMerge/>
                  <w:tcBorders>
                    <w:top w:val="none" w:color="000000" w:sz="4"/>
                    <w:left w:val="none" w:color="000000" w:sz="4"/>
                    <w:bottom w:val="single" w:color="000000" w:sz="4"/>
                    <w:right w:val="single" w:color="000000" w:sz="4"/>
                  </w:tcBorders>
                </w:tcP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信息收集分析</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定级报告及整改方案分析</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《系统基本情况分析报告》</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1.整理调查表单</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2.发放调查表单给测评委托单位</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3.协助测评委托单位填写调查表</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4.收回调查结果</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5.分析调查</w:t>
                  </w:r>
                </w:p>
              </w:tc>
              <w:tc>
                <w:tcPr>
                  <w:tcW w:type="dxa" w:w="851"/>
                  <w:vMerge/>
                  <w:tcBorders>
                    <w:top w:val="none" w:color="000000" w:sz="4"/>
                    <w:left w:val="none" w:color="000000" w:sz="4"/>
                    <w:bottom w:val="single" w:color="000000" w:sz="4"/>
                    <w:right w:val="single" w:color="000000" w:sz="4"/>
                  </w:tcBorders>
                </w:tcP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工具和表单准备</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1.调试测评工具</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确定测评工具（测评工具清单）《现场测评授权书》、《测评结果记录表》、《文档交接单》</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2.模拟被测系统搭建测评环境</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3.模拟测评</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4.准备打印表单</w:t>
                  </w:r>
                </w:p>
              </w:tc>
              <w:tc>
                <w:tcPr>
                  <w:tcW w:type="dxa" w:w="851"/>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21"/>
              </w:rPr>
              <w:t>3.5 方案编制活动</w:t>
            </w:r>
          </w:p>
          <w:p>
            <w:pPr>
              <w:pStyle w:val="null3"/>
              <w:jc w:val="left"/>
            </w:pPr>
            <w:r>
              <w:rPr>
                <w:rFonts w:ascii="仿宋_GB2312" w:hAnsi="仿宋_GB2312" w:cs="仿宋_GB2312" w:eastAsia="仿宋_GB2312"/>
                <w:sz w:val="21"/>
              </w:rPr>
              <w:t>方案编制活动包括测评对象确定、测评指标确定、测试工具接入点确定、测评内容确定、测评指导书开发及测评方案编制等六项主要任务。详细要求见下表：</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工作内容</w:t>
                  </w:r>
                </w:p>
              </w:tc>
              <w:tc>
                <w:tcPr>
                  <w:tcW w:type="dxa" w:w="85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工作详细任务</w:t>
                  </w:r>
                </w:p>
              </w:tc>
              <w:tc>
                <w:tcPr>
                  <w:tcW w:type="dxa" w:w="85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1"/>
                    </w:rPr>
                    <w:t>输出成果</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一、测评对象确认</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识别被测系统等级</w:t>
                  </w:r>
                </w:p>
                <w:p>
                  <w:pPr>
                    <w:pStyle w:val="null3"/>
                    <w:jc w:val="left"/>
                  </w:pPr>
                  <w:r>
                    <w:rPr>
                      <w:rFonts w:ascii="仿宋_GB2312" w:hAnsi="仿宋_GB2312" w:cs="仿宋_GB2312" w:eastAsia="仿宋_GB2312"/>
                      <w:sz w:val="21"/>
                    </w:rPr>
                    <w:t>识别被测系统的整体结构</w:t>
                  </w:r>
                </w:p>
                <w:p>
                  <w:pPr>
                    <w:pStyle w:val="null3"/>
                    <w:jc w:val="left"/>
                  </w:pPr>
                  <w:r>
                    <w:rPr>
                      <w:rFonts w:ascii="仿宋_GB2312" w:hAnsi="仿宋_GB2312" w:cs="仿宋_GB2312" w:eastAsia="仿宋_GB2312"/>
                      <w:sz w:val="21"/>
                    </w:rPr>
                    <w:t>识别被测系统的边界</w:t>
                  </w:r>
                </w:p>
                <w:p>
                  <w:pPr>
                    <w:pStyle w:val="null3"/>
                    <w:jc w:val="left"/>
                  </w:pPr>
                  <w:r>
                    <w:rPr>
                      <w:rFonts w:ascii="仿宋_GB2312" w:hAnsi="仿宋_GB2312" w:cs="仿宋_GB2312" w:eastAsia="仿宋_GB2312"/>
                      <w:sz w:val="21"/>
                    </w:rPr>
                    <w:t>识别被测系统的网络区域</w:t>
                  </w:r>
                </w:p>
                <w:p>
                  <w:pPr>
                    <w:pStyle w:val="null3"/>
                    <w:jc w:val="left"/>
                  </w:pPr>
                  <w:r>
                    <w:rPr>
                      <w:rFonts w:ascii="仿宋_GB2312" w:hAnsi="仿宋_GB2312" w:cs="仿宋_GB2312" w:eastAsia="仿宋_GB2312"/>
                      <w:sz w:val="21"/>
                    </w:rPr>
                    <w:t>识别被测系统的重要节点和业务应用</w:t>
                  </w:r>
                </w:p>
                <w:p>
                  <w:pPr>
                    <w:pStyle w:val="null3"/>
                    <w:jc w:val="left"/>
                  </w:pPr>
                  <w:r>
                    <w:rPr>
                      <w:rFonts w:ascii="仿宋_GB2312" w:hAnsi="仿宋_GB2312" w:cs="仿宋_GB2312" w:eastAsia="仿宋_GB2312"/>
                      <w:sz w:val="21"/>
                    </w:rPr>
                    <w:t>确定测评对象</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《测评方案》的测评对象部分</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二、测评指标确定</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识别被测系统业务信息和系统服务安全保护等级</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《测评方案》的测评指标部分</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选择对应等级的安全要求作为测评指标</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就高原则调整多个定级对象共用的某些物理安全或管理安全测评指标</w:t>
                  </w:r>
                </w:p>
              </w:tc>
              <w:tc>
                <w:tcPr>
                  <w:tcW w:type="dxa" w:w="851"/>
                  <w:vMerge/>
                  <w:tcBorders>
                    <w:top w:val="none" w:color="000000" w:sz="4"/>
                    <w:left w:val="none" w:color="000000" w:sz="4"/>
                    <w:bottom w:val="single" w:color="000000" w:sz="4"/>
                    <w:right w:val="single" w:color="000000" w:sz="4"/>
                  </w:tcBorders>
                </w:tcP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三、工具测试点确定</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确定工具测试的测评对象</w:t>
                  </w:r>
                </w:p>
                <w:p>
                  <w:pPr>
                    <w:pStyle w:val="null3"/>
                    <w:jc w:val="left"/>
                  </w:pPr>
                  <w:r>
                    <w:rPr>
                      <w:rFonts w:ascii="仿宋_GB2312" w:hAnsi="仿宋_GB2312" w:cs="仿宋_GB2312" w:eastAsia="仿宋_GB2312"/>
                      <w:sz w:val="21"/>
                    </w:rPr>
                    <w:t>选择测试路径</w:t>
                  </w:r>
                </w:p>
                <w:p>
                  <w:pPr>
                    <w:pStyle w:val="null3"/>
                    <w:jc w:val="left"/>
                  </w:pPr>
                  <w:r>
                    <w:rPr>
                      <w:rFonts w:ascii="仿宋_GB2312" w:hAnsi="仿宋_GB2312" w:cs="仿宋_GB2312" w:eastAsia="仿宋_GB2312"/>
                      <w:sz w:val="21"/>
                    </w:rPr>
                    <w:t>确定测试工具的接入点</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《测评方案》的测试工具接入点部分</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四、测试内容确定</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识别每个测评对象的测评指标</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《测评方案》的单项测评实施和系统测评实施部分</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识别每个测评对象对应的每个测试指标的测试方法</w:t>
                  </w:r>
                </w:p>
              </w:tc>
              <w:tc>
                <w:tcPr>
                  <w:tcW w:type="dxa" w:w="851"/>
                  <w:vMerge/>
                  <w:tcBorders>
                    <w:top w:val="none" w:color="000000" w:sz="4"/>
                    <w:left w:val="none" w:color="000000" w:sz="4"/>
                    <w:bottom w:val="single" w:color="000000" w:sz="4"/>
                    <w:right w:val="single" w:color="000000" w:sz="4"/>
                  </w:tcBorders>
                </w:tcP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五、测评指导书开发</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从已有的测评指导书中选择与测评对象对应的手册</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《测评方案》的测评实施手册部分</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针对没有现成测评指导书的测评对象，开发新的测评指导书</w:t>
                  </w:r>
                </w:p>
              </w:tc>
              <w:tc>
                <w:tcPr>
                  <w:tcW w:type="dxa" w:w="851"/>
                  <w:vMerge/>
                  <w:tcBorders>
                    <w:top w:val="none" w:color="000000" w:sz="4"/>
                    <w:left w:val="none" w:color="000000" w:sz="4"/>
                    <w:bottom w:val="single" w:color="000000" w:sz="4"/>
                    <w:right w:val="single" w:color="000000" w:sz="4"/>
                  </w:tcBorders>
                </w:tcP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六、测评方案编制</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描述测评项目基本情况和工作依据</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向用户提交《测评方案》</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描述被测系统的整体结构、边界和网络区域</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描述被测系统的重要节点和业务应用</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描述测评指标</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描述测评对象</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描述测评内容和方法</w:t>
                  </w:r>
                </w:p>
              </w:tc>
              <w:tc>
                <w:tcPr>
                  <w:tcW w:type="dxa" w:w="851"/>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21"/>
              </w:rPr>
              <w:t>3.6 现场测评活动</w:t>
            </w:r>
          </w:p>
          <w:p>
            <w:pPr>
              <w:pStyle w:val="null3"/>
              <w:jc w:val="left"/>
            </w:pPr>
            <w:r>
              <w:rPr>
                <w:rFonts w:ascii="仿宋_GB2312" w:hAnsi="仿宋_GB2312" w:cs="仿宋_GB2312" w:eastAsia="仿宋_GB2312"/>
                <w:sz w:val="21"/>
              </w:rPr>
              <w:t>现场测评活动通过与测评委托单位进行沟通和协调，为现场测评的顺利开展打下良好基础，然后依据测评方案实施现场测评工作，将测评方案和测评工具等具体落实到现场测评活动中。现场测评工作应取得分析与报告编制活动所需的、足够的证据和资料。</w:t>
            </w:r>
          </w:p>
          <w:p>
            <w:pPr>
              <w:pStyle w:val="null3"/>
              <w:jc w:val="left"/>
            </w:pPr>
            <w:r>
              <w:rPr>
                <w:rFonts w:ascii="仿宋_GB2312" w:hAnsi="仿宋_GB2312" w:cs="仿宋_GB2312" w:eastAsia="仿宋_GB2312"/>
                <w:sz w:val="21"/>
              </w:rPr>
              <w:t>现场测评活动包括现场测评准备、现场测评和结果记录、结果确认和资料归还三项主要任务。详细要求见下表：</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工作内容</w:t>
                  </w:r>
                </w:p>
              </w:tc>
              <w:tc>
                <w:tcPr>
                  <w:tcW w:type="dxa" w:w="85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工作详细任务</w:t>
                  </w:r>
                </w:p>
              </w:tc>
              <w:tc>
                <w:tcPr>
                  <w:tcW w:type="dxa" w:w="85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1"/>
                    </w:rPr>
                    <w:t>输出</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1.现场测评准备</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现场测评授权书签署</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会议记录、确认的授权委托书、更新后的测评计划和测评方案</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召开现场测评启动会</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双方确认测评方案</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双方确认配合人员、环境等资源</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确认信息系统已经备份</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测评方案、结构记录表格等资料更新</w:t>
                  </w:r>
                </w:p>
              </w:tc>
              <w:tc>
                <w:tcPr>
                  <w:tcW w:type="dxa" w:w="851"/>
                  <w:vMerge/>
                  <w:tcBorders>
                    <w:top w:val="none" w:color="000000" w:sz="4"/>
                    <w:left w:val="none" w:color="000000" w:sz="4"/>
                    <w:bottom w:val="single" w:color="000000" w:sz="4"/>
                    <w:right w:val="single" w:color="000000" w:sz="4"/>
                  </w:tcBorders>
                </w:tcP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2.现场测评和结构记录</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依据测评指导书实施测评</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访谈结果：技术安全和管理安全测评的测评结果记录或录音文档审查结果：管理安全测评的测评结果记录配置检查结果：技术安全测评的网络、主机、应用测评结果记录表格工具测试结果：技术安全测评的网络、主机、应用测评结果记录，工具测试完成后的电子输出记录，备份的测试结果文件实地察看结果：技术安全测评的物理安全和管理安全测评结果记录测评结果确认：现场核查中发现的问题汇总、证据和证据源记录、被测单位的书面认可文件</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记录测评获取的证据、资料等信息</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汇总测评记录，如果需要，实施补充测评</w:t>
                  </w:r>
                </w:p>
              </w:tc>
              <w:tc>
                <w:tcPr>
                  <w:tcW w:type="dxa" w:w="851"/>
                  <w:vMerge/>
                  <w:tcBorders>
                    <w:top w:val="none" w:color="000000" w:sz="4"/>
                    <w:left w:val="none" w:color="000000" w:sz="4"/>
                    <w:bottom w:val="single" w:color="000000" w:sz="4"/>
                    <w:right w:val="single" w:color="000000" w:sz="4"/>
                  </w:tcBorders>
                </w:tcP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3.结果确认和资料归还</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召开现场测评结束会</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测评委托单位确认测评过程中获取的证据和资料的正确性，并签字认可</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测评人员归还借阅的各种资料</w:t>
                  </w:r>
                </w:p>
              </w:tc>
              <w:tc>
                <w:tcPr>
                  <w:tcW w:type="dxa" w:w="851"/>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21"/>
              </w:rPr>
              <w:t>3.7 报告分析及编制活动</w:t>
            </w:r>
          </w:p>
          <w:p>
            <w:pPr>
              <w:pStyle w:val="null3"/>
              <w:jc w:val="left"/>
            </w:pPr>
            <w:r>
              <w:rPr>
                <w:rFonts w:ascii="仿宋_GB2312" w:hAnsi="仿宋_GB2312" w:cs="仿宋_GB2312" w:eastAsia="仿宋_GB2312"/>
                <w:sz w:val="21"/>
              </w:rPr>
              <w:t>在现场测评工作结束后，应对现场测评获得的测评结果（或称测评证据）进行汇总分析，形成等级测评结论，并编制测评报告。</w:t>
            </w:r>
          </w:p>
          <w:p>
            <w:pPr>
              <w:pStyle w:val="null3"/>
              <w:jc w:val="left"/>
            </w:pPr>
            <w:r>
              <w:rPr>
                <w:rFonts w:ascii="仿宋_GB2312" w:hAnsi="仿宋_GB2312" w:cs="仿宋_GB2312" w:eastAsia="仿宋_GB2312"/>
                <w:sz w:val="21"/>
              </w:rPr>
              <w:t>测评人员在初步判定单元测评结果后，还需进行整体测评，经过整体测评后，有的单元测评结果可能会有所变化，需进一步修订单元测评结果，而后进行风险分析和评价，形成等级测评结论。分析与报告编制活动包括单项测评结果判定、单元测评结果判定、整体测评、风险分析、等级测评结论形成及测评报告编制六项主要任务。详细要求见下表：</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工作内容</w:t>
                  </w:r>
                </w:p>
              </w:tc>
              <w:tc>
                <w:tcPr>
                  <w:tcW w:type="dxa" w:w="85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工作详细任务</w:t>
                  </w:r>
                </w:p>
              </w:tc>
              <w:tc>
                <w:tcPr>
                  <w:tcW w:type="dxa" w:w="851"/>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1"/>
                    </w:rPr>
                    <w:t>工作依据（模版</w:t>
                  </w:r>
                  <w:r>
                    <w:rPr>
                      <w:rFonts w:ascii="仿宋_GB2312" w:hAnsi="仿宋_GB2312" w:cs="仿宋_GB2312" w:eastAsia="仿宋_GB2312"/>
                      <w:sz w:val="21"/>
                    </w:rPr>
                    <w:t>)</w:t>
                  </w: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1.单项测评结果判定</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分析测评项所对抗威胁的存在情况</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等级测评报告的单项测评结果部分</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分析单个测评项是否有多方面的要求内容，依据</w:t>
                  </w:r>
                  <w:r>
                    <w:rPr>
                      <w:rFonts w:ascii="仿宋_GB2312" w:hAnsi="仿宋_GB2312" w:cs="仿宋_GB2312" w:eastAsia="仿宋_GB2312"/>
                      <w:sz w:val="21"/>
                    </w:rPr>
                    <w:t>“优势证据”法选择优势证据，并将优势证据与预期测评结果相比较</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综合判定单个测评项的测评结果</w:t>
                  </w:r>
                </w:p>
              </w:tc>
              <w:tc>
                <w:tcPr>
                  <w:tcW w:type="dxa" w:w="851"/>
                  <w:vMerge/>
                  <w:tcBorders>
                    <w:top w:val="none" w:color="000000" w:sz="4"/>
                    <w:left w:val="none" w:color="000000" w:sz="4"/>
                    <w:bottom w:val="single" w:color="000000" w:sz="4"/>
                    <w:right w:val="single" w:color="000000" w:sz="4"/>
                  </w:tcBorders>
                </w:tcP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2.单元测评结果判定</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汇总每个测评对象在每个测评单元的单项测评结果</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等级测评报告的单项测评结果汇总分析部分</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判定每个测评对象的单元测评结果</w:t>
                  </w:r>
                </w:p>
              </w:tc>
              <w:tc>
                <w:tcPr>
                  <w:tcW w:type="dxa" w:w="851"/>
                  <w:vMerge/>
                  <w:tcBorders>
                    <w:top w:val="none" w:color="000000" w:sz="4"/>
                    <w:left w:val="none" w:color="000000" w:sz="4"/>
                    <w:bottom w:val="single" w:color="000000" w:sz="4"/>
                    <w:right w:val="single" w:color="000000" w:sz="4"/>
                  </w:tcBorders>
                </w:tcP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3.整体测评</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分析不符合和部分符合的测评项与其他测评项（包括单元内、层面间、区域间）之间的关联关系及对结果的影响情况</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等级测评报告的系统整体测评分析部分</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分析被测系统整体结构的安全性对结果的影响情况</w:t>
                  </w:r>
                </w:p>
              </w:tc>
              <w:tc>
                <w:tcPr>
                  <w:tcW w:type="dxa" w:w="851"/>
                  <w:vMerge/>
                  <w:tcBorders>
                    <w:top w:val="none" w:color="000000" w:sz="4"/>
                    <w:left w:val="none" w:color="000000" w:sz="4"/>
                    <w:bottom w:val="single" w:color="000000" w:sz="4"/>
                    <w:right w:val="single" w:color="000000" w:sz="4"/>
                  </w:tcBorders>
                </w:tcP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4.风险分析</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整体测评后的单项测评结果再次汇总</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等级测评报告的风险分析部分</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分析部分符合项或不符合项所产生的安全问题被威胁利用的可能性</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分析威胁利用安全问题后造成的影响程度</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为被测系统面临的风险进行赋值</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评价风险分析结果</w:t>
                  </w:r>
                </w:p>
              </w:tc>
              <w:tc>
                <w:tcPr>
                  <w:tcW w:type="dxa" w:w="851"/>
                  <w:vMerge/>
                  <w:tcBorders>
                    <w:top w:val="none" w:color="000000" w:sz="4"/>
                    <w:left w:val="none" w:color="000000" w:sz="4"/>
                    <w:bottom w:val="single" w:color="000000" w:sz="4"/>
                    <w:right w:val="single" w:color="000000" w:sz="4"/>
                  </w:tcBorders>
                </w:tcP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5.等级测评结论形成</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统计再次汇总后的单项测评结果为部分符合和不符合项的项数</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等级测评报告的等级测评结论部分</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形成等级测评结论</w:t>
                  </w:r>
                </w:p>
              </w:tc>
              <w:tc>
                <w:tcPr>
                  <w:tcW w:type="dxa" w:w="851"/>
                  <w:vMerge/>
                  <w:tcBorders>
                    <w:top w:val="none" w:color="000000" w:sz="4"/>
                    <w:left w:val="none" w:color="000000" w:sz="4"/>
                    <w:bottom w:val="single" w:color="000000" w:sz="4"/>
                    <w:right w:val="single" w:color="000000" w:sz="4"/>
                  </w:tcBorders>
                </w:tcPr>
                <w:p/>
              </w:tc>
            </w:tr>
            <w:tr>
              <w:tc>
                <w:tcPr>
                  <w:tcW w:type="dxa" w:w="8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6.测评报告编制</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概述测评项目情况</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等级测评报告提交用户</w:t>
                  </w: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描述被测系统情况</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描述测评范围和方法</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描述整体测评情况</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汇总测评结果</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描述风险情况</w:t>
                  </w:r>
                </w:p>
              </w:tc>
              <w:tc>
                <w:tcPr>
                  <w:tcW w:type="dxa" w:w="851"/>
                  <w:vMerge/>
                  <w:tcBorders>
                    <w:top w:val="none" w:color="000000" w:sz="4"/>
                    <w:left w:val="none" w:color="000000" w:sz="4"/>
                    <w:bottom w:val="single" w:color="000000" w:sz="4"/>
                    <w:right w:val="single" w:color="000000" w:sz="4"/>
                  </w:tcBorders>
                </w:tcPr>
                <w:p/>
              </w:tc>
            </w:tr>
            <w:tr>
              <w:tc>
                <w:tcPr>
                  <w:tcW w:type="dxa" w:w="851"/>
                  <w:vMerge/>
                  <w:tcBorders>
                    <w:top w:val="none" w:color="000000" w:sz="4"/>
                    <w:left w:val="single" w:color="000000" w:sz="4"/>
                    <w:bottom w:val="single" w:color="000000" w:sz="4"/>
                    <w:right w:val="single" w:color="000000" w:sz="4"/>
                  </w:tcBorders>
                </w:tcP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给出等级测评结论和整改建议</w:t>
                  </w:r>
                </w:p>
              </w:tc>
              <w:tc>
                <w:tcPr>
                  <w:tcW w:type="dxa" w:w="851"/>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21"/>
              </w:rPr>
              <w:t>4、项目实施要求</w:t>
            </w:r>
          </w:p>
          <w:p>
            <w:pPr>
              <w:pStyle w:val="null3"/>
              <w:jc w:val="left"/>
            </w:pPr>
            <w:r>
              <w:rPr>
                <w:rFonts w:ascii="仿宋_GB2312" w:hAnsi="仿宋_GB2312" w:cs="仿宋_GB2312" w:eastAsia="仿宋_GB2312"/>
                <w:sz w:val="21"/>
              </w:rPr>
              <w:t>项目实施过程中，供应商应遵循国家标准、行业标准，在项目实施中供应商须做到：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1）提供完整的系统实施方案和项目实施管理办法；</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2）提供详细的项目实施方案和计划进度说明书；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3）项目实施完成后提供可靠的后期技术服务工作；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4）严格按照双方确定的计划进度保质保量完成工作；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5）规范项目实施过程中的文档管理。</w:t>
            </w:r>
          </w:p>
          <w:p>
            <w:pPr>
              <w:pStyle w:val="null3"/>
              <w:jc w:val="left"/>
            </w:pPr>
            <w:r>
              <w:rPr>
                <w:rFonts w:ascii="仿宋_GB2312" w:hAnsi="仿宋_GB2312" w:cs="仿宋_GB2312" w:eastAsia="仿宋_GB2312"/>
                <w:sz w:val="21"/>
              </w:rPr>
              <w:t>5、项目验收要求</w:t>
            </w:r>
          </w:p>
          <w:p>
            <w:pPr>
              <w:pStyle w:val="null3"/>
              <w:jc w:val="left"/>
            </w:pPr>
            <w:r>
              <w:rPr>
                <w:rFonts w:ascii="仿宋_GB2312" w:hAnsi="仿宋_GB2312" w:cs="仿宋_GB2312" w:eastAsia="仿宋_GB2312"/>
                <w:sz w:val="21"/>
              </w:rPr>
              <w:t>成交供应商必须提供给采购单位详细的项目验收方案。</w:t>
            </w:r>
          </w:p>
          <w:p>
            <w:pPr>
              <w:pStyle w:val="null3"/>
              <w:jc w:val="left"/>
            </w:pPr>
            <w:r>
              <w:rPr>
                <w:rFonts w:ascii="仿宋_GB2312" w:hAnsi="仿宋_GB2312" w:cs="仿宋_GB2312" w:eastAsia="仿宋_GB2312"/>
                <w:sz w:val="21"/>
              </w:rPr>
              <w:t>5.1 验收组织</w:t>
            </w:r>
          </w:p>
          <w:p>
            <w:pPr>
              <w:pStyle w:val="null3"/>
              <w:jc w:val="left"/>
            </w:pPr>
            <w:r>
              <w:rPr>
                <w:rFonts w:ascii="仿宋_GB2312" w:hAnsi="仿宋_GB2312" w:cs="仿宋_GB2312" w:eastAsia="仿宋_GB2312"/>
                <w:sz w:val="21"/>
              </w:rPr>
              <w:t>成立由采购单位、成交供应商以及其他有关人员组成的验收小组，负责对项目进行全面的验收。</w:t>
            </w:r>
          </w:p>
          <w:p>
            <w:pPr>
              <w:pStyle w:val="null3"/>
              <w:jc w:val="left"/>
            </w:pPr>
            <w:r>
              <w:rPr>
                <w:rFonts w:ascii="仿宋_GB2312" w:hAnsi="仿宋_GB2312" w:cs="仿宋_GB2312" w:eastAsia="仿宋_GB2312"/>
                <w:sz w:val="21"/>
              </w:rPr>
              <w:t>5.2 验收标准</w:t>
            </w:r>
          </w:p>
          <w:p>
            <w:pPr>
              <w:pStyle w:val="null3"/>
              <w:jc w:val="left"/>
            </w:pPr>
            <w:r>
              <w:rPr>
                <w:rFonts w:ascii="仿宋_GB2312" w:hAnsi="仿宋_GB2312" w:cs="仿宋_GB2312" w:eastAsia="仿宋_GB2312"/>
                <w:sz w:val="21"/>
              </w:rPr>
              <w:t>标准化：项目验收最关键的指标，应确保测评过程符合国家标准规范；</w:t>
            </w:r>
          </w:p>
          <w:p>
            <w:pPr>
              <w:pStyle w:val="null3"/>
              <w:jc w:val="left"/>
            </w:pPr>
            <w:r>
              <w:rPr>
                <w:rFonts w:ascii="仿宋_GB2312" w:hAnsi="仿宋_GB2312" w:cs="仿宋_GB2312" w:eastAsia="仿宋_GB2312"/>
                <w:sz w:val="21"/>
              </w:rPr>
              <w:t>系统稳定性：在测评过程中应确保软硬件环境的稳定性、运行正常；</w:t>
            </w:r>
          </w:p>
          <w:p>
            <w:pPr>
              <w:pStyle w:val="null3"/>
              <w:jc w:val="left"/>
            </w:pPr>
            <w:r>
              <w:rPr>
                <w:rFonts w:ascii="仿宋_GB2312" w:hAnsi="仿宋_GB2312" w:cs="仿宋_GB2312" w:eastAsia="仿宋_GB2312"/>
                <w:sz w:val="21"/>
              </w:rPr>
              <w:t>系统文档：验收文档是否齐全、规范、准确、详细；</w:t>
            </w:r>
          </w:p>
          <w:p>
            <w:pPr>
              <w:pStyle w:val="null3"/>
              <w:jc w:val="left"/>
            </w:pPr>
            <w:r>
              <w:rPr>
                <w:rFonts w:ascii="仿宋_GB2312" w:hAnsi="仿宋_GB2312" w:cs="仿宋_GB2312" w:eastAsia="仿宋_GB2312"/>
                <w:sz w:val="21"/>
              </w:rPr>
              <w:t>系统可操作性：交付成果清晰、通俗易懂。</w:t>
            </w:r>
          </w:p>
          <w:p>
            <w:pPr>
              <w:pStyle w:val="null3"/>
              <w:jc w:val="left"/>
            </w:pPr>
            <w:r>
              <w:rPr>
                <w:rFonts w:ascii="仿宋_GB2312" w:hAnsi="仿宋_GB2312" w:cs="仿宋_GB2312" w:eastAsia="仿宋_GB2312"/>
                <w:sz w:val="21"/>
              </w:rPr>
              <w:t>6、售后服务要求</w:t>
            </w:r>
          </w:p>
          <w:p>
            <w:pPr>
              <w:pStyle w:val="null3"/>
              <w:jc w:val="both"/>
            </w:pPr>
            <w:r>
              <w:rPr>
                <w:rFonts w:ascii="仿宋_GB2312" w:hAnsi="仿宋_GB2312" w:cs="仿宋_GB2312" w:eastAsia="仿宋_GB2312"/>
                <w:sz w:val="21"/>
              </w:rPr>
              <w:t>对于评估中发现的应用系统、主机和网络设备漏洞，投标方应提供项目验收后一年内的跟踪服务，对本次评估范围内的问题提供远程或现场技术咨询，对于漏洞的修补、问题的排除给出建议和指导。</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标的名称：海南省级融媒体中心及融合技术平台“南海云”运维服务项目 （密评）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一、技术要求</w:t>
            </w:r>
          </w:p>
          <w:p>
            <w:pPr>
              <w:pStyle w:val="null3"/>
              <w:jc w:val="both"/>
            </w:pPr>
            <w:r>
              <w:rPr>
                <w:rFonts w:ascii="仿宋_GB2312" w:hAnsi="仿宋_GB2312" w:cs="仿宋_GB2312" w:eastAsia="仿宋_GB2312"/>
                <w:sz w:val="21"/>
              </w:rPr>
              <w:t>1.项目背景</w:t>
            </w:r>
          </w:p>
          <w:p>
            <w:pPr>
              <w:pStyle w:val="null3"/>
              <w:jc w:val="both"/>
            </w:pPr>
            <w:r>
              <w:rPr>
                <w:rFonts w:ascii="仿宋_GB2312" w:hAnsi="仿宋_GB2312" w:cs="仿宋_GB2312" w:eastAsia="仿宋_GB2312"/>
                <w:sz w:val="21"/>
              </w:rPr>
              <w:t>当前，网络安全已经成为国家安全的重要组成部分，没有网络安全就没有国家安全。近年来，网络空间安全事件频发。面对国内外越来越严峻的网络安全的形势，网络安全提升到国家战略高度，而密码技术又是与核技术、航天技术并称为国家三大</w:t>
            </w:r>
            <w:r>
              <w:rPr>
                <w:rFonts w:ascii="仿宋_GB2312" w:hAnsi="仿宋_GB2312" w:cs="仿宋_GB2312" w:eastAsia="仿宋_GB2312"/>
                <w:sz w:val="21"/>
              </w:rPr>
              <w:t>“撒手锏”，因此国产密码应用推进提到新的日程。《中华人民共和国密码法》、《中华人民共和国网络安全法》等法律法规明确要求，重要领域网络和信息系统，应当采用国产密码进行保护，做到同步规划、同步建设、同步运行并定期评估。</w:t>
            </w:r>
          </w:p>
          <w:p>
            <w:pPr>
              <w:pStyle w:val="null3"/>
              <w:jc w:val="both"/>
            </w:pPr>
            <w:r>
              <w:rPr>
                <w:rFonts w:ascii="仿宋_GB2312" w:hAnsi="仿宋_GB2312" w:cs="仿宋_GB2312" w:eastAsia="仿宋_GB2312"/>
                <w:sz w:val="21"/>
              </w:rPr>
              <w:t>对重要领域重要信息系统开展商用密码应用安全性评估，是《中华人民共和国密码法》和中央有关文件的明确要求，是落实总体国家安全观和网络强国战略的具体行动，是深入推进重要领域密码应用的必然要求。开展商用密码应用安全性评估工作，不仅对规范密码应用具有重大意义，同时对维护网络和信息系统密码安全，切实保障网络安全，有效应对各类网络安全风险，也具有不可替代的重要作用。</w:t>
            </w:r>
          </w:p>
          <w:p>
            <w:pPr>
              <w:pStyle w:val="null3"/>
              <w:jc w:val="both"/>
            </w:pPr>
            <w:r>
              <w:rPr>
                <w:rFonts w:ascii="仿宋_GB2312" w:hAnsi="仿宋_GB2312" w:cs="仿宋_GB2312" w:eastAsia="仿宋_GB2312"/>
                <w:sz w:val="21"/>
              </w:rPr>
              <w:t>2．项目目标</w:t>
            </w:r>
          </w:p>
          <w:p>
            <w:pPr>
              <w:pStyle w:val="null3"/>
              <w:jc w:val="both"/>
            </w:pPr>
            <w:r>
              <w:rPr>
                <w:rFonts w:ascii="仿宋_GB2312" w:hAnsi="仿宋_GB2312" w:cs="仿宋_GB2312" w:eastAsia="仿宋_GB2312"/>
                <w:sz w:val="21"/>
              </w:rPr>
              <w:t>根据《中华人民共和国密码法》、《商用密码管理条例》、《商用密码应用安全性评估管理办法》以及国家关于重要领域密码应用的有关要求，通过对海南省级融媒体中心及融合技术平台</w:t>
            </w:r>
            <w:r>
              <w:rPr>
                <w:rFonts w:ascii="仿宋_GB2312" w:hAnsi="仿宋_GB2312" w:cs="仿宋_GB2312" w:eastAsia="仿宋_GB2312"/>
                <w:sz w:val="21"/>
              </w:rPr>
              <w:t>“南海云”运维服务项目在通用要求、商用密码应用技术要求、商用密码应用管理要求方面的评估，对系统商用密码应用的合规性、正确性、有效性作出判断，给出系统在商用密码技术应用、密钥管理及安全管理方面与其相应安全等级信息系统商用密码应用基本要求之间的差距，最终出具被评估系统的商用密码应用安全性评估报告。</w:t>
            </w:r>
          </w:p>
          <w:p>
            <w:pPr>
              <w:pStyle w:val="null3"/>
              <w:jc w:val="both"/>
            </w:pPr>
            <w:r>
              <w:rPr>
                <w:rFonts w:ascii="仿宋_GB2312" w:hAnsi="仿宋_GB2312" w:cs="仿宋_GB2312" w:eastAsia="仿宋_GB2312"/>
                <w:sz w:val="21"/>
              </w:rPr>
              <w:t>3.项目对象</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shd w:fill="7F7F7F"/>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851"/>
                  <w:tcBorders>
                    <w:top w:val="single" w:color="000000" w:sz="4"/>
                    <w:left w:val="none" w:color="000000" w:sz="4"/>
                    <w:bottom w:val="single" w:color="000000" w:sz="4"/>
                    <w:right w:val="single" w:color="000000" w:sz="4"/>
                  </w:tcBorders>
                  <w:shd w:fill="7F7F7F"/>
                  <w:tcMar>
                    <w:top w:type="dxa" w:w="0"/>
                    <w:left w:type="dxa" w:w="105"/>
                    <w:bottom w:type="dxa" w:w="0"/>
                    <w:right w:type="dxa" w:w="105"/>
                  </w:tcMar>
                  <w:vAlign w:val="top"/>
                </w:tcPr>
                <w:p>
                  <w:pPr>
                    <w:pStyle w:val="null3"/>
                    <w:jc w:val="both"/>
                  </w:pPr>
                  <w:r>
                    <w:rPr>
                      <w:rFonts w:ascii="仿宋_GB2312" w:hAnsi="仿宋_GB2312" w:cs="仿宋_GB2312" w:eastAsia="仿宋_GB2312"/>
                      <w:sz w:val="21"/>
                    </w:rPr>
                    <w:t>评估对象</w:t>
                  </w:r>
                </w:p>
              </w:tc>
              <w:tc>
                <w:tcPr>
                  <w:tcW w:type="dxa" w:w="851"/>
                  <w:tcBorders>
                    <w:top w:val="single" w:color="000000" w:sz="4"/>
                    <w:left w:val="none" w:color="000000" w:sz="4"/>
                    <w:bottom w:val="single" w:color="000000" w:sz="4"/>
                    <w:right w:val="single" w:color="000000" w:sz="4"/>
                  </w:tcBorders>
                  <w:shd w:fill="7F7F7F"/>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系统等级</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大数据分析平台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三级</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高清视频生产融媒体制作平台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三级</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宣传管理与媒体协作平台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三级</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媒资系统</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三级</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融合媒体生产平台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三级</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融媒体发布平台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三级</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融媒体基础支撑平台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三级</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融媒体生产指挥平台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三级</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海南省文联</w:t>
                  </w:r>
                  <w:r>
                    <w:rPr>
                      <w:rFonts w:ascii="仿宋_GB2312" w:hAnsi="仿宋_GB2312" w:cs="仿宋_GB2312" w:eastAsia="仿宋_GB2312"/>
                      <w:sz w:val="21"/>
                    </w:rPr>
                    <w:t>“互联网+文艺“平台</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三级</w:t>
                  </w:r>
                </w:p>
              </w:tc>
            </w:tr>
          </w:tbl>
          <w:p>
            <w:pPr>
              <w:pStyle w:val="null3"/>
              <w:jc w:val="both"/>
            </w:pPr>
            <w:r>
              <w:rPr>
                <w:rFonts w:ascii="仿宋_GB2312" w:hAnsi="仿宋_GB2312" w:cs="仿宋_GB2312" w:eastAsia="仿宋_GB2312"/>
                <w:sz w:val="21"/>
              </w:rPr>
              <w:t>4服务内容</w:t>
            </w:r>
          </w:p>
          <w:p>
            <w:pPr>
              <w:pStyle w:val="null3"/>
              <w:jc w:val="both"/>
            </w:pPr>
            <w:r>
              <w:rPr>
                <w:rFonts w:ascii="仿宋_GB2312" w:hAnsi="仿宋_GB2312" w:cs="仿宋_GB2312" w:eastAsia="仿宋_GB2312"/>
                <w:sz w:val="21"/>
              </w:rPr>
              <w:t>依据《信息安全技术信息系统密码应用基本要求》（</w:t>
            </w:r>
            <w:r>
              <w:rPr>
                <w:rFonts w:ascii="仿宋_GB2312" w:hAnsi="仿宋_GB2312" w:cs="仿宋_GB2312" w:eastAsia="仿宋_GB2312"/>
                <w:sz w:val="21"/>
              </w:rPr>
              <w:t>GB/T39786-2021）、《信息安全技术信息系统密码应用测评要求》（GB/T 43206-2023）、《信息系统密码应用测评过程指南》（GM/T 0116-2021）和信息系统自身安全需求分析，对重要信息系统进行商用密码应用安全性评估测评，测评内容包括但不限于以下内容：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1）通用测评</w:t>
            </w:r>
          </w:p>
          <w:p>
            <w:pPr>
              <w:pStyle w:val="null3"/>
              <w:jc w:val="both"/>
            </w:pPr>
            <w:r>
              <w:rPr>
                <w:rFonts w:ascii="仿宋_GB2312" w:hAnsi="仿宋_GB2312" w:cs="仿宋_GB2312" w:eastAsia="仿宋_GB2312"/>
                <w:sz w:val="21"/>
              </w:rPr>
              <w:t>核查信息系统中使用的密码算法、密码技术、密码产品和密码服务是否满足国家密码管理的相关标准规范要求。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2）密码应用技术测评</w:t>
            </w:r>
          </w:p>
          <w:p>
            <w:pPr>
              <w:pStyle w:val="null3"/>
              <w:jc w:val="both"/>
            </w:pPr>
            <w:r>
              <w:rPr>
                <w:rFonts w:ascii="仿宋_GB2312" w:hAnsi="仿宋_GB2312" w:cs="仿宋_GB2312" w:eastAsia="仿宋_GB2312"/>
                <w:sz w:val="21"/>
              </w:rPr>
              <w:t>包括物理和环境安全测评、网络和通信安全测评、设备和计算安全测评、应用和数据安全测评，验证信息系统的密码应用是否达到相应安全等级的安全保护能力、是否满足相应安全等级的保护要求。</w:t>
            </w:r>
          </w:p>
          <w:p>
            <w:pPr>
              <w:pStyle w:val="null3"/>
              <w:jc w:val="both"/>
            </w:pPr>
            <w:r>
              <w:rPr>
                <w:rFonts w:ascii="仿宋_GB2312" w:hAnsi="仿宋_GB2312" w:cs="仿宋_GB2312" w:eastAsia="仿宋_GB2312"/>
                <w:sz w:val="21"/>
              </w:rPr>
              <w:t>1）物理和环境安全测评</w:t>
            </w:r>
          </w:p>
          <w:p>
            <w:pPr>
              <w:pStyle w:val="null3"/>
              <w:jc w:val="both"/>
            </w:pPr>
            <w:r>
              <w:rPr>
                <w:rFonts w:ascii="仿宋_GB2312" w:hAnsi="仿宋_GB2312" w:cs="仿宋_GB2312" w:eastAsia="仿宋_GB2312"/>
                <w:sz w:val="21"/>
              </w:rPr>
              <w:t>针对</w:t>
            </w:r>
            <w:r>
              <w:rPr>
                <w:rFonts w:ascii="仿宋_GB2312" w:hAnsi="仿宋_GB2312" w:cs="仿宋_GB2312" w:eastAsia="仿宋_GB2312"/>
                <w:sz w:val="21"/>
              </w:rPr>
              <w:t>“身份鉴别”、“电子门禁记录数据存储完整性”、“视频监控记录数据存储完整性”等物理和环境安全层面采取的密码保障措施进行各项测评，完成单项及单元测评结果判定。</w:t>
            </w:r>
          </w:p>
          <w:p>
            <w:pPr>
              <w:pStyle w:val="null3"/>
              <w:jc w:val="both"/>
            </w:pPr>
            <w:r>
              <w:rPr>
                <w:rFonts w:ascii="仿宋_GB2312" w:hAnsi="仿宋_GB2312" w:cs="仿宋_GB2312" w:eastAsia="仿宋_GB2312"/>
                <w:sz w:val="21"/>
              </w:rPr>
              <w:t>2）网络和通信安全测评</w:t>
            </w:r>
          </w:p>
          <w:p>
            <w:pPr>
              <w:pStyle w:val="null3"/>
              <w:jc w:val="both"/>
            </w:pPr>
            <w:r>
              <w:rPr>
                <w:rFonts w:ascii="仿宋_GB2312" w:hAnsi="仿宋_GB2312" w:cs="仿宋_GB2312" w:eastAsia="仿宋_GB2312"/>
                <w:sz w:val="21"/>
              </w:rPr>
              <w:t>针对</w:t>
            </w:r>
            <w:r>
              <w:rPr>
                <w:rFonts w:ascii="仿宋_GB2312" w:hAnsi="仿宋_GB2312" w:cs="仿宋_GB2312" w:eastAsia="仿宋_GB2312"/>
                <w:sz w:val="21"/>
              </w:rPr>
              <w:t>“身份鉴别”、“通信数据完整性”、“通信过程中重要数据的机密性”、“网络边界访问控制信息的完整性”、“安全接入认证”等网络和通信安全层面采取的密码保障措施进行各项测评，完成单项及单元测评结果判定。</w:t>
            </w:r>
          </w:p>
          <w:p>
            <w:pPr>
              <w:pStyle w:val="null3"/>
              <w:jc w:val="both"/>
            </w:pPr>
            <w:r>
              <w:rPr>
                <w:rFonts w:ascii="仿宋_GB2312" w:hAnsi="仿宋_GB2312" w:cs="仿宋_GB2312" w:eastAsia="仿宋_GB2312"/>
                <w:sz w:val="21"/>
              </w:rPr>
              <w:t>3）设备和计算安全测评</w:t>
            </w:r>
          </w:p>
          <w:p>
            <w:pPr>
              <w:pStyle w:val="null3"/>
              <w:jc w:val="both"/>
            </w:pPr>
            <w:r>
              <w:rPr>
                <w:rFonts w:ascii="仿宋_GB2312" w:hAnsi="仿宋_GB2312" w:cs="仿宋_GB2312" w:eastAsia="仿宋_GB2312"/>
                <w:sz w:val="21"/>
              </w:rPr>
              <w:t>针对</w:t>
            </w:r>
            <w:r>
              <w:rPr>
                <w:rFonts w:ascii="仿宋_GB2312" w:hAnsi="仿宋_GB2312" w:cs="仿宋_GB2312" w:eastAsia="仿宋_GB2312"/>
                <w:sz w:val="21"/>
              </w:rPr>
              <w:t>“身份鉴别”、“远程管理通道安全”、“系统资源访问控制信息完整性”、“重要信息资源安全标记完整性”、“日志记录完整性”、“重要可执行程序完整性、重要可执行程序来源真实性”等设备和计算安全层面采取的密码保障措施进行各项测评，完成单项及单元测评结果判定。</w:t>
            </w:r>
          </w:p>
          <w:p>
            <w:pPr>
              <w:pStyle w:val="null3"/>
              <w:jc w:val="both"/>
            </w:pPr>
            <w:r>
              <w:rPr>
                <w:rFonts w:ascii="仿宋_GB2312" w:hAnsi="仿宋_GB2312" w:cs="仿宋_GB2312" w:eastAsia="仿宋_GB2312"/>
                <w:sz w:val="21"/>
              </w:rPr>
              <w:t>4）应用和数据安全测评</w:t>
            </w:r>
          </w:p>
          <w:p>
            <w:pPr>
              <w:pStyle w:val="null3"/>
              <w:jc w:val="both"/>
            </w:pPr>
            <w:r>
              <w:rPr>
                <w:rFonts w:ascii="仿宋_GB2312" w:hAnsi="仿宋_GB2312" w:cs="仿宋_GB2312" w:eastAsia="仿宋_GB2312"/>
                <w:sz w:val="21"/>
              </w:rPr>
              <w:t>针对</w:t>
            </w:r>
            <w:r>
              <w:rPr>
                <w:rFonts w:ascii="仿宋_GB2312" w:hAnsi="仿宋_GB2312" w:cs="仿宋_GB2312" w:eastAsia="仿宋_GB2312"/>
                <w:sz w:val="21"/>
              </w:rPr>
              <w:t>“身份鉴别”、“访问控制信息完整性”、“重要信息资源安全标记完整性”、“重要数据传输机密性”、“重要数据存储机密性”、“重要数据传输完整性”、“重要数据存储完整性”、“不可否认性”等应用和数据安全层面采取的密码保障措施进行各项测评，完成单项及单元测评结果判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3）密钥管理测评</w:t>
            </w:r>
          </w:p>
          <w:p>
            <w:pPr>
              <w:pStyle w:val="null3"/>
              <w:jc w:val="both"/>
            </w:pPr>
            <w:r>
              <w:rPr>
                <w:rFonts w:ascii="仿宋_GB2312" w:hAnsi="仿宋_GB2312" w:cs="仿宋_GB2312" w:eastAsia="仿宋_GB2312"/>
                <w:sz w:val="21"/>
              </w:rPr>
              <w:t>测评密钥管理各个环节，包括对密钥产生、分发、存储、使用、更新、归档、撤销、备份、恢复、销毁等环节进行管理和策略制定的全过程是否符合要求，完成单项及单元测评结果判定。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4）密码应用管理测评</w:t>
            </w:r>
          </w:p>
          <w:p>
            <w:pPr>
              <w:pStyle w:val="null3"/>
              <w:jc w:val="both"/>
            </w:pPr>
            <w:r>
              <w:rPr>
                <w:rFonts w:ascii="仿宋_GB2312" w:hAnsi="仿宋_GB2312" w:cs="仿宋_GB2312" w:eastAsia="仿宋_GB2312"/>
                <w:sz w:val="21"/>
              </w:rPr>
              <w:t>从管理制度、人员管理、建设运行和应急处置四个层面进行安全管理测评，验证信息系统安全管理机制是否完善，是否能够确保密码技术被合规、正确、有效地实施。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5）整体测评与风险评估</w:t>
            </w:r>
          </w:p>
          <w:p>
            <w:pPr>
              <w:pStyle w:val="null3"/>
              <w:jc w:val="both"/>
            </w:pPr>
            <w:r>
              <w:rPr>
                <w:rFonts w:ascii="仿宋_GB2312" w:hAnsi="仿宋_GB2312" w:cs="仿宋_GB2312" w:eastAsia="仿宋_GB2312"/>
                <w:sz w:val="21"/>
              </w:rPr>
              <w:t>对重要信息系统结构进行整体安全测评，并采用风险分析的方法分析密码应用安全问题可能对信息系统安全造成的影响，提交整体测评与风险评估结果。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6）形成商用密码应用安全性评估相关报告</w:t>
            </w:r>
          </w:p>
          <w:p>
            <w:pPr>
              <w:pStyle w:val="null3"/>
              <w:jc w:val="both"/>
            </w:pPr>
            <w:r>
              <w:rPr>
                <w:rFonts w:ascii="仿宋_GB2312" w:hAnsi="仿宋_GB2312" w:cs="仿宋_GB2312" w:eastAsia="仿宋_GB2312"/>
                <w:sz w:val="21"/>
              </w:rPr>
              <w:t>针对每个被测评重要信息系统编制商用密码应用安全性评估报告，报告应按照国家密码管理局要求编制。报告应对系统重要信息系统密码应用情况进行全面排查，梳理密码应用需求，查找风险漏洞，提出科学合规、具体实用、有针对性的密码应用安全整改方案，规范密码应用，形成商用密码应用安全性测评工作总结报告。</w:t>
            </w:r>
          </w:p>
          <w:p>
            <w:pPr>
              <w:pStyle w:val="null3"/>
              <w:jc w:val="both"/>
            </w:pPr>
            <w:r>
              <w:rPr>
                <w:rFonts w:ascii="仿宋_GB2312" w:hAnsi="仿宋_GB2312" w:cs="仿宋_GB2312" w:eastAsia="仿宋_GB2312"/>
                <w:sz w:val="21"/>
              </w:rPr>
              <w:t>5．项目成果</w:t>
            </w:r>
          </w:p>
          <w:p>
            <w:pPr>
              <w:pStyle w:val="null3"/>
              <w:jc w:val="both"/>
            </w:pPr>
            <w:r>
              <w:rPr>
                <w:rFonts w:ascii="仿宋_GB2312" w:hAnsi="仿宋_GB2312" w:cs="仿宋_GB2312" w:eastAsia="仿宋_GB2312"/>
                <w:sz w:val="21"/>
              </w:rPr>
              <w:t>按照《商用密码应用安全性评估管理办法》、《信息安全技术信息系统密码应用基本要求》（</w:t>
            </w:r>
            <w:r>
              <w:rPr>
                <w:rFonts w:ascii="仿宋_GB2312" w:hAnsi="仿宋_GB2312" w:cs="仿宋_GB2312" w:eastAsia="仿宋_GB2312"/>
                <w:sz w:val="21"/>
              </w:rPr>
              <w:t>GB/T39786-2021）、《信息安全技术信息系统密码应用测评要求》（GB/T 43206-2023）、《信息系统密码应用测评过程指南》（GM/T 0116-2021）等要求，供应商在项目验收前为采购人提供《信息系统商用密码应用安全性评估报告》，作为项目验收的依据之一，并协助采购人将评估结果报海南省密码管理部门成功备案。</w:t>
            </w:r>
          </w:p>
          <w:p>
            <w:pPr>
              <w:pStyle w:val="null3"/>
              <w:jc w:val="both"/>
            </w:pPr>
            <w:r>
              <w:rPr>
                <w:rFonts w:ascii="仿宋_GB2312" w:hAnsi="仿宋_GB2312" w:cs="仿宋_GB2312" w:eastAsia="仿宋_GB2312"/>
                <w:sz w:val="21"/>
              </w:rPr>
              <w:t>二、服务要求</w:t>
            </w:r>
          </w:p>
          <w:p>
            <w:pPr>
              <w:pStyle w:val="null3"/>
              <w:jc w:val="both"/>
            </w:pPr>
            <w:r>
              <w:rPr>
                <w:rFonts w:ascii="仿宋_GB2312" w:hAnsi="仿宋_GB2312" w:cs="仿宋_GB2312" w:eastAsia="仿宋_GB2312"/>
                <w:sz w:val="21"/>
              </w:rPr>
              <w:t>1.保密要求</w:t>
            </w:r>
          </w:p>
          <w:p>
            <w:pPr>
              <w:pStyle w:val="null3"/>
              <w:jc w:val="both"/>
            </w:pPr>
            <w:r>
              <w:rPr>
                <w:rFonts w:ascii="仿宋_GB2312" w:hAnsi="仿宋_GB2312" w:cs="仿宋_GB2312" w:eastAsia="仿宋_GB2312"/>
                <w:sz w:val="21"/>
              </w:rPr>
              <w:t>供应商</w:t>
            </w:r>
            <w:r>
              <w:rPr>
                <w:rFonts w:ascii="仿宋_GB2312" w:hAnsi="仿宋_GB2312" w:cs="仿宋_GB2312" w:eastAsia="仿宋_GB2312"/>
                <w:sz w:val="21"/>
              </w:rPr>
              <w:t>(含项目组所有成员)必须对项目技术文件以及由采购人提供的所有内部资料、技术文档、数据和信息予以保密。供应商必须与采购人签订保密协议并严格遵守，未经采购人书面许可，供应商不得以任何形式向第三方透露本项目标书以及本项目的任何内容。</w:t>
            </w:r>
          </w:p>
          <w:p>
            <w:pPr>
              <w:pStyle w:val="null3"/>
              <w:jc w:val="both"/>
            </w:pPr>
            <w:r>
              <w:rPr>
                <w:rFonts w:ascii="仿宋_GB2312" w:hAnsi="仿宋_GB2312" w:cs="仿宋_GB2312" w:eastAsia="仿宋_GB2312"/>
                <w:sz w:val="21"/>
              </w:rPr>
              <w:t>2.项目管理要求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供应商项目组所有成员应通过商用密码应用安全性评估能力考试并取得证书，供应商现场实施人员应持证测评，并且必须为投标文件中的人员，若供应商后续签订合同后不按投标文件安排实施人员的，将视为虚假应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为保障项目服务响应速度，供应商应提供项目期间现场技术支持服务，对于采购人的技术支持服务请求，应提供现场技术支持人员，并且现场支持的技术人员应通过商用密码应用安全性评估能力考试并取得证书。</w:t>
            </w:r>
          </w:p>
          <w:p>
            <w:pPr>
              <w:pStyle w:val="null3"/>
              <w:jc w:val="both"/>
            </w:pPr>
            <w:r>
              <w:rPr>
                <w:rFonts w:ascii="仿宋_GB2312" w:hAnsi="仿宋_GB2312" w:cs="仿宋_GB2312" w:eastAsia="仿宋_GB2312"/>
                <w:sz w:val="21"/>
              </w:rPr>
              <w:t>3.项目工期要求</w:t>
            </w:r>
          </w:p>
          <w:p>
            <w:pPr>
              <w:pStyle w:val="null3"/>
              <w:jc w:val="both"/>
            </w:pPr>
            <w:r>
              <w:rPr>
                <w:rFonts w:ascii="仿宋_GB2312" w:hAnsi="仿宋_GB2312" w:cs="仿宋_GB2312" w:eastAsia="仿宋_GB2312"/>
                <w:sz w:val="21"/>
              </w:rPr>
              <w:t>项目实施工期：下达测评通知书后</w:t>
            </w:r>
            <w:r>
              <w:rPr>
                <w:rFonts w:ascii="仿宋_GB2312" w:hAnsi="仿宋_GB2312" w:cs="仿宋_GB2312" w:eastAsia="仿宋_GB2312"/>
                <w:sz w:val="21"/>
              </w:rPr>
              <w:t>60天内交付《信息系统商用密码应用安全性评估报告》。</w:t>
            </w:r>
          </w:p>
          <w:p>
            <w:pPr>
              <w:pStyle w:val="null3"/>
              <w:jc w:val="both"/>
            </w:pPr>
            <w:r>
              <w:rPr>
                <w:rFonts w:ascii="仿宋_GB2312" w:hAnsi="仿宋_GB2312" w:cs="仿宋_GB2312" w:eastAsia="仿宋_GB2312"/>
                <w:sz w:val="21"/>
              </w:rPr>
              <w:t>4.服务保障要求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1）供应商完成初次现场测评，待采购人整改完成后需提供现场复测服务，并且复测服务的技术人员应与初次现场测评人员保持一致。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2）供应商从项目进场之日起 5 个工作日内要完成评估系统确定和测评方案编制。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3）供应商需在项目验收之前完成并提交商用密码应用安全性评估报告。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服务期间提供7×24服务响应，海口市内服务，技术人员能够在2小时之内到达现场，其他市县服务，技术人员能够在4小时之内到达现场，并且现场支持的技术人员应通过商用密码应用安全性评估能力考试并取得证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5）服务期间提供应急保障工作，针对应急、攻坚克难等事宜提供保障方案，包括高层支撑和响应时间等。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严守工作秘密。供应商必须与采购人签署保密协议，技术人员须与单位签署《保密承诺书》，对知悉的事项及信息予以保密，所有资料、技术文档妥善保管，不得遗失、转借、复印，不得以任何形式向第三方透露；所有密码应用解决方案和采集汇总后的数据严禁通过互联网等公共信息网络、普通邮政进行传递，严禁在连接互联网计算机上存储、处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7）严格遵循操作规程，承担服务工作质量责任。</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21"/>
              </w:rPr>
              <w:t>1．服务期限：一年</w:t>
            </w:r>
            <w:r>
              <w:rPr>
                <w:rFonts w:ascii="仿宋_GB2312" w:hAnsi="仿宋_GB2312" w:cs="仿宋_GB2312" w:eastAsia="仿宋_GB2312"/>
                <w:sz w:val="21"/>
              </w:rPr>
              <w:t>（</w:t>
            </w:r>
            <w:r>
              <w:rPr>
                <w:rFonts w:ascii="仿宋_GB2312" w:hAnsi="仿宋_GB2312" w:cs="仿宋_GB2312" w:eastAsia="仿宋_GB2312"/>
                <w:sz w:val="21"/>
              </w:rPr>
              <w:t>自</w:t>
            </w:r>
            <w:r>
              <w:rPr>
                <w:rFonts w:ascii="仿宋_GB2312" w:hAnsi="仿宋_GB2312" w:cs="仿宋_GB2312" w:eastAsia="仿宋_GB2312"/>
                <w:sz w:val="21"/>
              </w:rPr>
              <w:t>2025年8月29日至2026年8月28日</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640"/>
              <w:jc w:val="left"/>
            </w:pPr>
            <w:r>
              <w:rPr>
                <w:rFonts w:ascii="仿宋_GB2312" w:hAnsi="仿宋_GB2312" w:cs="仿宋_GB2312" w:eastAsia="仿宋_GB2312"/>
                <w:sz w:val="21"/>
              </w:rPr>
              <w:t>2．交付地点：用户指定地点。</w:t>
            </w:r>
          </w:p>
          <w:p>
            <w:pPr>
              <w:pStyle w:val="null3"/>
              <w:ind w:firstLine="640"/>
              <w:jc w:val="left"/>
            </w:pPr>
            <w:r>
              <w:rPr>
                <w:rFonts w:ascii="仿宋_GB2312" w:hAnsi="仿宋_GB2312" w:cs="仿宋_GB2312" w:eastAsia="仿宋_GB2312"/>
                <w:sz w:val="21"/>
              </w:rPr>
              <w:t>3．付款时间、方式及条件（具体金额及支付方式以合同为准）：合同签订后 10个工作日内，采购人支付服务合同总金额的</w:t>
            </w:r>
            <w:r>
              <w:rPr>
                <w:rFonts w:ascii="仿宋_GB2312" w:hAnsi="仿宋_GB2312" w:cs="仿宋_GB2312" w:eastAsia="仿宋_GB2312"/>
                <w:sz w:val="21"/>
              </w:rPr>
              <w:t>7</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链路和相关云资源接入完成，测试合格</w:t>
            </w:r>
            <w:r>
              <w:rPr>
                <w:rFonts w:ascii="仿宋_GB2312" w:hAnsi="仿宋_GB2312" w:cs="仿宋_GB2312" w:eastAsia="仿宋_GB2312"/>
                <w:sz w:val="21"/>
              </w:rPr>
              <w:t>后</w:t>
            </w:r>
            <w:r>
              <w:rPr>
                <w:rFonts w:ascii="仿宋_GB2312" w:hAnsi="仿宋_GB2312" w:cs="仿宋_GB2312" w:eastAsia="仿宋_GB2312"/>
                <w:sz w:val="21"/>
              </w:rPr>
              <w:t>10天内</w:t>
            </w:r>
            <w:r>
              <w:rPr>
                <w:rFonts w:ascii="仿宋_GB2312" w:hAnsi="仿宋_GB2312" w:cs="仿宋_GB2312" w:eastAsia="仿宋_GB2312"/>
                <w:sz w:val="21"/>
              </w:rPr>
              <w:t>付</w:t>
            </w:r>
            <w:r>
              <w:rPr>
                <w:rFonts w:ascii="仿宋_GB2312" w:hAnsi="仿宋_GB2312" w:cs="仿宋_GB2312" w:eastAsia="仿宋_GB2312"/>
                <w:sz w:val="21"/>
              </w:rPr>
              <w:t>20%，中标人完成服务并经验收通过后，采购人在10个工作日内支付剩余服务合同总金额的</w:t>
            </w:r>
            <w:r>
              <w:rPr>
                <w:rFonts w:ascii="仿宋_GB2312" w:hAnsi="仿宋_GB2312" w:cs="仿宋_GB2312" w:eastAsia="仿宋_GB2312"/>
                <w:sz w:val="21"/>
              </w:rPr>
              <w:t>1</w:t>
            </w:r>
            <w:r>
              <w:rPr>
                <w:rFonts w:ascii="仿宋_GB2312" w:hAnsi="仿宋_GB2312" w:cs="仿宋_GB2312" w:eastAsia="仿宋_GB2312"/>
                <w:sz w:val="21"/>
              </w:rPr>
              <w:t>0%。</w:t>
            </w:r>
          </w:p>
          <w:p>
            <w:pPr>
              <w:pStyle w:val="null3"/>
              <w:ind w:firstLine="640"/>
              <w:jc w:val="left"/>
            </w:pPr>
            <w:r>
              <w:rPr>
                <w:rFonts w:ascii="仿宋_GB2312" w:hAnsi="仿宋_GB2312" w:cs="仿宋_GB2312" w:eastAsia="仿宋_GB2312"/>
                <w:sz w:val="21"/>
              </w:rPr>
              <w:t>4．验收标准：按国家或行业标准验收。</w:t>
            </w:r>
          </w:p>
          <w:p>
            <w:pPr>
              <w:pStyle w:val="null3"/>
              <w:ind w:firstLine="640"/>
              <w:jc w:val="left"/>
            </w:pPr>
            <w:r>
              <w:rPr>
                <w:rFonts w:ascii="仿宋_GB2312" w:hAnsi="仿宋_GB2312" w:cs="仿宋_GB2312" w:eastAsia="仿宋_GB2312"/>
                <w:sz w:val="21"/>
              </w:rPr>
              <w:t>5．投标人所提供的产品技术参数、功能参数截图、认证证书、测评报告、技术方案等证明材料必须真实。在签署评标报告后（包括采购人确认评标结果前、中标结果公示期间或采购合同签订后等情形），采购人有权要求中标候选人提供所投产品或服务的参数证明材料和资质证书等进行核查。若存在虚假应标，采购人有权根据相关法定程序对中标人作无效投标处理，并扣除投标保证金（或履约保证金），预中标的或已中标的取消中标资格并向政府采购主管部门进行投诉，给采购人造成损失的，须进行赔偿并承担相应的责任。</w:t>
            </w:r>
          </w:p>
          <w:p>
            <w:pPr>
              <w:pStyle w:val="null3"/>
              <w:jc w:val="both"/>
            </w:pPr>
            <w:r>
              <w:rPr>
                <w:rFonts w:ascii="仿宋_GB2312" w:hAnsi="仿宋_GB2312" w:cs="仿宋_GB2312" w:eastAsia="仿宋_GB2312"/>
                <w:sz w:val="21"/>
              </w:rPr>
              <w:t>6．本项目现有服务期将于2025 年 8月29日届满。服务期届满至本项目新合同正式签订的过渡期内，所产生的全部服务费用由原服务单位（上一服务期中标方）承担。本项目中标人（新服务单位）需根据实际过渡期时长，按本项目中标金额等比例核算对应费用，一次性足额支付给原服务单位。</w:t>
            </w:r>
          </w:p>
          <w:p>
            <w:pPr>
              <w:pStyle w:val="null3"/>
              <w:jc w:val="both"/>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服务期限：用户通知进场后</w:t>
            </w:r>
            <w:r>
              <w:rPr>
                <w:rFonts w:ascii="仿宋_GB2312" w:hAnsi="仿宋_GB2312" w:cs="仿宋_GB2312" w:eastAsia="仿宋_GB2312"/>
                <w:sz w:val="21"/>
              </w:rPr>
              <w:t>60天内交付测评报告。</w:t>
            </w:r>
          </w:p>
          <w:p>
            <w:pPr>
              <w:pStyle w:val="null3"/>
              <w:jc w:val="left"/>
            </w:pPr>
            <w:r>
              <w:rPr>
                <w:rFonts w:ascii="仿宋_GB2312" w:hAnsi="仿宋_GB2312" w:cs="仿宋_GB2312" w:eastAsia="仿宋_GB2312"/>
                <w:sz w:val="21"/>
              </w:rPr>
              <w:t>服务地点：用户指定地点。</w:t>
            </w:r>
          </w:p>
          <w:p>
            <w:pPr>
              <w:pStyle w:val="null3"/>
              <w:jc w:val="left"/>
            </w:pPr>
            <w:r>
              <w:rPr>
                <w:rFonts w:ascii="仿宋_GB2312" w:hAnsi="仿宋_GB2312" w:cs="仿宋_GB2312" w:eastAsia="仿宋_GB2312"/>
                <w:sz w:val="21"/>
              </w:rPr>
              <w:t>采购资金的支付方式、时间、条件：</w:t>
            </w:r>
          </w:p>
          <w:p>
            <w:pPr>
              <w:pStyle w:val="null3"/>
              <w:jc w:val="left"/>
            </w:pPr>
            <w:r>
              <w:rPr>
                <w:rFonts w:ascii="仿宋_GB2312" w:hAnsi="仿宋_GB2312" w:cs="仿宋_GB2312" w:eastAsia="仿宋_GB2312"/>
                <w:sz w:val="21"/>
              </w:rPr>
              <w:t>合同签订后</w:t>
            </w:r>
            <w:r>
              <w:rPr>
                <w:rFonts w:ascii="仿宋_GB2312" w:hAnsi="仿宋_GB2312" w:cs="仿宋_GB2312" w:eastAsia="仿宋_GB2312"/>
                <w:sz w:val="21"/>
              </w:rPr>
              <w:t>10个工作日内，采购人支付服务合同总金额的50%；中标人完成测评服务并经验收通过后，采购人在10个工作日内支付剩余服务合同总金额的50%。</w:t>
            </w:r>
          </w:p>
          <w:p>
            <w:pPr>
              <w:pStyle w:val="null3"/>
              <w:jc w:val="both"/>
            </w:pPr>
            <w:r>
              <w:rPr>
                <w:rFonts w:ascii="仿宋_GB2312" w:hAnsi="仿宋_GB2312" w:cs="仿宋_GB2312" w:eastAsia="仿宋_GB2312"/>
                <w:sz w:val="21"/>
              </w:rPr>
              <w:t>验收要求：以国家和海南省现行规程规范标准及招标文件采购需求要求进行验收。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1、服务期限：下达测评通知书后60天内交付《信息系统商用密码应用安全性评估报告》。</w:t>
            </w:r>
          </w:p>
          <w:p>
            <w:pPr>
              <w:pStyle w:val="null3"/>
              <w:jc w:val="both"/>
            </w:pPr>
            <w:r>
              <w:rPr>
                <w:rFonts w:ascii="仿宋_GB2312" w:hAnsi="仿宋_GB2312" w:cs="仿宋_GB2312" w:eastAsia="仿宋_GB2312"/>
                <w:sz w:val="21"/>
              </w:rPr>
              <w:t>2、服务地点：用户指定地点。</w:t>
            </w:r>
          </w:p>
          <w:p>
            <w:pPr>
              <w:pStyle w:val="null3"/>
              <w:jc w:val="both"/>
            </w:pPr>
            <w:r>
              <w:rPr>
                <w:rFonts w:ascii="仿宋_GB2312" w:hAnsi="仿宋_GB2312" w:cs="仿宋_GB2312" w:eastAsia="仿宋_GB2312"/>
                <w:sz w:val="21"/>
              </w:rPr>
              <w:t>3、采购资金的支付方式、时间、条件:</w:t>
            </w:r>
          </w:p>
          <w:p>
            <w:pPr>
              <w:pStyle w:val="null3"/>
              <w:jc w:val="both"/>
            </w:pPr>
            <w:r>
              <w:rPr>
                <w:rFonts w:ascii="仿宋_GB2312" w:hAnsi="仿宋_GB2312" w:cs="仿宋_GB2312" w:eastAsia="仿宋_GB2312"/>
                <w:sz w:val="21"/>
              </w:rPr>
              <w:t>合同签订后</w:t>
            </w:r>
            <w:r>
              <w:rPr>
                <w:rFonts w:ascii="仿宋_GB2312" w:hAnsi="仿宋_GB2312" w:cs="仿宋_GB2312" w:eastAsia="仿宋_GB2312"/>
                <w:sz w:val="21"/>
              </w:rPr>
              <w:t>10个工作日内，采购人支付服务合同总金额的50%；中标人完成密评服务并经验收通过后，采购人在10个工作日内支付剩余服务合同总金额的50%。</w:t>
            </w:r>
          </w:p>
          <w:p>
            <w:pPr>
              <w:pStyle w:val="null3"/>
              <w:jc w:val="both"/>
            </w:pPr>
            <w:r>
              <w:rPr>
                <w:rFonts w:ascii="仿宋_GB2312" w:hAnsi="仿宋_GB2312" w:cs="仿宋_GB2312" w:eastAsia="仿宋_GB2312"/>
                <w:sz w:val="21"/>
              </w:rPr>
              <w:t>4、验收要求：按招标文件服务要求和国家行业标准进行验收，并出具《信息系统商用密码应用安全性评估报告》。</w:t>
            </w:r>
          </w:p>
          <w:p>
            <w:pPr>
              <w:pStyle w:val="null3"/>
              <w:jc w:val="both"/>
            </w:pP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19"/>
          <w:color w:val="000000"/>
        </w:rPr>
        <w:t>详见各采购包商务要求</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供应商需具备公安部第三研究所颁发的《网络安全服务认证证书等级保护测评服务认证》或《网络安全等级测评与检测评估机构服务认证证书》(须提供证书复印件并加盖公章)</w:t>
            </w:r>
          </w:p>
        </w:tc>
        <w:tc>
          <w:tcPr>
            <w:tcW w:type="dxa" w:w="3322"/>
          </w:tcPr>
          <w:p>
            <w:pPr>
              <w:pStyle w:val="null3"/>
              <w:jc w:val="left"/>
            </w:pPr>
            <w:r>
              <w:rPr>
                <w:rFonts w:ascii="仿宋_GB2312" w:hAnsi="仿宋_GB2312" w:cs="仿宋_GB2312" w:eastAsia="仿宋_GB2312"/>
              </w:rPr>
              <w:t>供应商需具备公安部第三研究所颁发的《网络安全服务认证证书等级保护测评服务认证》或《网络安全等级测评与检测评估机构服务认证证书》(须提供证书复印件并加盖公章)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供应商需具有国家密码管理局颁发的《商用密码检测机构资质证书》且业务范围为商用密码应用安全性评估(须提供证书复印件并加盖公章)。</w:t>
            </w:r>
          </w:p>
        </w:tc>
        <w:tc>
          <w:tcPr>
            <w:tcW w:type="dxa" w:w="3322"/>
          </w:tcPr>
          <w:p>
            <w:pPr>
              <w:pStyle w:val="null3"/>
              <w:jc w:val="left"/>
            </w:pPr>
            <w:r>
              <w:rPr>
                <w:rFonts w:ascii="仿宋_GB2312" w:hAnsi="仿宋_GB2312" w:cs="仿宋_GB2312" w:eastAsia="仿宋_GB2312"/>
              </w:rPr>
              <w:t>供应商需具有国家密码管理局颁发的《商用密码检测机构资质证书》且业务范围为商用密码应用安全性评估(须提供证书复印件并加盖公章)。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资格承诺函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其他材料 商务应答表 封面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其他材料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 资格承诺函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其他材料 商务应答表 封面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供应商应提交的相关证明材料 自觉抵制政府采购领域商业贿赂行为承诺书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 资格承诺函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商务应答表 自觉抵制政府采购领域商业贿赂行为承诺书 封面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自觉抵制政府采购领域商业贿赂行为承诺书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技术部分64.00分</w:t>
            </w:r>
          </w:p>
          <w:p>
            <w:pPr>
              <w:pStyle w:val="null3"/>
              <w:jc w:val="left"/>
            </w:pPr>
            <w:r>
              <w:rPr>
                <w:rFonts w:ascii="仿宋_GB2312" w:hAnsi="仿宋_GB2312" w:cs="仿宋_GB2312" w:eastAsia="仿宋_GB2312"/>
              </w:rPr>
              <w:t>商务部分26.00分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技术参数响应表</w:t>
            </w:r>
          </w:p>
        </w:tc>
        <w:tc>
          <w:tcPr>
            <w:tcW w:type="dxa" w:w="2492"/>
          </w:tcPr>
          <w:p>
            <w:pPr>
              <w:pStyle w:val="null3"/>
              <w:jc w:val="left"/>
            </w:pPr>
            <w:r>
              <w:rPr>
                <w:rFonts w:ascii="仿宋_GB2312" w:hAnsi="仿宋_GB2312" w:cs="仿宋_GB2312" w:eastAsia="仿宋_GB2312"/>
              </w:rPr>
              <w:t>根据《用户需求书》中"采购清单"的参数响应情况打分，共计99项；技术参数“▲”标记有19项，为重要指标，每负偏离一项扣1分，共19分；无标识项有80项，为一般指标，每负偏离一项扣0.05分，共4分。 注：以技术条款偏离表和相关证明材料为准，供应商需提供包括但不限于功能截图、产品彩页等材料予以佐证，且自行承担因材料提供不全导致技术参数被视为负偏离的风险。</w:t>
            </w:r>
          </w:p>
        </w:tc>
        <w:tc>
          <w:tcPr>
            <w:tcW w:type="dxa" w:w="831"/>
          </w:tcPr>
          <w:p>
            <w:pPr>
              <w:pStyle w:val="null3"/>
              <w:jc w:val="right"/>
            </w:pPr>
            <w:r>
              <w:rPr>
                <w:rFonts w:ascii="仿宋_GB2312" w:hAnsi="仿宋_GB2312" w:cs="仿宋_GB2312" w:eastAsia="仿宋_GB2312"/>
              </w:rPr>
              <w:t>23.0000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技术及服务部分</w:t>
            </w:r>
          </w:p>
        </w:tc>
        <w:tc>
          <w:tcPr>
            <w:tcW w:type="dxa" w:w="2492"/>
          </w:tcPr>
          <w:p>
            <w:pPr>
              <w:pStyle w:val="null3"/>
              <w:jc w:val="left"/>
            </w:pPr>
            <w:r>
              <w:rPr>
                <w:rFonts w:ascii="仿宋_GB2312" w:hAnsi="仿宋_GB2312" w:cs="仿宋_GB2312" w:eastAsia="仿宋_GB2312"/>
              </w:rPr>
              <w:t>1、投标人为本项目提供的云平台需通过三级网络安全等级保护测评。 证明材料：提供云平台等级测评报告并加盖云平台厂商公章，得2分，不提供的不得分。 2、投标人为本项目提供的云平台需具备由中国信通院颁发的云服务安全能力检验证书（弹性云主机）、云服务安全能力检验证书（块存储）、可信安全WAAP安全能力检验、云计算安全责任共担能力的可信云能力证书并加盖云平台厂商公章。 证明材料：提供每提供1个证书得2分，满分8分；不提供不得分。 3、投标人选用的云平台厂商，在全国范围内具备多个资源节点： ①在全国范围内无多个公有云资源节点的得0分； ②在全国范围内有多个公有云资源节点的得1分； ③在全国范围内有多个公有云资源节点且能够为本项目提供位于海南省内的公有云资源池得2分； 证明材料：提供相关证明截图或复印件。</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技术服务支持</w:t>
            </w:r>
          </w:p>
        </w:tc>
        <w:tc>
          <w:tcPr>
            <w:tcW w:type="dxa" w:w="2492"/>
          </w:tcPr>
          <w:p>
            <w:pPr>
              <w:pStyle w:val="null3"/>
              <w:jc w:val="left"/>
            </w:pPr>
            <w:r>
              <w:rPr>
                <w:rFonts w:ascii="仿宋_GB2312" w:hAnsi="仿宋_GB2312" w:cs="仿宋_GB2312" w:eastAsia="仿宋_GB2312"/>
              </w:rPr>
              <w:t>1、投标人配合用户完成相关业务的迁移和整合，系统对接以及联调测试。（证明材料：提供承诺函得1分，不提供不得分，格式自拟） 2、针对本次项目，投标人须配备至少一名初级运维服务人员提供驻场服务。（证明材料：提供承诺函得1分，不提供不得发，格式自拟）</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技术服务方案</w:t>
            </w:r>
          </w:p>
        </w:tc>
        <w:tc>
          <w:tcPr>
            <w:tcW w:type="dxa" w:w="2492"/>
          </w:tcPr>
          <w:p>
            <w:pPr>
              <w:pStyle w:val="null3"/>
              <w:jc w:val="left"/>
            </w:pPr>
            <w:r>
              <w:rPr>
                <w:rFonts w:ascii="仿宋_GB2312" w:hAnsi="仿宋_GB2312" w:cs="仿宋_GB2312" w:eastAsia="仿宋_GB2312"/>
              </w:rPr>
              <w:t>投标人应针对本项目的采购需求，提供技术服务方案，包括但不限于①云平台总体架构；②云平台关键组件设计；③云平台产品介绍；④业务系统上云方案设计；⑤云安全防护设计； 等内容进行综合评审： （1）方案内容详细全面、完全契合项目实际、可操作性很强，内容满足或优于项目需求,得9分； （2）方案内容详细完整，基本契合项目实际、可操作性强，内容基本满足项目需求,得6分； （3）方案内容不完整或与本项目内容关联度低,可操作性差,难于满足项目需求，得3分； （4）不提供不得分。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售后方案</w:t>
            </w:r>
          </w:p>
        </w:tc>
        <w:tc>
          <w:tcPr>
            <w:tcW w:type="dxa" w:w="2492"/>
          </w:tcPr>
          <w:p>
            <w:pPr>
              <w:pStyle w:val="null3"/>
              <w:jc w:val="left"/>
            </w:pPr>
            <w:r>
              <w:rPr>
                <w:rFonts w:ascii="仿宋_GB2312" w:hAnsi="仿宋_GB2312" w:cs="仿宋_GB2312" w:eastAsia="仿宋_GB2312"/>
              </w:rPr>
              <w:t>投标人须制定科学、合理、完善的售后服务方案，内容包括但不限于：①服务承诺；②服务体系；③服务团队；④服务方案等内容进行综合评审： （1）方案内容详细全面、完全契合项目实际、可操作性很强，内容满足或优于项目需求,得6分； （2）方案内容详细完整，基本契合项目实际、可操作性强，内容基本满足项目需求,得4分 （3）方案内容不完整或与本项目内容关联度低,可操作性差,难于满足项目需求，得2分；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应急保障方案</w:t>
            </w:r>
          </w:p>
        </w:tc>
        <w:tc>
          <w:tcPr>
            <w:tcW w:type="dxa" w:w="2492"/>
          </w:tcPr>
          <w:p>
            <w:pPr>
              <w:pStyle w:val="null3"/>
              <w:jc w:val="left"/>
            </w:pPr>
            <w:r>
              <w:rPr>
                <w:rFonts w:ascii="仿宋_GB2312" w:hAnsi="仿宋_GB2312" w:cs="仿宋_GB2312" w:eastAsia="仿宋_GB2312"/>
              </w:rPr>
              <w:t>投标人能够根据实际情况，提供详细的应急保障方案；①应急人员配备及现场保障配合服务；②故障响应及运行维护服务；③质量保障方案等内容进行综合评审： （1）方案内容详细全面、完全契合项目实际、可操作性很强，内容满足或优于项目需求,得6分； （2）方案内容详细完整，基本契合项目实际、可操作性强，内容基本满足项目需求,得4分 （3）方案内容不完整或与本项目内容关联度低,可操作性差,难于满足项目需求，得2分；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投标人根据本项目的采购需求提供详细的技术培训方案，内容包括①培训目标与培训对象；②培训计划及培训师资力量；③培训内容及方式等内容进行综合评审： （1）方案内容详细全面、完全契合项目实际、可操作性很强，内容满足或优于项目需求,得6分； （2）方案内容详细完整，基本契合项目实际、可操作性强，内容基本满足项目需求,得4分 （3）方案内容不完整或与本项目内容关联度低,可操作性差,难于满足项目需求，得2分；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投标人资质能力-1</w:t>
            </w:r>
          </w:p>
        </w:tc>
        <w:tc>
          <w:tcPr>
            <w:tcW w:type="dxa" w:w="2492"/>
          </w:tcPr>
          <w:p>
            <w:pPr>
              <w:pStyle w:val="null3"/>
              <w:jc w:val="left"/>
            </w:pPr>
            <w:r>
              <w:rPr>
                <w:rFonts w:ascii="仿宋_GB2312" w:hAnsi="仿宋_GB2312" w:cs="仿宋_GB2312" w:eastAsia="仿宋_GB2312"/>
              </w:rPr>
              <w:t>投标人具备ISO 9001质量管理体系认证证书，得1分； 证明材料：提供有效期内证书复印件并加盖投标人公章，不提供不得分；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投标人资质能力-2</w:t>
            </w:r>
          </w:p>
        </w:tc>
        <w:tc>
          <w:tcPr>
            <w:tcW w:type="dxa" w:w="2492"/>
          </w:tcPr>
          <w:p>
            <w:pPr>
              <w:pStyle w:val="null3"/>
              <w:jc w:val="left"/>
            </w:pPr>
            <w:r>
              <w:rPr>
                <w:rFonts w:ascii="仿宋_GB2312" w:hAnsi="仿宋_GB2312" w:cs="仿宋_GB2312" w:eastAsia="仿宋_GB2312"/>
              </w:rPr>
              <w:t>投标人具备ISO 20000信息技术服务管理体系认证证书，得1分； 证明材料：提供有效期内证书复印件并加盖投标人公章，不提供不得分；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投标人资质能力-3</w:t>
            </w:r>
          </w:p>
        </w:tc>
        <w:tc>
          <w:tcPr>
            <w:tcW w:type="dxa" w:w="2492"/>
          </w:tcPr>
          <w:p>
            <w:pPr>
              <w:pStyle w:val="null3"/>
              <w:jc w:val="left"/>
            </w:pPr>
            <w:r>
              <w:rPr>
                <w:rFonts w:ascii="仿宋_GB2312" w:hAnsi="仿宋_GB2312" w:cs="仿宋_GB2312" w:eastAsia="仿宋_GB2312"/>
              </w:rPr>
              <w:t>投标人具备GB/T37228应急预案管理能力评价认证证书，得3分； 证明材料：提供有效期内证书复印件并加盖投标人公章，不提供不得分；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投标人资质能力-4</w:t>
            </w:r>
          </w:p>
        </w:tc>
        <w:tc>
          <w:tcPr>
            <w:tcW w:type="dxa" w:w="2492"/>
          </w:tcPr>
          <w:p>
            <w:pPr>
              <w:pStyle w:val="null3"/>
              <w:jc w:val="left"/>
            </w:pPr>
            <w:r>
              <w:rPr>
                <w:rFonts w:ascii="仿宋_GB2312" w:hAnsi="仿宋_GB2312" w:cs="仿宋_GB2312" w:eastAsia="仿宋_GB2312"/>
              </w:rPr>
              <w:t>投标人具备GB/T 41479-2022数据安全管理认证证书，得1分； 证明材料：提供有效期内证书复印件并加盖投标人公章，不提供不得分；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项目经理</w:t>
            </w:r>
          </w:p>
        </w:tc>
        <w:tc>
          <w:tcPr>
            <w:tcW w:type="dxa" w:w="2492"/>
          </w:tcPr>
          <w:p>
            <w:pPr>
              <w:pStyle w:val="null3"/>
              <w:jc w:val="left"/>
            </w:pPr>
            <w:r>
              <w:rPr>
                <w:rFonts w:ascii="仿宋_GB2312" w:hAnsi="仿宋_GB2312" w:cs="仿宋_GB2312" w:eastAsia="仿宋_GB2312"/>
              </w:rPr>
              <w:t>投标人拟投入项目经理（1人），项目经理具有： （1）高级通信工程师职称证书； （2）信息系统项目管理师证书； （3）信息安全工程师证书； （4）网络规划设计师证书； （5）信息系统运维管理工程师； 以上证书每提供一个得1分，满分5分。 证明材料：提供证书复印件并加盖投标人公章，提供投标人为该持证人员缴纳2025年1月份以来任意3个月的社保证明材料并加盖投标人公章。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项目技术负责人</w:t>
            </w:r>
          </w:p>
        </w:tc>
        <w:tc>
          <w:tcPr>
            <w:tcW w:type="dxa" w:w="2492"/>
          </w:tcPr>
          <w:p>
            <w:pPr>
              <w:pStyle w:val="null3"/>
              <w:jc w:val="left"/>
            </w:pPr>
            <w:r>
              <w:rPr>
                <w:rFonts w:ascii="仿宋_GB2312" w:hAnsi="仿宋_GB2312" w:cs="仿宋_GB2312" w:eastAsia="仿宋_GB2312"/>
              </w:rPr>
              <w:t>投标人拟投入项目技术负责人（1人），项目技术负责人具有： (1)网络安全能力认证（CCSC）证书； (2)数据安全专业人员认证（CDSP）； (3)注册信息安全工程师（CISP）； (4)ITSS项目服务经理。 以上证书每提供一个得1分，满分4分。证明材料：提供证书复印件并加盖投标人公章；提供投标人为该持证人员缴纳2025年1月份以来任意3个月的社保证明材料并加盖投标人公章。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项目服务人员团队</w:t>
            </w:r>
          </w:p>
        </w:tc>
        <w:tc>
          <w:tcPr>
            <w:tcW w:type="dxa" w:w="2492"/>
          </w:tcPr>
          <w:p>
            <w:pPr>
              <w:pStyle w:val="null3"/>
              <w:jc w:val="left"/>
            </w:pPr>
            <w:r>
              <w:rPr>
                <w:rFonts w:ascii="仿宋_GB2312" w:hAnsi="仿宋_GB2312" w:cs="仿宋_GB2312" w:eastAsia="仿宋_GB2312"/>
              </w:rPr>
              <w:t>1、投标人拟投入本项目服务团队人员（不含项目经理和技术负责人）具有以下证书：（1）软考中级或高级资格证书（含信息系统项目管理师、系统集成项目管理工程师、网络规划设计师、网络工程师、信息安全工程师等），同一人具有多项证书的按一个证书计算，得0.5分，满分1分；（2）通信专业技术人员职业资格证书，同一人具有多项证书的按一个证书计算，得0.5分，满分1分；（3）注册信息安全专业人员（CISP）证书，同一人具有多项证书的按一个证书计算，得0.5分，满分1分； 2、供应商拟投入本项目服务团队人员具有以下证书之一： （1）光缆线务员； （2）线务员证书；同一人具有多项证书的按一个证书计算，得0.5分，满分5分，不提供不得分； 证明材料：提供证书复印件并加盖投标人公章，提供投标人为该持证人员缴纳2025年1月份以来任意3个月的社保证明材料并加盖投标人公章。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投标人提供2022年1月1日至今类似业绩案例，每提供1个案例得1分，本项满分3分。证明材料：提供合同复印件并加盖投标人公章。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价格评审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技术方案-1</w:t>
            </w:r>
          </w:p>
        </w:tc>
        <w:tc>
          <w:tcPr>
            <w:tcW w:type="dxa" w:w="2492"/>
          </w:tcPr>
          <w:p>
            <w:pPr>
              <w:pStyle w:val="null3"/>
              <w:jc w:val="left"/>
            </w:pPr>
            <w:r>
              <w:rPr>
                <w:rFonts w:ascii="仿宋_GB2312" w:hAnsi="仿宋_GB2312" w:cs="仿宋_GB2312" w:eastAsia="仿宋_GB2312"/>
              </w:rPr>
              <w:t>供应商提供的技术方案中针对项目背景、建设目标、测评要求的理解进行综合评审： 包含以上要素且内容完整、详细、切实可行得的得6分，每有一处缺陷扣1分，扣完为止。 （1）对项目理解全面、深刻，得6分； （2）对项目理解基本全面、深刻，得4分； （3）对项目理解不全面、不深刻，得1分； （4）无或其他不得分。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技术方案-2</w:t>
            </w:r>
          </w:p>
        </w:tc>
        <w:tc>
          <w:tcPr>
            <w:tcW w:type="dxa" w:w="2492"/>
          </w:tcPr>
          <w:p>
            <w:pPr>
              <w:pStyle w:val="null3"/>
              <w:jc w:val="left"/>
            </w:pPr>
            <w:r>
              <w:rPr>
                <w:rFonts w:ascii="仿宋_GB2312" w:hAnsi="仿宋_GB2312" w:cs="仿宋_GB2312" w:eastAsia="仿宋_GB2312"/>
              </w:rPr>
              <w:t>供应商提供的技术方案针对测评重点、难点分析及解决措施等进行综合评审： 包含以上要素且内容完整、详细、切实可行得的得6分，每有一处缺陷扣1分，扣完为止。 （1）对重点难点分析到位，提出的建议、措施具有科学合理性及可操作性，得6分； （2）对重点难点分析基本到位，提出的建议、措施基本具有科学合理性及可操作性，得4分； （3）对重点难点分析不到位，提出的建议、措施不具有科学合理性及可操作性，得1分； （4）无或其他不得分。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技术方案-3</w:t>
            </w:r>
          </w:p>
        </w:tc>
        <w:tc>
          <w:tcPr>
            <w:tcW w:type="dxa" w:w="2492"/>
          </w:tcPr>
          <w:p>
            <w:pPr>
              <w:pStyle w:val="null3"/>
              <w:jc w:val="left"/>
            </w:pPr>
            <w:r>
              <w:rPr>
                <w:rFonts w:ascii="仿宋_GB2312" w:hAnsi="仿宋_GB2312" w:cs="仿宋_GB2312" w:eastAsia="仿宋_GB2312"/>
              </w:rPr>
              <w:t>供应商提供的技术方案中的测评内容、测评方法、测评流程、测评步骤等进行综合评审： 包含以上要素且内容完整、详细、切实可行得的得6分，每有一处缺陷扣1分，扣完为止。 （1）项目实施策略完善，科学合理性强，得6分； （2）项目实施策略较好，科学合理性较好，得4分； （3）项目实施策略不完善，科学合理性较差，得1分； （4）无或其他不得分。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技术方案-4</w:t>
            </w:r>
          </w:p>
        </w:tc>
        <w:tc>
          <w:tcPr>
            <w:tcW w:type="dxa" w:w="2492"/>
          </w:tcPr>
          <w:p>
            <w:pPr>
              <w:pStyle w:val="null3"/>
              <w:jc w:val="left"/>
            </w:pPr>
            <w:r>
              <w:rPr>
                <w:rFonts w:ascii="仿宋_GB2312" w:hAnsi="仿宋_GB2312" w:cs="仿宋_GB2312" w:eastAsia="仿宋_GB2312"/>
              </w:rPr>
              <w:t>供应商提供的技术方案中项目管理流程、措施、方法等进行综合评审： 包含以上要素且内容完整、详细、切实可行得的得6分，每有一处缺陷扣1分，扣完为止。 （1）项目管理流程及措施具体合理，得6分； （2）项目管理流程及措施基本具体合理，得4分； （3）项目管理流程及措施不具体合理，得1分； （4）无或其他不得分。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技术方案-5</w:t>
            </w:r>
          </w:p>
        </w:tc>
        <w:tc>
          <w:tcPr>
            <w:tcW w:type="dxa" w:w="2492"/>
          </w:tcPr>
          <w:p>
            <w:pPr>
              <w:pStyle w:val="null3"/>
              <w:jc w:val="left"/>
            </w:pPr>
            <w:r>
              <w:rPr>
                <w:rFonts w:ascii="仿宋_GB2312" w:hAnsi="仿宋_GB2312" w:cs="仿宋_GB2312" w:eastAsia="仿宋_GB2312"/>
              </w:rPr>
              <w:t>供应商提供的技术方案针对测评风险识别及风险规避处置措施进行综合评审： 包含以上要素且内容完整、详细、切实可行得的得6分，每有一处缺陷扣1分，扣完为止。 （1）风险识别完整、风险规避处置措施合理，得6分； （2）风险识别基本完整、风险规避处置措施基本合理，得4分； （3）风险识别不完整、风险规避处置措施较差，得1分； （4）无或其他不得分。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服务工具-1</w:t>
            </w:r>
          </w:p>
        </w:tc>
        <w:tc>
          <w:tcPr>
            <w:tcW w:type="dxa" w:w="2492"/>
          </w:tcPr>
          <w:p>
            <w:pPr>
              <w:pStyle w:val="null3"/>
              <w:jc w:val="left"/>
            </w:pPr>
            <w:r>
              <w:rPr>
                <w:rFonts w:ascii="仿宋_GB2312" w:hAnsi="仿宋_GB2312" w:cs="仿宋_GB2312" w:eastAsia="仿宋_GB2312"/>
              </w:rPr>
              <w:t>（1）供应商采用具有自主知识产权的等级保护测评系统，有得5分； （2）供应商采用自主购买的等级保护测评系统，得2分； （3）未采用等级保护测评系统不得分。 （提供国家版权局出具的有效软件著作权登记证书的复印件加盖供应商公章，或提供购买合同中交易物内容页、合同双方主体签订页复印件及发票复印件加盖供应商公章）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服务工具-2</w:t>
            </w:r>
          </w:p>
        </w:tc>
        <w:tc>
          <w:tcPr>
            <w:tcW w:type="dxa" w:w="2492"/>
          </w:tcPr>
          <w:p>
            <w:pPr>
              <w:pStyle w:val="null3"/>
              <w:jc w:val="left"/>
            </w:pPr>
            <w:r>
              <w:rPr>
                <w:rFonts w:ascii="仿宋_GB2312" w:hAnsi="仿宋_GB2312" w:cs="仿宋_GB2312" w:eastAsia="仿宋_GB2312"/>
              </w:rPr>
              <w:t>（1）供应商采用具有自主知识产权的自动化渗透系统，有得5分； （2）供应商采用自主购买的自动化渗透系统，得2分； （3）未采用自动化渗透系统不得分。 （提供国家版权局出具的有效软件著作权登记证书的复印件加盖供应商公章，或提供购买合同中交易物内容页、合同双方主体签订页复印件及发票复印件加盖供应商公章）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资质证书-1</w:t>
            </w:r>
          </w:p>
        </w:tc>
        <w:tc>
          <w:tcPr>
            <w:tcW w:type="dxa" w:w="2492"/>
          </w:tcPr>
          <w:p>
            <w:pPr>
              <w:pStyle w:val="null3"/>
              <w:jc w:val="left"/>
            </w:pPr>
            <w:r>
              <w:rPr>
                <w:rFonts w:ascii="仿宋_GB2312" w:hAnsi="仿宋_GB2312" w:cs="仿宋_GB2312" w:eastAsia="仿宋_GB2312"/>
              </w:rPr>
              <w:t>供应商具有信息技术服务管理体系认证证书(ISO20000)，有得3分，无得0分；(须提供证书复印件并加盖公章)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资质证书-2</w:t>
            </w:r>
          </w:p>
        </w:tc>
        <w:tc>
          <w:tcPr>
            <w:tcW w:type="dxa" w:w="2492"/>
          </w:tcPr>
          <w:p>
            <w:pPr>
              <w:pStyle w:val="null3"/>
              <w:jc w:val="left"/>
            </w:pPr>
            <w:r>
              <w:rPr>
                <w:rFonts w:ascii="仿宋_GB2312" w:hAnsi="仿宋_GB2312" w:cs="仿宋_GB2312" w:eastAsia="仿宋_GB2312"/>
              </w:rPr>
              <w:t>供应商具有信息安全管理体系认证证书(ISO27001)，有得3分，无得0分；(须提供证书复印件并加盖公章)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资质证书-3</w:t>
            </w:r>
          </w:p>
        </w:tc>
        <w:tc>
          <w:tcPr>
            <w:tcW w:type="dxa" w:w="2492"/>
          </w:tcPr>
          <w:p>
            <w:pPr>
              <w:pStyle w:val="null3"/>
              <w:jc w:val="left"/>
            </w:pPr>
            <w:r>
              <w:rPr>
                <w:rFonts w:ascii="仿宋_GB2312" w:hAnsi="仿宋_GB2312" w:cs="仿宋_GB2312" w:eastAsia="仿宋_GB2312"/>
              </w:rPr>
              <w:t>供应商具中国软件评测中心和数据安全专业委员会联合颁发的数据安全服务能力评定资格证书，有得3分，无得0分(须提供证书复印件并加盖公章）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资质证书-4</w:t>
            </w:r>
          </w:p>
        </w:tc>
        <w:tc>
          <w:tcPr>
            <w:tcW w:type="dxa" w:w="2492"/>
          </w:tcPr>
          <w:p>
            <w:pPr>
              <w:pStyle w:val="null3"/>
              <w:jc w:val="left"/>
            </w:pPr>
            <w:r>
              <w:rPr>
                <w:rFonts w:ascii="仿宋_GB2312" w:hAnsi="仿宋_GB2312" w:cs="仿宋_GB2312" w:eastAsia="仿宋_GB2312"/>
              </w:rPr>
              <w:t>供应商具有中国网络安全审查技术与认证中心或中国网络安全审查认证和市场监管大数据中心颁发的《信息安全风险评估服务资质》二级及以上证书，有得3分，无得0分(须提供证书复印件并加盖公章)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资质证书-5</w:t>
            </w:r>
          </w:p>
        </w:tc>
        <w:tc>
          <w:tcPr>
            <w:tcW w:type="dxa" w:w="2492"/>
          </w:tcPr>
          <w:p>
            <w:pPr>
              <w:pStyle w:val="null3"/>
              <w:jc w:val="left"/>
            </w:pPr>
            <w:r>
              <w:rPr>
                <w:rFonts w:ascii="仿宋_GB2312" w:hAnsi="仿宋_GB2312" w:cs="仿宋_GB2312" w:eastAsia="仿宋_GB2312"/>
              </w:rPr>
              <w:t>供应商具有知识产权管理体系认证证书，有得3分，无得0分(须提供证书复印件并加盖公章)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资质证书-6</w:t>
            </w:r>
          </w:p>
        </w:tc>
        <w:tc>
          <w:tcPr>
            <w:tcW w:type="dxa" w:w="2492"/>
          </w:tcPr>
          <w:p>
            <w:pPr>
              <w:pStyle w:val="null3"/>
              <w:jc w:val="left"/>
            </w:pPr>
            <w:r>
              <w:rPr>
                <w:rFonts w:ascii="仿宋_GB2312" w:hAnsi="仿宋_GB2312" w:cs="仿宋_GB2312" w:eastAsia="仿宋_GB2312"/>
              </w:rPr>
              <w:t>供应商具有中国合格评定国家认可委员会颁发的检验机构认可证书（CNAS），有得3分，无得0分；(须提供证书复印件并加盖公章)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荣誉奖励-1</w:t>
            </w:r>
          </w:p>
        </w:tc>
        <w:tc>
          <w:tcPr>
            <w:tcW w:type="dxa" w:w="2492"/>
          </w:tcPr>
          <w:p>
            <w:pPr>
              <w:pStyle w:val="null3"/>
              <w:jc w:val="left"/>
            </w:pPr>
            <w:r>
              <w:rPr>
                <w:rFonts w:ascii="仿宋_GB2312" w:hAnsi="仿宋_GB2312" w:cs="仿宋_GB2312" w:eastAsia="仿宋_GB2312"/>
              </w:rPr>
              <w:t>供应商获得过国家网络安全等级保护工作协调小组办公室颁发的全国网络安全等级保护测评机构先进单位的3分，无得0分(须提供证书复印件并加盖公章)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荣誉奖励-2</w:t>
            </w:r>
          </w:p>
        </w:tc>
        <w:tc>
          <w:tcPr>
            <w:tcW w:type="dxa" w:w="2492"/>
          </w:tcPr>
          <w:p>
            <w:pPr>
              <w:pStyle w:val="null3"/>
              <w:jc w:val="left"/>
            </w:pPr>
            <w:r>
              <w:rPr>
                <w:rFonts w:ascii="仿宋_GB2312" w:hAnsi="仿宋_GB2312" w:cs="仿宋_GB2312" w:eastAsia="仿宋_GB2312"/>
              </w:rPr>
              <w:t>供应商具有省级或国家级网信办颁发的网络安全应急技术支撑单位证书，得3分。（提供证明材料复印件加盖公章）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人员实力-1</w:t>
            </w:r>
          </w:p>
        </w:tc>
        <w:tc>
          <w:tcPr>
            <w:tcW w:type="dxa" w:w="2492"/>
          </w:tcPr>
          <w:p>
            <w:pPr>
              <w:pStyle w:val="null3"/>
              <w:jc w:val="left"/>
            </w:pPr>
            <w:r>
              <w:rPr>
                <w:rFonts w:ascii="仿宋_GB2312" w:hAnsi="仿宋_GB2312" w:cs="仿宋_GB2312" w:eastAsia="仿宋_GB2312"/>
              </w:rPr>
              <w:t>本项目拟派项目经理具备项目管理类证书、高级测评师证书、省级（含）以上信息安全等级保护专家委员会专家证书的，每提供一项得2分，满分6分；（须提供证书及2025年1月份以来任意3个月社保证明复印件，且社保缴纳单位必须与供应商名称一致）</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人员实力-2</w:t>
            </w:r>
          </w:p>
        </w:tc>
        <w:tc>
          <w:tcPr>
            <w:tcW w:type="dxa" w:w="2492"/>
          </w:tcPr>
          <w:p>
            <w:pPr>
              <w:pStyle w:val="null3"/>
              <w:jc w:val="left"/>
            </w:pPr>
            <w:r>
              <w:rPr>
                <w:rFonts w:ascii="仿宋_GB2312" w:hAnsi="仿宋_GB2312" w:cs="仿宋_GB2312" w:eastAsia="仿宋_GB2312"/>
              </w:rPr>
              <w:t>为保障项目进度，在项目实施中供应商应安排足够的测评师参与本项目，其中承诺安排等保测评师数量≥10人，得2分；5-9人，得1分；5人以下得0分。（须提供等保测评师证书及2025年1月份以来任意3个月社保证明复印件，且社保缴纳单位必须与供应商名称一致）</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人员实力-3</w:t>
            </w:r>
          </w:p>
        </w:tc>
        <w:tc>
          <w:tcPr>
            <w:tcW w:type="dxa" w:w="2492"/>
          </w:tcPr>
          <w:p>
            <w:pPr>
              <w:pStyle w:val="null3"/>
              <w:jc w:val="left"/>
            </w:pPr>
            <w:r>
              <w:rPr>
                <w:rFonts w:ascii="仿宋_GB2312" w:hAnsi="仿宋_GB2312" w:cs="仿宋_GB2312" w:eastAsia="仿宋_GB2312"/>
              </w:rPr>
              <w:t>实施人员具备网络/信息安全等级测评师证书，同时具备以下证书： 1、注册渗透测试工程师证书（CISP-PTE）或注册渗透测试专家证书（CISP-PTS），得2分； 2、网络安全人员能力认证证书（CACECPAC）得2分； 3、信息安全保障人员认证证书（CISAW），得2分； 4、注册应急响应工程师(CISP-IRE)，得2分。 同一人具有多项证书的，按一个证书计算，不重复得分。（须提供相应证书及2025年1月份以来任意3个月社保证明复印件，且社保缴纳单位必须与供应商名称一致）</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提供2023年1月以来的类似项目业绩，每个合同得1分，最高10分；(须提供合同复印件并加盖公章，未提供或未盖章不得分)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商务部分50.00分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技术方案</w:t>
            </w:r>
          </w:p>
        </w:tc>
        <w:tc>
          <w:tcPr>
            <w:tcW w:type="dxa" w:w="2492"/>
          </w:tcPr>
          <w:p>
            <w:pPr>
              <w:pStyle w:val="null3"/>
              <w:jc w:val="left"/>
            </w:pPr>
            <w:r>
              <w:rPr>
                <w:rFonts w:ascii="仿宋_GB2312" w:hAnsi="仿宋_GB2312" w:cs="仿宋_GB2312" w:eastAsia="仿宋_GB2312"/>
              </w:rPr>
              <w:t>供应商根据对项目的采购需求提供技术方案，内容包含但不限于：①项目需求理解和分析；②测评依据、测评工具；③各评估对象对应的评估方法；④密码应用安全性评估各项技术要求等，根据方案的完整性及符合实际情况进行综合评分。 1、根据提供方案的完整性进行评分，每具备上述列明的一项要素得2分，最多得8分。 2、根据提供的方案进行综合赋分：A.方案中的各项要素详细全面、完整、针对性强的得6分；B.方案中的各项要素安排较为合理、具有一定针对性的得4分；C.方案中的各项要素不完整，出现文字描述含糊不清、内容空洞、分析内容不全面等情况的得2分； 3、不提供方案得0分。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492"/>
          </w:tcPr>
          <w:p>
            <w:pPr>
              <w:pStyle w:val="null3"/>
              <w:jc w:val="left"/>
            </w:pPr>
            <w:r>
              <w:rPr>
                <w:rFonts w:ascii="仿宋_GB2312" w:hAnsi="仿宋_GB2312" w:cs="仿宋_GB2312" w:eastAsia="仿宋_GB2312"/>
              </w:rPr>
              <w:t>供应商根据对项目的采购需求提供实施方案，内容包含但不限于：①实施计划；②人员和任务分工；③实施进度安排；④项目管理等，根据方案的完整性及符合实际情况进行综合评分。 1、根据提供方案的完整性进行评分，每具备上述列明的一项要素得2分，最多得8分。 2、根据提供的方案进行综合赋分：A.方案中的各项要素详细全面、完整、针对性强的得6分；B.方案中的各项要素安排较为合理、具有一定针对性的得4分；C.方案中的各项要素不完整，出现文字描述含糊不清、内容空洞、分析内容不全面等情况的得2分； 3、不提供方案得0分。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供应商根据对项目的采购需求提供售后服务方案，内容包含但不限于：①服务响应时间；②服务方式；③服务内容等，根据方案的完整性及符合实际情况进行综合评分。 1、根据提供方案的完整性进行评分，每具备上述列明的一项要素得1分，最多得3分。 2、根据提供的方案进行综合赋分：A.方案中的各项要素详细全面、完整、针对性强的得3分；B.方案中的各项要素安排较为合理、具有一定针对性的得2分；C.方案中的各项要素不完整，出现文字描述含糊不清、内容空洞、分析内容不全面等情况的得1分； 3、不提供方案得0分。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应急方案</w:t>
            </w:r>
          </w:p>
        </w:tc>
        <w:tc>
          <w:tcPr>
            <w:tcW w:type="dxa" w:w="2492"/>
          </w:tcPr>
          <w:p>
            <w:pPr>
              <w:pStyle w:val="null3"/>
              <w:jc w:val="left"/>
            </w:pPr>
            <w:r>
              <w:rPr>
                <w:rFonts w:ascii="仿宋_GB2312" w:hAnsi="仿宋_GB2312" w:cs="仿宋_GB2312" w:eastAsia="仿宋_GB2312"/>
              </w:rPr>
              <w:t>供应商根据对项目的采购需求提供应急方案，内容包含但不限于：①可能出现的突发状况；②对应的应急解决办法；③应急事件的处理程序等，根据方案的完整性及符合实际情况进行综合评分。 1、根据提供方案的完整性进行评分，每具备上述列明的一项要素得1分，最多得3分。 2、根据提供的方案进行综合赋分：A.方案中的各项要素详细全面、完整、针对性强的得3分；B.方案中的各项要素安排较为合理、具有一定针对性的得2分；C.方案中的各项要素不完整，出现文字描述含糊不清、内容空洞、分析内容不全面等情况的得1分； 3、不提供方案得0分。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投标人实力-1</w:t>
            </w:r>
          </w:p>
        </w:tc>
        <w:tc>
          <w:tcPr>
            <w:tcW w:type="dxa" w:w="2492"/>
          </w:tcPr>
          <w:p>
            <w:pPr>
              <w:pStyle w:val="null3"/>
              <w:jc w:val="left"/>
            </w:pPr>
            <w:r>
              <w:rPr>
                <w:rFonts w:ascii="仿宋_GB2312" w:hAnsi="仿宋_GB2312" w:cs="仿宋_GB2312" w:eastAsia="仿宋_GB2312"/>
              </w:rPr>
              <w:t>1.具有ISO9001质量管理体系认证证书、ISO20000信息技术服务管理体系认证证书、ISO27001信息安全管理体系认证证书、ISO27701隐私信息管理体系认证证书（认证范围包含商用密码应用安全性评估服务和计算机信息安全技术咨询服务），每个得1分，满分4分； 提供相关证明材料复印件并加盖投标人公章。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投标人实力-2</w:t>
            </w:r>
          </w:p>
        </w:tc>
        <w:tc>
          <w:tcPr>
            <w:tcW w:type="dxa" w:w="2492"/>
          </w:tcPr>
          <w:p>
            <w:pPr>
              <w:pStyle w:val="null3"/>
              <w:jc w:val="left"/>
            </w:pPr>
            <w:r>
              <w:rPr>
                <w:rFonts w:ascii="仿宋_GB2312" w:hAnsi="仿宋_GB2312" w:cs="仿宋_GB2312" w:eastAsia="仿宋_GB2312"/>
              </w:rPr>
              <w:t>具有中国网络安全审查认证和市场监管大数据中心颁发的信息安全风险评估服务资质证书和信息系统安全运维服务资质证书，每个得1分，满分2分； 提供相关证明材料复印件并加盖投标人公章。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投标人实力-3</w:t>
            </w:r>
          </w:p>
        </w:tc>
        <w:tc>
          <w:tcPr>
            <w:tcW w:type="dxa" w:w="2492"/>
          </w:tcPr>
          <w:p>
            <w:pPr>
              <w:pStyle w:val="null3"/>
              <w:jc w:val="left"/>
            </w:pPr>
            <w:r>
              <w:rPr>
                <w:rFonts w:ascii="仿宋_GB2312" w:hAnsi="仿宋_GB2312" w:cs="仿宋_GB2312" w:eastAsia="仿宋_GB2312"/>
              </w:rPr>
              <w:t>具有省级或省级以上网络安全应急技术支撑单位证书，得2分。 证明材料：提供相应证书复印件并加盖公章。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投标人实力-4</w:t>
            </w:r>
          </w:p>
        </w:tc>
        <w:tc>
          <w:tcPr>
            <w:tcW w:type="dxa" w:w="2492"/>
          </w:tcPr>
          <w:p>
            <w:pPr>
              <w:pStyle w:val="null3"/>
              <w:jc w:val="left"/>
            </w:pPr>
            <w:r>
              <w:rPr>
                <w:rFonts w:ascii="仿宋_GB2312" w:hAnsi="仿宋_GB2312" w:cs="仿宋_GB2312" w:eastAsia="仿宋_GB2312"/>
              </w:rPr>
              <w:t>属于全国网络安全标准化技术委员会WG3组成员单位，得2分； 提供相关证明材料复印件并加盖投标人公章。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测评工具</w:t>
            </w:r>
          </w:p>
        </w:tc>
        <w:tc>
          <w:tcPr>
            <w:tcW w:type="dxa" w:w="2492"/>
          </w:tcPr>
          <w:p>
            <w:pPr>
              <w:pStyle w:val="null3"/>
              <w:jc w:val="left"/>
            </w:pPr>
            <w:r>
              <w:rPr>
                <w:rFonts w:ascii="仿宋_GB2312" w:hAnsi="仿宋_GB2312" w:cs="仿宋_GB2312" w:eastAsia="仿宋_GB2312"/>
              </w:rPr>
              <w:t>具有TLS协议安全检测平台、随机性检测软件、IPSec/SSL协议检测工具软件、密码算法验证工具平台等商用密码应用安全性评估测评工具，每个得1分，满分3分。 自主研发的提供国家版权局出具的有效软件著作权登记证书，购买版权的提供发票和有效的采购合同复印件加盖公章。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实验环境</w:t>
            </w:r>
          </w:p>
        </w:tc>
        <w:tc>
          <w:tcPr>
            <w:tcW w:type="dxa" w:w="2492"/>
          </w:tcPr>
          <w:p>
            <w:pPr>
              <w:pStyle w:val="null3"/>
              <w:jc w:val="left"/>
            </w:pPr>
            <w:r>
              <w:rPr>
                <w:rFonts w:ascii="仿宋_GB2312" w:hAnsi="仿宋_GB2312" w:cs="仿宋_GB2312" w:eastAsia="仿宋_GB2312"/>
              </w:rPr>
              <w:t>具有商用密码设备搭建的模拟仿真实验环境，每提供1种商用密码设备得1分，满分3分。 以上提供产品采购合同或发票复印件加盖公章。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2022年1月至今具有类似服务项目案例的，每提供1个得1分，满分10分。 以上提供合同关键页、验收报告并加盖公章。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项目团队-1</w:t>
            </w:r>
          </w:p>
        </w:tc>
        <w:tc>
          <w:tcPr>
            <w:tcW w:type="dxa" w:w="2492"/>
          </w:tcPr>
          <w:p>
            <w:pPr>
              <w:pStyle w:val="null3"/>
              <w:jc w:val="left"/>
            </w:pPr>
            <w:r>
              <w:rPr>
                <w:rFonts w:ascii="仿宋_GB2312" w:hAnsi="仿宋_GB2312" w:cs="仿宋_GB2312" w:eastAsia="仿宋_GB2312"/>
              </w:rPr>
              <w:t>本项目负责人（仅1人）应通过商用密码应用安全性评估能力考试并取得证书（证书上公司名称与投标单位名称应保持一致），在此基础上： 1.具有计算机技术与软件专业技术资格（中级信息安全工程师）证书，得3分； 2.具有计算机技术与软件专业技术资格（中级网络工程师）证书，得3分； 3.具有两年及以上密码测评从业经验（密码测评从业经验认定日期以获得商密考试证书之日起算），得3分。 提供证书复印件并加盖公章，提供人员2025年1月份以来任意3个月社保缴纳证明。</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项目团队-2</w:t>
            </w:r>
          </w:p>
        </w:tc>
        <w:tc>
          <w:tcPr>
            <w:tcW w:type="dxa" w:w="2492"/>
          </w:tcPr>
          <w:p>
            <w:pPr>
              <w:pStyle w:val="null3"/>
              <w:jc w:val="left"/>
            </w:pPr>
            <w:r>
              <w:rPr>
                <w:rFonts w:ascii="仿宋_GB2312" w:hAnsi="仿宋_GB2312" w:cs="仿宋_GB2312" w:eastAsia="仿宋_GB2312"/>
              </w:rPr>
              <w:t>本项目组员（项目负责人除外）应通过商用密码应用安全性评估能力考试并取得证书（证书上公司名称与投标单位名称应保持一致），在此基础上： 1.具有注册信息安全工程师（CISP-CISE）证书，每提供1名得3分，满分9分； 2.具有计算机技术与软件专业技术资格（中级信息安全工程师）证书，得3分； 3.具有计算机技术与软件专业技术资格（中级系统集成项目管理工程师）证书，得3分。 提供证书复印件并加盖公章，提供人员2025年1月份以来任意3个月社保缴纳证明。</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详见附件：合同通用范本.docx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HXY2025-179</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海南省级融媒体中心及融合技术平台“南海云”运维服务项目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海南省级融媒体中心及融合技术平台“南海云”运维服务项目 （链路）</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1736000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HXY2025-179</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海南省级融媒体中心及融合技术平台“南海云”运维服务项目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海南省级融媒体中心及融合技术平台“南海云”运维服务项目 （等保测评）</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511000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HXY2025-179</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海南省级融媒体中心及融合技术平台“南海云”运维服务项目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 xml:space="preserve"> 序号</w:t>
            </w:r>
          </w:p>
        </w:tc>
        <w:tc>
          <w:tcPr>
            <w:tcW w:type="dxa" w:w="923"/>
          </w:tcPr>
          <w:p>
            <w:pPr>
              <w:pStyle w:val="null3"/>
              <w:jc w:val="left"/>
            </w:pPr>
            <w:r>
              <w:rPr>
                <w:rFonts w:ascii="仿宋_GB2312" w:hAnsi="仿宋_GB2312" w:cs="仿宋_GB2312" w:eastAsia="仿宋_GB2312"/>
              </w:rPr>
              <w:t xml:space="preserve"> 报价内容</w:t>
            </w:r>
          </w:p>
        </w:tc>
        <w:tc>
          <w:tcPr>
            <w:tcW w:type="dxa" w:w="923"/>
          </w:tcPr>
          <w:p>
            <w:pPr>
              <w:pStyle w:val="null3"/>
              <w:jc w:val="left"/>
            </w:pPr>
            <w:r>
              <w:rPr>
                <w:rFonts w:ascii="仿宋_GB2312" w:hAnsi="仿宋_GB2312" w:cs="仿宋_GB2312" w:eastAsia="仿宋_GB2312"/>
              </w:rPr>
              <w:t xml:space="preserve"> 数量（计量单位）</w:t>
            </w:r>
          </w:p>
        </w:tc>
        <w:tc>
          <w:tcPr>
            <w:tcW w:type="dxa" w:w="923"/>
          </w:tcPr>
          <w:p>
            <w:pPr>
              <w:pStyle w:val="null3"/>
              <w:jc w:val="left"/>
            </w:pPr>
            <w:r>
              <w:rPr>
                <w:rFonts w:ascii="仿宋_GB2312" w:hAnsi="仿宋_GB2312" w:cs="仿宋_GB2312" w:eastAsia="仿宋_GB2312"/>
              </w:rPr>
              <w:t xml:space="preserve"> 最高限价</w:t>
            </w:r>
          </w:p>
        </w:tc>
        <w:tc>
          <w:tcPr>
            <w:tcW w:type="dxa" w:w="923"/>
          </w:tcPr>
          <w:p>
            <w:pPr>
              <w:pStyle w:val="null3"/>
              <w:jc w:val="left"/>
            </w:pPr>
            <w:r>
              <w:rPr>
                <w:rFonts w:ascii="仿宋_GB2312" w:hAnsi="仿宋_GB2312" w:cs="仿宋_GB2312" w:eastAsia="仿宋_GB2312"/>
              </w:rPr>
              <w:t xml:space="preserve"> 响应报价</w:t>
            </w:r>
          </w:p>
        </w:tc>
        <w:tc>
          <w:tcPr>
            <w:tcW w:type="dxa" w:w="923"/>
          </w:tcPr>
          <w:p>
            <w:pPr>
              <w:pStyle w:val="null3"/>
              <w:jc w:val="left"/>
            </w:pPr>
            <w:r>
              <w:rPr>
                <w:rFonts w:ascii="仿宋_GB2312" w:hAnsi="仿宋_GB2312" w:cs="仿宋_GB2312" w:eastAsia="仿宋_GB2312"/>
              </w:rPr>
              <w:t xml:space="preserve"> 价款形式</w:t>
            </w:r>
          </w:p>
        </w:tc>
        <w:tc>
          <w:tcPr>
            <w:tcW w:type="dxa" w:w="923"/>
          </w:tcPr>
          <w:p>
            <w:pPr>
              <w:pStyle w:val="null3"/>
              <w:jc w:val="left"/>
            </w:pPr>
            <w:r>
              <w:rPr>
                <w:rFonts w:ascii="仿宋_GB2312" w:hAnsi="仿宋_GB2312" w:cs="仿宋_GB2312" w:eastAsia="仿宋_GB2312"/>
              </w:rPr>
              <w:t xml:space="preserve"> 服务范围</w:t>
            </w:r>
          </w:p>
        </w:tc>
        <w:tc>
          <w:tcPr>
            <w:tcW w:type="dxa" w:w="923"/>
          </w:tcPr>
          <w:p>
            <w:pPr>
              <w:pStyle w:val="null3"/>
              <w:jc w:val="left"/>
            </w:pPr>
            <w:r>
              <w:rPr>
                <w:rFonts w:ascii="仿宋_GB2312" w:hAnsi="仿宋_GB2312" w:cs="仿宋_GB2312" w:eastAsia="仿宋_GB2312"/>
              </w:rPr>
              <w:t xml:space="preserve"> 服务期限</w:t>
            </w:r>
          </w:p>
        </w:tc>
        <w:tc>
          <w:tcPr>
            <w:tcW w:type="dxa" w:w="923"/>
          </w:tcPr>
          <w:p>
            <w:pPr>
              <w:pStyle w:val="null3"/>
              <w:jc w:val="left"/>
            </w:pPr>
            <w:r>
              <w:rPr>
                <w:rFonts w:ascii="仿宋_GB2312" w:hAnsi="仿宋_GB2312" w:cs="仿宋_GB2312" w:eastAsia="仿宋_GB2312"/>
              </w:rPr>
              <w:t xml:space="preserve"> 服务地点</w:t>
            </w:r>
          </w:p>
        </w:tc>
      </w:tr>
      <w:tr>
        <w:tc>
          <w:tcPr>
            <w:tcW w:type="dxa" w:w="923"/>
          </w:tcPr>
          <w:p>
            <w:pPr>
              <w:pStyle w:val="null3"/>
              <w:jc w:val="left"/>
            </w:pPr>
            <w:r>
              <w:rPr>
                <w:rFonts w:ascii="仿宋_GB2312" w:hAnsi="仿宋_GB2312" w:cs="仿宋_GB2312" w:eastAsia="仿宋_GB2312"/>
              </w:rPr>
              <w:t xml:space="preserve"> 1</w:t>
            </w:r>
          </w:p>
        </w:tc>
        <w:tc>
          <w:tcPr>
            <w:tcW w:type="dxa" w:w="923"/>
          </w:tcPr>
          <w:p>
            <w:pPr>
              <w:pStyle w:val="null3"/>
              <w:jc w:val="left"/>
            </w:pPr>
            <w:r>
              <w:rPr>
                <w:rFonts w:ascii="仿宋_GB2312" w:hAnsi="仿宋_GB2312" w:cs="仿宋_GB2312" w:eastAsia="仿宋_GB2312"/>
              </w:rPr>
              <w:t xml:space="preserve"> 海南省级融媒体中心及融合技术平台“南海云”运维服务项目 （密评）</w:t>
            </w:r>
          </w:p>
        </w:tc>
        <w:tc>
          <w:tcPr>
            <w:tcW w:type="dxa" w:w="923"/>
          </w:tcPr>
          <w:p>
            <w:pPr>
              <w:pStyle w:val="null3"/>
              <w:jc w:val="left"/>
            </w:pPr>
            <w:r>
              <w:rPr>
                <w:rFonts w:ascii="仿宋_GB2312" w:hAnsi="仿宋_GB2312" w:cs="仿宋_GB2312" w:eastAsia="仿宋_GB2312"/>
              </w:rPr>
              <w:t xml:space="preserve"> 1.00项</w:t>
            </w:r>
          </w:p>
        </w:tc>
        <w:tc>
          <w:tcPr>
            <w:tcW w:type="dxa" w:w="923"/>
          </w:tcPr>
          <w:p>
            <w:pPr>
              <w:pStyle w:val="null3"/>
              <w:jc w:val="left"/>
            </w:pPr>
            <w:r>
              <w:rPr>
                <w:rFonts w:ascii="仿宋_GB2312" w:hAnsi="仿宋_GB2312" w:cs="仿宋_GB2312" w:eastAsia="仿宋_GB2312"/>
              </w:rPr>
              <w:t xml:space="preserve"> 768948.22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923"/>
          </w:tcPr>
          <w:p>
            <w:pPr>
              <w:pStyle w:val="null3"/>
              <w:jc w:val="left"/>
            </w:pPr>
            <w:r>
              <w:rPr>
                <w:rFonts w:ascii="仿宋_GB2312" w:hAnsi="仿宋_GB2312" w:cs="仿宋_GB2312" w:eastAsia="仿宋_GB2312"/>
              </w:rPr>
              <w:t xml:space="preserve"> 总价</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r>
              <w:rPr>
                <w:rFonts w:ascii="仿宋_GB2312" w:hAnsi="仿宋_GB2312" w:cs="仿宋_GB2312" w:eastAsia="仿宋_GB2312"/>
              </w:rPr>
              <w:t xml:space="preserve"> {供应商响应}</w:t>
            </w:r>
          </w:p>
        </w:tc>
        <w:tc>
          <w:tcPr>
            <w:tcW w:type="dxa" w:w="923"/>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详见附件：资格承诺函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