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1D0EF9">
      <w:pPr>
        <w:pStyle w:val="4"/>
        <w:spacing w:line="360" w:lineRule="auto"/>
        <w:jc w:val="center"/>
        <w:rPr>
          <w:rFonts w:hint="default" w:ascii="仿宋" w:hAnsi="仿宋" w:eastAsia="仿宋" w:cs="仿宋"/>
          <w:b/>
          <w:bCs/>
          <w:color w:val="auto"/>
          <w:sz w:val="24"/>
          <w:szCs w:val="24"/>
          <w:highlight w:val="none"/>
          <w:lang w:val="en-US" w:eastAsia="zh-CN"/>
        </w:rPr>
      </w:pPr>
      <w:bookmarkStart w:id="0" w:name="_Toc217446094"/>
      <w:r>
        <w:rPr>
          <w:rFonts w:hint="eastAsia" w:ascii="仿宋" w:hAnsi="仿宋" w:eastAsia="仿宋" w:cs="仿宋"/>
          <w:b/>
          <w:bCs/>
          <w:color w:val="auto"/>
          <w:sz w:val="32"/>
          <w:szCs w:val="32"/>
          <w:highlight w:val="none"/>
          <w:lang w:val="en-US" w:eastAsia="zh-CN"/>
        </w:rPr>
        <w:t>采购需求</w:t>
      </w:r>
    </w:p>
    <w:bookmarkEnd w:id="0"/>
    <w:p w14:paraId="44723092">
      <w:pPr>
        <w:snapToGrid w:val="0"/>
        <w:spacing w:line="240" w:lineRule="auto"/>
        <w:ind w:left="525" w:hanging="527"/>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 xml:space="preserve">前提： </w:t>
      </w:r>
    </w:p>
    <w:p w14:paraId="2DF05824">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 xml:space="preserve"> 1、本章中标注“★ ”的条款为本项目不允许偏离的实质性条款，如投标人不满足的， 将按照无效投标处理；标注“▲ ”的条款为本项目的重要条款，若投标人不满足的，将在详细评审中加重扣分。</w:t>
      </w:r>
    </w:p>
    <w:p w14:paraId="3D93C3EB">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2、标注“★ ”、“▲ ”的技术参数须提供技术支持证明材料，否则视为负偏离。技术支持资料包括以下任意一种形式：</w:t>
      </w:r>
    </w:p>
    <w:p w14:paraId="33BB9C14">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（1）国家认可的第三方检测机构出具的检测报告；</w:t>
      </w:r>
    </w:p>
    <w:p w14:paraId="03B8B89E">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（2）货物制造商盖章的技术参数确认函（格式自拟）；</w:t>
      </w:r>
    </w:p>
    <w:p w14:paraId="379DB09C">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（3）产品彩页；</w:t>
      </w:r>
    </w:p>
    <w:p w14:paraId="06AF0DDE">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（4）货物制造商盖章的产品白皮书或设备说明书。</w:t>
      </w:r>
    </w:p>
    <w:p w14:paraId="544327AB">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（注：①关境内制造的货物的技术参数确认函、产品白皮书或设备说明书必须加盖制造商公章；②关境外制造的货物的技术参数确认函、产品白皮书或设备说明书必须加盖制造商或者国内代理商公章）</w:t>
      </w:r>
    </w:p>
    <w:p w14:paraId="59E91BB8">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3、一般参数（非▲号、★号的其他指标）应在投标文件中提供货物制造商盖章的技术参数承诺函（格式详见第六章投标文件格式要求-技术参数承诺函），否则视为负偏离。</w:t>
      </w:r>
    </w:p>
    <w:p w14:paraId="770CB123">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（注：①关境内制造的货物的技术参数承诺函必须加盖制造商公章；②关境外制造的货物的技术参数承诺函必须加盖制造商或者国内代理商公章；）</w:t>
      </w:r>
    </w:p>
    <w:p w14:paraId="4DE45D49">
      <w:pPr>
        <w:numPr>
          <w:ilvl w:val="0"/>
          <w:numId w:val="0"/>
        </w:numPr>
        <w:snapToGrid w:val="0"/>
        <w:spacing w:line="240" w:lineRule="auto"/>
        <w:ind w:left="-2" w:leftChars="0" w:firstLine="241" w:firstLineChars="100"/>
        <w:textAlignment w:val="baseline"/>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4、标注“★ ”的必须配套的附属设备设施、售后服务要求、商务条款须提供承诺函。</w:t>
      </w:r>
    </w:p>
    <w:p w14:paraId="2EB5DFC2">
      <w:pPr>
        <w:snapToGrid w:val="0"/>
        <w:spacing w:line="360" w:lineRule="auto"/>
        <w:ind w:left="525" w:hanging="527"/>
        <w:textAlignment w:val="baseline"/>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w:t>
      </w:r>
      <w:r>
        <w:rPr>
          <w:rFonts w:hint="eastAsia" w:ascii="仿宋" w:hAnsi="仿宋" w:eastAsia="仿宋" w:cs="仿宋"/>
          <w:b/>
          <w:color w:val="auto"/>
          <w:sz w:val="24"/>
          <w:szCs w:val="24"/>
          <w:highlight w:val="none"/>
        </w:rPr>
        <w:t>一、采购清单</w:t>
      </w:r>
    </w:p>
    <w:tbl>
      <w:tblPr>
        <w:tblStyle w:val="11"/>
        <w:tblW w:w="91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9"/>
        <w:gridCol w:w="695"/>
        <w:gridCol w:w="1740"/>
        <w:gridCol w:w="714"/>
        <w:gridCol w:w="471"/>
        <w:gridCol w:w="1521"/>
        <w:gridCol w:w="1486"/>
        <w:gridCol w:w="1450"/>
      </w:tblGrid>
      <w:tr w14:paraId="0289D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jc w:val="center"/>
        </w:trPr>
        <w:tc>
          <w:tcPr>
            <w:tcW w:w="1109" w:type="dxa"/>
            <w:noWrap w:val="0"/>
            <w:vAlign w:val="center"/>
          </w:tcPr>
          <w:p w14:paraId="2FF161B5">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lang w:val="en-US"/>
              </w:rPr>
            </w:pPr>
            <w:r>
              <w:rPr>
                <w:rFonts w:hint="eastAsia" w:ascii="仿宋" w:hAnsi="仿宋" w:eastAsia="仿宋" w:cs="仿宋"/>
                <w:b/>
                <w:bCs/>
                <w:i w:val="0"/>
                <w:iCs w:val="0"/>
                <w:color w:val="auto"/>
                <w:kern w:val="0"/>
                <w:sz w:val="21"/>
                <w:szCs w:val="21"/>
                <w:highlight w:val="none"/>
                <w:u w:val="none"/>
                <w:lang w:val="en-US" w:eastAsia="zh-CN" w:bidi="ar"/>
              </w:rPr>
              <w:t>包号</w:t>
            </w:r>
          </w:p>
        </w:tc>
        <w:tc>
          <w:tcPr>
            <w:tcW w:w="695" w:type="dxa"/>
            <w:noWrap w:val="0"/>
            <w:vAlign w:val="center"/>
          </w:tcPr>
          <w:p w14:paraId="4AAD3229">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序号</w:t>
            </w:r>
          </w:p>
        </w:tc>
        <w:tc>
          <w:tcPr>
            <w:tcW w:w="1740" w:type="dxa"/>
            <w:noWrap w:val="0"/>
            <w:vAlign w:val="center"/>
          </w:tcPr>
          <w:p w14:paraId="6E8406A2">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采购标的名称</w:t>
            </w:r>
          </w:p>
        </w:tc>
        <w:tc>
          <w:tcPr>
            <w:tcW w:w="714" w:type="dxa"/>
            <w:noWrap w:val="0"/>
            <w:vAlign w:val="center"/>
          </w:tcPr>
          <w:p w14:paraId="1C0A2258">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单位</w:t>
            </w:r>
          </w:p>
        </w:tc>
        <w:tc>
          <w:tcPr>
            <w:tcW w:w="471" w:type="dxa"/>
            <w:noWrap w:val="0"/>
            <w:vAlign w:val="center"/>
          </w:tcPr>
          <w:p w14:paraId="5CE081E2">
            <w:pPr>
              <w:keepNext w:val="0"/>
              <w:keepLines w:val="0"/>
              <w:widowControl/>
              <w:suppressLineNumbers w:val="0"/>
              <w:spacing w:line="240" w:lineRule="auto"/>
              <w:jc w:val="center"/>
              <w:textAlignment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i w:val="0"/>
                <w:iCs w:val="0"/>
                <w:color w:val="auto"/>
                <w:kern w:val="0"/>
                <w:sz w:val="21"/>
                <w:szCs w:val="21"/>
                <w:highlight w:val="none"/>
                <w:u w:val="none"/>
                <w:lang w:val="en-US" w:eastAsia="zh-CN" w:bidi="ar"/>
              </w:rPr>
              <w:t>数量</w:t>
            </w:r>
          </w:p>
        </w:tc>
        <w:tc>
          <w:tcPr>
            <w:tcW w:w="1521" w:type="dxa"/>
            <w:noWrap w:val="0"/>
            <w:vAlign w:val="center"/>
          </w:tcPr>
          <w:p w14:paraId="5264DB72">
            <w:pPr>
              <w:pageBreakBefore w:val="0"/>
              <w:widowControl w:val="0"/>
              <w:kinsoku/>
              <w:wordWrap/>
              <w:overflowPunct/>
              <w:topLinePunct w:val="0"/>
              <w:autoSpaceDE/>
              <w:autoSpaceDN/>
              <w:bidi w:val="0"/>
              <w:spacing w:line="240" w:lineRule="auto"/>
              <w:jc w:val="center"/>
              <w:rPr>
                <w:rFonts w:hint="eastAsia" w:ascii="仿宋" w:hAnsi="仿宋" w:eastAsia="仿宋" w:cs="仿宋"/>
                <w:b/>
                <w:bCs/>
                <w:color w:val="auto"/>
                <w:sz w:val="21"/>
                <w:szCs w:val="21"/>
                <w:highlight w:val="none"/>
                <w:lang w:val="en-US"/>
              </w:rPr>
            </w:pPr>
            <w:r>
              <w:rPr>
                <w:rFonts w:hint="eastAsia" w:ascii="仿宋" w:hAnsi="仿宋" w:eastAsia="仿宋" w:cs="仿宋"/>
                <w:b/>
                <w:bCs/>
                <w:color w:val="auto"/>
                <w:sz w:val="21"/>
                <w:szCs w:val="21"/>
                <w:highlight w:val="none"/>
                <w:lang w:val="en-US"/>
              </w:rPr>
              <w:t>单价最高</w:t>
            </w:r>
          </w:p>
          <w:p w14:paraId="450E6A4B">
            <w:pPr>
              <w:pageBreakBefore w:val="0"/>
              <w:widowControl w:val="0"/>
              <w:kinsoku/>
              <w:wordWrap/>
              <w:overflowPunct/>
              <w:topLinePunct w:val="0"/>
              <w:autoSpaceDE/>
              <w:autoSpaceDN/>
              <w:bidi w:val="0"/>
              <w:spacing w:line="240" w:lineRule="auto"/>
              <w:jc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color w:val="auto"/>
                <w:sz w:val="21"/>
                <w:szCs w:val="21"/>
                <w:highlight w:val="none"/>
                <w:lang w:val="en-US"/>
              </w:rPr>
              <w:t>限价（元）</w:t>
            </w:r>
          </w:p>
        </w:tc>
        <w:tc>
          <w:tcPr>
            <w:tcW w:w="1486" w:type="dxa"/>
            <w:noWrap w:val="0"/>
            <w:vAlign w:val="center"/>
          </w:tcPr>
          <w:p w14:paraId="03453E6D">
            <w:pPr>
              <w:pageBreakBefore w:val="0"/>
              <w:widowControl w:val="0"/>
              <w:kinsoku/>
              <w:wordWrap/>
              <w:overflowPunct/>
              <w:topLinePunct w:val="0"/>
              <w:autoSpaceDE/>
              <w:autoSpaceDN/>
              <w:bidi w:val="0"/>
              <w:spacing w:line="240" w:lineRule="auto"/>
              <w:jc w:val="center"/>
              <w:rPr>
                <w:rFonts w:hint="eastAsia" w:ascii="仿宋" w:hAnsi="仿宋" w:eastAsia="仿宋" w:cs="仿宋"/>
                <w:b/>
                <w:bCs/>
                <w:color w:val="auto"/>
                <w:sz w:val="21"/>
                <w:szCs w:val="21"/>
                <w:highlight w:val="none"/>
                <w:lang w:val="en-US"/>
              </w:rPr>
            </w:pPr>
            <w:r>
              <w:rPr>
                <w:rFonts w:hint="eastAsia" w:ascii="仿宋" w:hAnsi="仿宋" w:eastAsia="仿宋" w:cs="仿宋"/>
                <w:b/>
                <w:bCs/>
                <w:color w:val="auto"/>
                <w:sz w:val="21"/>
                <w:szCs w:val="21"/>
                <w:highlight w:val="none"/>
                <w:lang w:val="en-US"/>
              </w:rPr>
              <w:t>单包最高</w:t>
            </w:r>
          </w:p>
          <w:p w14:paraId="5719C5D1">
            <w:pPr>
              <w:pageBreakBefore w:val="0"/>
              <w:widowControl w:val="0"/>
              <w:kinsoku/>
              <w:wordWrap/>
              <w:overflowPunct/>
              <w:topLinePunct w:val="0"/>
              <w:autoSpaceDE/>
              <w:autoSpaceDN/>
              <w:bidi w:val="0"/>
              <w:spacing w:line="240" w:lineRule="auto"/>
              <w:jc w:val="center"/>
              <w:rPr>
                <w:rFonts w:hint="eastAsia" w:ascii="仿宋" w:hAnsi="仿宋" w:eastAsia="仿宋" w:cs="仿宋"/>
                <w:b/>
                <w:bCs/>
                <w:i w:val="0"/>
                <w:iCs w:val="0"/>
                <w:color w:val="auto"/>
                <w:sz w:val="21"/>
                <w:szCs w:val="21"/>
                <w:highlight w:val="none"/>
                <w:u w:val="none"/>
              </w:rPr>
            </w:pPr>
            <w:r>
              <w:rPr>
                <w:rFonts w:hint="eastAsia" w:ascii="仿宋" w:hAnsi="仿宋" w:eastAsia="仿宋" w:cs="仿宋"/>
                <w:b/>
                <w:bCs/>
                <w:color w:val="auto"/>
                <w:sz w:val="21"/>
                <w:szCs w:val="21"/>
                <w:highlight w:val="none"/>
                <w:lang w:val="en-US"/>
              </w:rPr>
              <w:t>限价（元）</w:t>
            </w:r>
          </w:p>
        </w:tc>
        <w:tc>
          <w:tcPr>
            <w:tcW w:w="1450" w:type="dxa"/>
            <w:noWrap w:val="0"/>
            <w:vAlign w:val="center"/>
          </w:tcPr>
          <w:p w14:paraId="2097040A">
            <w:pPr>
              <w:pageBreakBefore w:val="0"/>
              <w:widowControl w:val="0"/>
              <w:kinsoku/>
              <w:wordWrap/>
              <w:overflowPunct/>
              <w:topLinePunct w:val="0"/>
              <w:autoSpaceDE/>
              <w:autoSpaceDN/>
              <w:bidi w:val="0"/>
              <w:spacing w:line="240" w:lineRule="auto"/>
              <w:jc w:val="center"/>
              <w:rPr>
                <w:rFonts w:hint="eastAsia" w:ascii="仿宋" w:hAnsi="仿宋" w:eastAsia="仿宋" w:cs="仿宋"/>
                <w:b/>
                <w:bCs/>
                <w:color w:val="auto"/>
                <w:sz w:val="21"/>
                <w:szCs w:val="21"/>
                <w:highlight w:val="none"/>
                <w:lang w:val="en-US" w:eastAsia="zh-CN"/>
              </w:rPr>
            </w:pPr>
            <w:r>
              <w:rPr>
                <w:rFonts w:hint="eastAsia" w:ascii="仿宋" w:hAnsi="仿宋" w:eastAsia="仿宋" w:cs="仿宋"/>
                <w:b/>
                <w:bCs/>
                <w:color w:val="auto"/>
                <w:sz w:val="21"/>
                <w:szCs w:val="21"/>
                <w:highlight w:val="none"/>
                <w:lang w:val="en-US" w:eastAsia="zh-CN"/>
              </w:rPr>
              <w:t>备注</w:t>
            </w:r>
          </w:p>
        </w:tc>
      </w:tr>
      <w:tr w14:paraId="3F018F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09" w:type="dxa"/>
            <w:noWrap w:val="0"/>
            <w:vAlign w:val="center"/>
          </w:tcPr>
          <w:p w14:paraId="71CBD9CC">
            <w:pPr>
              <w:spacing w:line="240" w:lineRule="auto"/>
              <w:jc w:val="center"/>
              <w:rPr>
                <w:rFonts w:hint="eastAsia" w:ascii="仿宋" w:hAnsi="仿宋" w:eastAsia="仿宋" w:cs="仿宋"/>
                <w:b w:val="0"/>
                <w:bCs w:val="0"/>
                <w:i w:val="0"/>
                <w:iCs w:val="0"/>
                <w:color w:val="auto"/>
                <w:sz w:val="21"/>
                <w:szCs w:val="21"/>
                <w:highlight w:val="none"/>
                <w:u w:val="none"/>
                <w:lang w:val="en-US" w:eastAsia="zh-CN"/>
              </w:rPr>
            </w:pPr>
            <w:r>
              <w:rPr>
                <w:rFonts w:hint="eastAsia" w:ascii="仿宋" w:hAnsi="仿宋" w:eastAsia="仿宋" w:cs="仿宋"/>
                <w:i w:val="0"/>
                <w:iCs w:val="0"/>
                <w:color w:val="auto"/>
                <w:kern w:val="0"/>
                <w:sz w:val="21"/>
                <w:szCs w:val="21"/>
                <w:u w:val="none"/>
                <w:lang w:val="en-US" w:eastAsia="zh-CN" w:bidi="ar"/>
              </w:rPr>
              <w:t>采购包1（原采购第1包）</w:t>
            </w:r>
          </w:p>
        </w:tc>
        <w:tc>
          <w:tcPr>
            <w:tcW w:w="695" w:type="dxa"/>
            <w:noWrap/>
            <w:vAlign w:val="center"/>
          </w:tcPr>
          <w:p w14:paraId="55F03CFA">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1740" w:type="dxa"/>
            <w:noWrap w:val="0"/>
            <w:vAlign w:val="center"/>
          </w:tcPr>
          <w:p w14:paraId="2119DC6B">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膨宫泵</w:t>
            </w:r>
          </w:p>
        </w:tc>
        <w:tc>
          <w:tcPr>
            <w:tcW w:w="714" w:type="dxa"/>
            <w:noWrap/>
            <w:vAlign w:val="center"/>
          </w:tcPr>
          <w:p w14:paraId="5D62741C">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套</w:t>
            </w:r>
          </w:p>
        </w:tc>
        <w:tc>
          <w:tcPr>
            <w:tcW w:w="471" w:type="dxa"/>
            <w:noWrap w:val="0"/>
            <w:vAlign w:val="center"/>
          </w:tcPr>
          <w:p w14:paraId="1755EA8D">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w:t>
            </w:r>
          </w:p>
        </w:tc>
        <w:tc>
          <w:tcPr>
            <w:tcW w:w="1521" w:type="dxa"/>
            <w:noWrap/>
            <w:vAlign w:val="center"/>
          </w:tcPr>
          <w:p w14:paraId="519B01D0">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120000.00</w:t>
            </w:r>
          </w:p>
        </w:tc>
        <w:tc>
          <w:tcPr>
            <w:tcW w:w="1486" w:type="dxa"/>
            <w:noWrap/>
            <w:vAlign w:val="center"/>
          </w:tcPr>
          <w:p w14:paraId="19768495">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120000.00</w:t>
            </w:r>
          </w:p>
        </w:tc>
        <w:tc>
          <w:tcPr>
            <w:tcW w:w="1450" w:type="dxa"/>
            <w:noWrap/>
            <w:vAlign w:val="center"/>
          </w:tcPr>
          <w:p w14:paraId="641E1A36">
            <w:pPr>
              <w:keepNext w:val="0"/>
              <w:keepLines w:val="0"/>
              <w:widowControl/>
              <w:suppressLineNumbers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允许采购</w:t>
            </w:r>
          </w:p>
          <w:p w14:paraId="10D40BE9">
            <w:pPr>
              <w:keepNext w:val="0"/>
              <w:keepLines w:val="0"/>
              <w:widowControl/>
              <w:suppressLineNumbers w:val="0"/>
              <w:spacing w:line="240" w:lineRule="auto"/>
              <w:jc w:val="center"/>
              <w:textAlignment w:val="center"/>
              <w:rPr>
                <w:rFonts w:hint="default" w:ascii="仿宋" w:hAnsi="仿宋" w:eastAsia="仿宋" w:cs="仿宋"/>
                <w:i w:val="0"/>
                <w:iCs w:val="0"/>
                <w:color w:val="auto"/>
                <w:kern w:val="0"/>
                <w:sz w:val="21"/>
                <w:szCs w:val="21"/>
                <w:u w:val="none"/>
                <w:lang w:val="en-US" w:eastAsia="zh-CN" w:bidi="ar"/>
              </w:rPr>
            </w:pPr>
            <w:r>
              <w:rPr>
                <w:rFonts w:hint="eastAsia" w:ascii="仿宋" w:hAnsi="仿宋" w:eastAsia="仿宋" w:cs="仿宋"/>
                <w:i w:val="0"/>
                <w:iCs w:val="0"/>
                <w:color w:val="auto"/>
                <w:kern w:val="0"/>
                <w:sz w:val="21"/>
                <w:szCs w:val="21"/>
                <w:u w:val="none"/>
                <w:lang w:val="en-US" w:eastAsia="zh-CN" w:bidi="ar"/>
              </w:rPr>
              <w:t>进口产品</w:t>
            </w:r>
          </w:p>
        </w:tc>
      </w:tr>
    </w:tbl>
    <w:p w14:paraId="35D25B08">
      <w:pPr>
        <w:snapToGrid w:val="0"/>
        <w:spacing w:line="240" w:lineRule="auto"/>
        <w:ind w:left="632" w:hanging="602" w:hangingChars="3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rPr>
        <w:t>注：</w:t>
      </w:r>
      <w:r>
        <w:rPr>
          <w:rFonts w:hint="eastAsia" w:ascii="仿宋" w:hAnsi="仿宋" w:eastAsia="仿宋" w:cs="仿宋"/>
          <w:b/>
          <w:bCs/>
          <w:color w:val="auto"/>
          <w:sz w:val="20"/>
          <w:szCs w:val="20"/>
          <w:highlight w:val="none"/>
          <w:lang w:val="en-US" w:eastAsia="zh-CN"/>
        </w:rPr>
        <w:t>1.投标报价要求：</w:t>
      </w:r>
    </w:p>
    <w:p w14:paraId="76BA22A9">
      <w:pPr>
        <w:snapToGrid w:val="0"/>
        <w:spacing w:line="240" w:lineRule="auto"/>
        <w:ind w:left="0" w:leftChars="0" w:firstLine="402" w:firstLineChars="2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（1）合同约定的价款，除非另有特别说明，已经包含下列项目含税费用：</w:t>
      </w:r>
    </w:p>
    <w:p w14:paraId="4D23B32A">
      <w:pPr>
        <w:snapToGrid w:val="0"/>
        <w:spacing w:line="240" w:lineRule="auto"/>
        <w:ind w:left="0" w:leftChars="0" w:firstLine="402" w:firstLineChars="2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①货物主体和配件、备品备件、硬件软件、包装、专用工具的费用；</w:t>
      </w:r>
    </w:p>
    <w:p w14:paraId="0DA06DA9">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②安装/调试/检验、培训、技术服务和其他相关服务费用；</w:t>
      </w:r>
    </w:p>
    <w:p w14:paraId="0BEDF148">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③进出口手续费用（如有）；</w:t>
      </w:r>
    </w:p>
    <w:p w14:paraId="7FA1A257">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④运输到指定交货地点的运费、保险费用等。</w:t>
      </w:r>
    </w:p>
    <w:p w14:paraId="129D6979">
      <w:pPr>
        <w:snapToGrid w:val="0"/>
        <w:spacing w:line="240" w:lineRule="auto"/>
        <w:ind w:left="621" w:leftChars="200" w:hanging="201" w:hangingChars="100"/>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除非另有明确约定，海南省卫生健康委员会、使用单位无需就本次购买向供应商支付其他费用。</w:t>
      </w:r>
    </w:p>
    <w:p w14:paraId="7BD8D696">
      <w:pPr>
        <w:snapToGrid w:val="0"/>
        <w:spacing w:line="240" w:lineRule="auto"/>
        <w:ind w:left="0" w:leftChars="0" w:firstLine="402" w:firstLineChars="200"/>
        <w:rPr>
          <w:rFonts w:hint="eastAsia" w:ascii="仿宋" w:hAnsi="仿宋" w:eastAsia="仿宋" w:cs="仿宋"/>
          <w:color w:val="auto"/>
          <w:sz w:val="20"/>
          <w:szCs w:val="20"/>
          <w:highlight w:val="none"/>
        </w:rPr>
      </w:pPr>
      <w:r>
        <w:rPr>
          <w:rFonts w:hint="eastAsia" w:ascii="仿宋" w:hAnsi="仿宋" w:eastAsia="仿宋" w:cs="仿宋"/>
          <w:b/>
          <w:bCs/>
          <w:color w:val="auto"/>
          <w:sz w:val="20"/>
          <w:szCs w:val="20"/>
          <w:highlight w:val="none"/>
          <w:lang w:val="en-US" w:eastAsia="zh-CN"/>
        </w:rPr>
        <w:t>（2）各方确认：合同约定价款不因劳务、市场设备价格、政策变化而调整。</w:t>
      </w:r>
    </w:p>
    <w:p w14:paraId="2B393ECD">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left="627" w:leftChars="200" w:hanging="207" w:hangingChars="103"/>
        <w:jc w:val="left"/>
        <w:textAlignment w:val="auto"/>
        <w:rPr>
          <w:rFonts w:hint="eastAsia" w:ascii="仿宋" w:hAnsi="仿宋" w:eastAsia="仿宋" w:cs="仿宋"/>
          <w:b/>
          <w:color w:val="auto"/>
          <w:sz w:val="20"/>
          <w:szCs w:val="20"/>
          <w:highlight w:val="none"/>
          <w:lang w:val="en-US" w:eastAsia="zh-CN"/>
        </w:rPr>
      </w:pPr>
      <w:r>
        <w:rPr>
          <w:rFonts w:hint="eastAsia" w:ascii="仿宋" w:hAnsi="仿宋" w:eastAsia="仿宋" w:cs="仿宋"/>
          <w:b/>
          <w:color w:val="auto"/>
          <w:sz w:val="20"/>
          <w:szCs w:val="20"/>
          <w:highlight w:val="none"/>
          <w:lang w:val="en-US" w:eastAsia="zh-CN"/>
        </w:rPr>
        <w:t xml:space="preserve">2.如所供货物为医疗器械的,医疗产品注册证上的名称与采购标的名称不一致的,需在《开   </w:t>
      </w:r>
    </w:p>
    <w:p w14:paraId="7C3A19C7">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left="627" w:leftChars="200" w:hanging="207" w:hangingChars="103"/>
        <w:jc w:val="left"/>
        <w:textAlignment w:val="auto"/>
        <w:rPr>
          <w:rFonts w:hint="eastAsia" w:ascii="仿宋" w:hAnsi="仿宋" w:eastAsia="仿宋" w:cs="仿宋"/>
          <w:b/>
          <w:color w:val="auto"/>
          <w:sz w:val="20"/>
          <w:szCs w:val="20"/>
          <w:highlight w:val="none"/>
          <w:lang w:val="en-US" w:eastAsia="zh-CN"/>
        </w:rPr>
      </w:pPr>
      <w:r>
        <w:rPr>
          <w:rFonts w:hint="eastAsia" w:ascii="仿宋" w:hAnsi="仿宋" w:eastAsia="仿宋" w:cs="仿宋"/>
          <w:b/>
          <w:color w:val="auto"/>
          <w:sz w:val="20"/>
          <w:szCs w:val="20"/>
          <w:highlight w:val="none"/>
          <w:lang w:val="en-US" w:eastAsia="zh-CN"/>
        </w:rPr>
        <w:t>标一览表》的“备注”中明确,验收以医疗器械注册证上的产品名称为准。</w:t>
      </w:r>
    </w:p>
    <w:p w14:paraId="24671787">
      <w:pPr>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240" w:lineRule="auto"/>
        <w:ind w:left="627" w:leftChars="200" w:hanging="207" w:hangingChars="103"/>
        <w:jc w:val="left"/>
        <w:textAlignment w:val="auto"/>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z w:val="20"/>
          <w:szCs w:val="20"/>
          <w:highlight w:val="none"/>
          <w:lang w:val="en-US" w:eastAsia="zh-CN"/>
        </w:rPr>
        <w:t>3.本项目采购标的所属行业为工业（制造业）。</w:t>
      </w:r>
    </w:p>
    <w:p w14:paraId="61FCE455">
      <w:pPr>
        <w:snapToGrid w:val="0"/>
        <w:spacing w:line="360" w:lineRule="auto"/>
        <w:ind w:left="525" w:hanging="527"/>
        <w:textAlignment w:val="baseline"/>
        <w:rPr>
          <w:rFonts w:hint="eastAsia" w:ascii="仿宋" w:hAnsi="仿宋" w:eastAsia="仿宋" w:cs="仿宋"/>
          <w:b/>
          <w:color w:val="auto"/>
          <w:sz w:val="28"/>
          <w:szCs w:val="28"/>
          <w:highlight w:val="none"/>
          <w:lang w:val="en-US"/>
        </w:rPr>
      </w:pPr>
    </w:p>
    <w:p w14:paraId="5D3ECAFF">
      <w:pPr>
        <w:rPr>
          <w:rFonts w:hint="eastAsia" w:ascii="仿宋" w:hAnsi="仿宋" w:eastAsia="仿宋" w:cs="仿宋"/>
          <w:b/>
          <w:color w:val="auto"/>
          <w:sz w:val="28"/>
          <w:szCs w:val="28"/>
          <w:highlight w:val="none"/>
          <w:lang w:val="en-US"/>
        </w:rPr>
      </w:pPr>
      <w:r>
        <w:rPr>
          <w:rFonts w:hint="eastAsia" w:ascii="仿宋" w:hAnsi="仿宋" w:eastAsia="仿宋" w:cs="仿宋"/>
          <w:b/>
          <w:color w:val="auto"/>
          <w:sz w:val="28"/>
          <w:szCs w:val="28"/>
          <w:highlight w:val="none"/>
          <w:lang w:val="en-US"/>
        </w:rPr>
        <w:br w:type="page"/>
      </w:r>
    </w:p>
    <w:p w14:paraId="384E6708">
      <w:pPr>
        <w:snapToGrid w:val="0"/>
        <w:spacing w:line="360" w:lineRule="auto"/>
        <w:ind w:left="525" w:hanging="527"/>
        <w:textAlignment w:val="baseline"/>
        <w:rPr>
          <w:rFonts w:hint="eastAsia" w:ascii="仿宋" w:hAnsi="仿宋" w:eastAsia="仿宋" w:cs="仿宋"/>
          <w:b/>
          <w:color w:val="auto"/>
          <w:sz w:val="28"/>
          <w:szCs w:val="28"/>
          <w:highlight w:val="none"/>
          <w:lang w:val="en-US"/>
        </w:rPr>
      </w:pPr>
      <w:r>
        <w:rPr>
          <w:rFonts w:hint="eastAsia" w:ascii="仿宋" w:hAnsi="仿宋" w:eastAsia="仿宋" w:cs="仿宋"/>
          <w:b/>
          <w:color w:val="auto"/>
          <w:sz w:val="28"/>
          <w:szCs w:val="28"/>
          <w:highlight w:val="none"/>
          <w:lang w:val="en-US"/>
        </w:rPr>
        <w:t>二、技术要求</w:t>
      </w:r>
      <w:bookmarkStart w:id="2" w:name="_GoBack"/>
      <w:bookmarkEnd w:id="2"/>
    </w:p>
    <w:p w14:paraId="0392F5ED">
      <w:pPr>
        <w:pStyle w:val="2"/>
        <w:ind w:left="0" w:leftChars="0" w:firstLine="0" w:firstLineChars="0"/>
        <w:rPr>
          <w:rFonts w:hint="default"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t>采购包1（原采购第1包）：</w:t>
      </w:r>
    </w:p>
    <w:tbl>
      <w:tblPr>
        <w:tblStyle w:val="11"/>
        <w:tblW w:w="842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666"/>
        <w:gridCol w:w="5482"/>
        <w:gridCol w:w="1281"/>
      </w:tblGrid>
      <w:tr w14:paraId="10325C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84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4992429">
            <w:pPr>
              <w:jc w:val="center"/>
              <w:rPr>
                <w:rFonts w:hint="eastAsia" w:ascii="宋体" w:hAnsi="宋体" w:eastAsia="宋体" w:cs="宋体"/>
                <w:b/>
                <w:i w:val="0"/>
                <w:color w:val="auto"/>
                <w:sz w:val="24"/>
                <w:szCs w:val="24"/>
                <w:u w:val="none"/>
              </w:rPr>
            </w:pPr>
            <w:r>
              <w:rPr>
                <w:rFonts w:hint="eastAsia" w:ascii="宋体" w:hAnsi="宋体" w:eastAsia="宋体" w:cs="宋体"/>
                <w:b/>
                <w:i w:val="0"/>
                <w:color w:val="auto"/>
                <w:sz w:val="24"/>
                <w:szCs w:val="24"/>
                <w:u w:val="none"/>
              </w:rPr>
              <w:t>膨宫泵</w:t>
            </w:r>
          </w:p>
        </w:tc>
      </w:tr>
      <w:tr w14:paraId="6F8F2E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34DFA">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序号</w:t>
            </w:r>
          </w:p>
        </w:tc>
        <w:tc>
          <w:tcPr>
            <w:tcW w:w="5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2F585">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技术商务要求</w:t>
            </w:r>
          </w:p>
        </w:tc>
        <w:tc>
          <w:tcPr>
            <w:tcW w:w="12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8CB2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6D2522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CA37D">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一</w:t>
            </w:r>
          </w:p>
        </w:tc>
        <w:tc>
          <w:tcPr>
            <w:tcW w:w="5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EFCB7">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基本性能</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3B45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689E76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F2EB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1.1</w:t>
            </w:r>
          </w:p>
        </w:tc>
        <w:tc>
          <w:tcPr>
            <w:tcW w:w="5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E41A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脚踏≥IPX8防护等级，主机≥IPX2防护等级</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1EDB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E0B72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330F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1.2</w:t>
            </w:r>
          </w:p>
        </w:tc>
        <w:tc>
          <w:tcPr>
            <w:tcW w:w="5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6E93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运行模式：连续运行。</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D613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DB397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6322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二</w:t>
            </w:r>
          </w:p>
        </w:tc>
        <w:tc>
          <w:tcPr>
            <w:tcW w:w="5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3AC1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宫腔模式</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0040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1334A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9E64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2.1</w:t>
            </w:r>
          </w:p>
        </w:tc>
        <w:tc>
          <w:tcPr>
            <w:tcW w:w="5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0EF3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压力设置范围、冲洗流速范围、吸引流速范围可调，显示宫腔内压</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CD60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B8AFC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F877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2.2</w:t>
            </w:r>
          </w:p>
        </w:tc>
        <w:tc>
          <w:tcPr>
            <w:tcW w:w="5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F21F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冲洗流速范围：最小值为0ml/min且最大值≥50ml/min</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DDA5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B51EA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9713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2.3</w:t>
            </w:r>
          </w:p>
        </w:tc>
        <w:tc>
          <w:tcPr>
            <w:tcW w:w="5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D7F0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吸引流速范围：最小值为0ml/min且最大值≥200ml/min</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8BBD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26CCA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C3EC9">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三</w:t>
            </w:r>
          </w:p>
        </w:tc>
        <w:tc>
          <w:tcPr>
            <w:tcW w:w="5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9A474">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功能与设计</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1D04E">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27E852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E3B6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3.1</w:t>
            </w:r>
          </w:p>
        </w:tc>
        <w:tc>
          <w:tcPr>
            <w:tcW w:w="5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FC8FA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触摸屏≥7英寸</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A536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EBD64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4AE2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3.2</w:t>
            </w:r>
          </w:p>
        </w:tc>
        <w:tc>
          <w:tcPr>
            <w:tcW w:w="5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ACE7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具有中文操作语言，便于国内医护人员使用。</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0D17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42651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65171">
            <w:pPr>
              <w:keepNext w:val="0"/>
              <w:keepLines w:val="0"/>
              <w:widowControl/>
              <w:suppressLineNumbers w:val="0"/>
              <w:jc w:val="left"/>
              <w:textAlignment w:val="center"/>
              <w:rPr>
                <w:rFonts w:hint="default"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3.3</w:t>
            </w:r>
          </w:p>
        </w:tc>
        <w:tc>
          <w:tcPr>
            <w:tcW w:w="5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CF58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具有手动校准功能，可手动设置人机高度差和镜鞘型号，消除液体通路上的压强差，精准控制宫内压。</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DC6C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7D3051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A0E8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3.4</w:t>
            </w:r>
          </w:p>
        </w:tc>
        <w:tc>
          <w:tcPr>
            <w:tcW w:w="5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3D1C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具有快速排气+自动校准二合一功能，可自动校准人机高度差和镜鞘压强差，更高效精确地控制宫内压，避免宫内压过高引发子宫穿孔风险。</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0708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58C99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B790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3.5</w:t>
            </w:r>
          </w:p>
        </w:tc>
        <w:tc>
          <w:tcPr>
            <w:tcW w:w="5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2B7F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可统计单次手术的工作时长、冲洗量或负欠量，可有效避免TURP综合征。</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76E9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0013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613C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3.6</w:t>
            </w:r>
          </w:p>
        </w:tc>
        <w:tc>
          <w:tcPr>
            <w:tcW w:w="5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681D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具有上压力传感器，可检测液袋剩余液量，具有空瓶声光报警，有效避免气体进入腔体引发空气栓塞风险。</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78A1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74C9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0C4CA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3.7</w:t>
            </w:r>
          </w:p>
        </w:tc>
        <w:tc>
          <w:tcPr>
            <w:tcW w:w="5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24DA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主机背面具有USB通用串行总线接口，可连接外部称量系统，可实时记录废液量，并在主界面显示液体负欠量。</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45C2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F063F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F8B5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3.8</w:t>
            </w:r>
          </w:p>
        </w:tc>
        <w:tc>
          <w:tcPr>
            <w:tcW w:w="5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8DB1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具有触摸屏锁屏开关功能，开启锁屏功能后，若无操作自动锁定</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3978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26AC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177D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3.9</w:t>
            </w:r>
          </w:p>
        </w:tc>
        <w:tc>
          <w:tcPr>
            <w:tcW w:w="5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D1B6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配备冲洗管路，可重复灭菌使用≥50次。</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16BE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E6157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E4BE4">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★四</w:t>
            </w:r>
          </w:p>
        </w:tc>
        <w:tc>
          <w:tcPr>
            <w:tcW w:w="54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870F1">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配件清单/配套的附属设备设施</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15B9E">
            <w:pPr>
              <w:keepNext w:val="0"/>
              <w:keepLines w:val="0"/>
              <w:widowControl/>
              <w:suppressLineNumbers w:val="0"/>
              <w:jc w:val="left"/>
              <w:textAlignment w:val="center"/>
              <w:rPr>
                <w:rFonts w:hint="eastAsia" w:ascii="仿宋" w:hAnsi="仿宋" w:eastAsia="仿宋" w:cs="仿宋"/>
                <w:b/>
                <w:bCs/>
                <w:i w:val="0"/>
                <w:color w:val="auto"/>
                <w:kern w:val="0"/>
                <w:sz w:val="21"/>
                <w:szCs w:val="21"/>
                <w:u w:val="none"/>
                <w:lang w:val="en-US" w:eastAsia="zh-CN" w:bidi="ar"/>
              </w:rPr>
            </w:pPr>
          </w:p>
        </w:tc>
      </w:tr>
      <w:tr w14:paraId="355B32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F6BF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4.1</w:t>
            </w:r>
          </w:p>
        </w:tc>
        <w:tc>
          <w:tcPr>
            <w:tcW w:w="5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E06B6">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灌注泵主机1套</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6BFF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B9531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B7B6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4.2</w:t>
            </w:r>
          </w:p>
        </w:tc>
        <w:tc>
          <w:tcPr>
            <w:tcW w:w="5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D337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专用台车1辆</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A6DA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52A9F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9E49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4.3</w:t>
            </w:r>
          </w:p>
        </w:tc>
        <w:tc>
          <w:tcPr>
            <w:tcW w:w="5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80B9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膨宫管1根</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D855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22D84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C268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★五</w:t>
            </w:r>
          </w:p>
        </w:tc>
        <w:tc>
          <w:tcPr>
            <w:tcW w:w="5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6F54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售后服务要求</w:t>
            </w:r>
            <w:r>
              <w:rPr>
                <w:rStyle w:val="19"/>
                <w:rFonts w:hint="eastAsia" w:ascii="仿宋" w:hAnsi="仿宋" w:eastAsia="仿宋" w:cs="仿宋"/>
                <w:b/>
                <w:bCs/>
                <w:color w:val="auto"/>
                <w:sz w:val="21"/>
                <w:szCs w:val="21"/>
                <w:lang w:val="en-US" w:eastAsia="zh-CN" w:bidi="ar"/>
              </w:rPr>
              <w:t>（以下服务条款产生的所有费用应包含在本次报价中）</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9DB2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p>
        </w:tc>
      </w:tr>
      <w:tr w14:paraId="4A3C52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056F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5.1</w:t>
            </w:r>
          </w:p>
        </w:tc>
        <w:tc>
          <w:tcPr>
            <w:tcW w:w="5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4B669">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保修期起始日期从设备验收合格移交使用单位之日起算，保修期为：整机≥12个月，由供应商负责维护维修。</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96C8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07877A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3"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4CAC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5.2</w:t>
            </w:r>
          </w:p>
        </w:tc>
        <w:tc>
          <w:tcPr>
            <w:tcW w:w="5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6CB2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在保修期内，供应商技术人员应至少每3个月上门对设备进行维护保养；接到各使用单位设备故障报修后供应商技术人员应在2小时内响应并解决问题，未解决则48小时内到达现场，如未到达现场，</w:t>
            </w:r>
            <w:r>
              <w:rPr>
                <w:rFonts w:hint="eastAsia" w:ascii="仿宋" w:hAnsi="仿宋" w:eastAsia="仿宋" w:cs="仿宋"/>
                <w:i w:val="0"/>
                <w:color w:val="auto"/>
                <w:kern w:val="0"/>
                <w:sz w:val="21"/>
                <w:szCs w:val="21"/>
                <w:u w:val="none"/>
                <w:lang w:val="en-US" w:eastAsia="zh-CN" w:bidi="ar"/>
              </w:rPr>
              <w:t>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2172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571ED9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5"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2261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5.3</w:t>
            </w:r>
          </w:p>
        </w:tc>
        <w:tc>
          <w:tcPr>
            <w:tcW w:w="5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E3F1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保修期内的开机率，保证开机率≥95%（按工作日计算）。因设备原因导致开机率＜95%时，每超过1天，保修期延长5天。</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010F3">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DDD10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5"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58854">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5.4</w:t>
            </w:r>
          </w:p>
        </w:tc>
        <w:tc>
          <w:tcPr>
            <w:tcW w:w="5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1D16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在货物到达使用单位后，供应商应在7天内派工程技术人员到达现场，在使用单位技术人员在场的情况下开箱清点货物，组织安装调试，并承担因此发生的一切费用。 在送货、安装、调试、培训、维修运维操作中，供应商操作人员应严格遵守操作规程，并对自身人身财产安全负责。</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1EBA2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3BED72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5"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D25B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5.5</w:t>
            </w:r>
          </w:p>
        </w:tc>
        <w:tc>
          <w:tcPr>
            <w:tcW w:w="5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BAC7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如配备软件系统，供应商应终身提供软件升级，升级必须适配原厂软件，且不得影响设备的质保。</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46DB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24D785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4F17A">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5.6</w:t>
            </w:r>
          </w:p>
        </w:tc>
        <w:tc>
          <w:tcPr>
            <w:tcW w:w="5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5D5BC">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保修期内，供应商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9E455">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4F5BFF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87128">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5.7</w:t>
            </w:r>
          </w:p>
        </w:tc>
        <w:tc>
          <w:tcPr>
            <w:tcW w:w="5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F6372">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 xml:space="preserve">具有专用的网址或公众号等，在线提供临床应用培训及产品操作指导等。 </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23A2E">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C1445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99020">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5.8</w:t>
            </w:r>
          </w:p>
        </w:tc>
        <w:tc>
          <w:tcPr>
            <w:tcW w:w="5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2E03F">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若设备需链接医院网络信息系统，供应商应负责设备（含软件及相关服务）与使用医院网络端口链接的相关安装及费用。</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1C11D">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r w14:paraId="6120AD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DF271">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5.9</w:t>
            </w:r>
          </w:p>
        </w:tc>
        <w:tc>
          <w:tcPr>
            <w:tcW w:w="54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A4CD7">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提供备件送达期限：＜4天。设备停产后的备件供应：保证十年。</w:t>
            </w:r>
          </w:p>
        </w:tc>
        <w:tc>
          <w:tcPr>
            <w:tcW w:w="12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0D96B">
            <w:pPr>
              <w:keepNext w:val="0"/>
              <w:keepLines w:val="0"/>
              <w:widowControl/>
              <w:suppressLineNumbers w:val="0"/>
              <w:jc w:val="left"/>
              <w:textAlignment w:val="center"/>
              <w:rPr>
                <w:rFonts w:hint="eastAsia" w:ascii="仿宋" w:hAnsi="仿宋" w:eastAsia="仿宋" w:cs="仿宋"/>
                <w:b w:val="0"/>
                <w:bCs w:val="0"/>
                <w:i w:val="0"/>
                <w:color w:val="auto"/>
                <w:kern w:val="0"/>
                <w:sz w:val="21"/>
                <w:szCs w:val="21"/>
                <w:u w:val="none"/>
                <w:lang w:val="en-US" w:eastAsia="zh-CN" w:bidi="ar"/>
              </w:rPr>
            </w:pPr>
            <w:r>
              <w:rPr>
                <w:rFonts w:hint="eastAsia" w:ascii="仿宋" w:hAnsi="仿宋" w:eastAsia="仿宋" w:cs="仿宋"/>
                <w:b w:val="0"/>
                <w:bCs w:val="0"/>
                <w:i w:val="0"/>
                <w:color w:val="auto"/>
                <w:kern w:val="0"/>
                <w:sz w:val="21"/>
                <w:szCs w:val="21"/>
                <w:u w:val="none"/>
                <w:lang w:val="en-US" w:eastAsia="zh-CN" w:bidi="ar"/>
              </w:rPr>
              <w:t>具备</w:t>
            </w:r>
          </w:p>
        </w:tc>
      </w:tr>
    </w:tbl>
    <w:p w14:paraId="5DA01A4A">
      <w:pPr>
        <w:rPr>
          <w:rFonts w:hint="eastAsia" w:ascii="仿宋" w:hAnsi="仿宋" w:eastAsia="仿宋" w:cs="仿宋"/>
          <w:b/>
          <w:bCs/>
          <w:color w:val="auto"/>
          <w:kern w:val="2"/>
          <w:sz w:val="21"/>
          <w:szCs w:val="21"/>
          <w:highlight w:val="none"/>
          <w:lang w:val="en-US" w:eastAsia="zh-CN" w:bidi="ar-SA"/>
        </w:rPr>
      </w:pPr>
      <w:r>
        <w:rPr>
          <w:rFonts w:hint="eastAsia" w:ascii="仿宋" w:hAnsi="仿宋" w:eastAsia="仿宋" w:cs="仿宋"/>
          <w:b/>
          <w:bCs/>
          <w:color w:val="auto"/>
          <w:kern w:val="2"/>
          <w:sz w:val="21"/>
          <w:szCs w:val="21"/>
          <w:highlight w:val="none"/>
          <w:lang w:val="en-US" w:eastAsia="zh-CN" w:bidi="ar-SA"/>
        </w:rPr>
        <w:br w:type="page"/>
      </w:r>
    </w:p>
    <w:p w14:paraId="3014C08C">
      <w:pPr>
        <w:pStyle w:val="2"/>
        <w:spacing w:line="360" w:lineRule="auto"/>
        <w:ind w:left="0" w:leftChars="0" w:firstLine="0" w:firstLineChars="0"/>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rPr>
        <w:t>★三、商务要求</w:t>
      </w:r>
      <w:bookmarkStart w:id="1" w:name="_Toc30407"/>
      <w:r>
        <w:rPr>
          <w:rFonts w:hint="eastAsia" w:ascii="仿宋" w:hAnsi="仿宋" w:eastAsia="仿宋" w:cs="仿宋"/>
          <w:b/>
          <w:color w:val="auto"/>
          <w:sz w:val="28"/>
          <w:szCs w:val="28"/>
          <w:highlight w:val="none"/>
          <w:lang w:val="en-US" w:eastAsia="zh-CN"/>
        </w:rPr>
        <w:t>（以下服务条款产生的所有费用应包含在本次报价中）</w:t>
      </w:r>
    </w:p>
    <w:bookmarkEnd w:id="1"/>
    <w:p w14:paraId="63CCEFFB">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lang w:val="en-US" w:eastAsia="zh-CN"/>
        </w:rPr>
        <w:t>（一）</w:t>
      </w:r>
      <w:r>
        <w:rPr>
          <w:rFonts w:hint="eastAsia" w:ascii="仿宋" w:hAnsi="仿宋" w:eastAsia="仿宋" w:cs="仿宋"/>
          <w:b/>
          <w:bCs/>
          <w:color w:val="auto"/>
          <w:sz w:val="24"/>
          <w:szCs w:val="24"/>
        </w:rPr>
        <w:t>货物质量</w:t>
      </w:r>
    </w:p>
    <w:p w14:paraId="22D088E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w:t>
      </w:r>
      <w:r>
        <w:rPr>
          <w:rFonts w:hint="default" w:ascii="仿宋" w:hAnsi="仿宋" w:eastAsia="仿宋" w:cs="仿宋"/>
          <w:color w:val="auto"/>
          <w:sz w:val="24"/>
          <w:szCs w:val="24"/>
        </w:rPr>
        <w:t xml:space="preserve"> </w:t>
      </w:r>
      <w:r>
        <w:rPr>
          <w:rFonts w:hint="eastAsia" w:ascii="仿宋" w:hAnsi="仿宋" w:eastAsia="仿宋" w:cs="仿宋"/>
          <w:color w:val="auto"/>
          <w:sz w:val="24"/>
          <w:szCs w:val="24"/>
        </w:rPr>
        <w:t>该设备同时应符合下列标准：</w:t>
      </w:r>
    </w:p>
    <w:p w14:paraId="7734F9C0">
      <w:pPr>
        <w:spacing w:line="360" w:lineRule="auto"/>
        <w:ind w:firstLine="480" w:firstLineChars="200"/>
        <w:rPr>
          <w:rFonts w:hint="eastAsia" w:ascii="仿宋" w:hAnsi="仿宋" w:eastAsia="仿宋" w:cs="仿宋"/>
          <w:color w:val="auto"/>
          <w:sz w:val="24"/>
          <w:szCs w:val="24"/>
        </w:rPr>
      </w:pPr>
      <w:r>
        <w:rPr>
          <w:rFonts w:hint="default" w:ascii="仿宋" w:hAnsi="仿宋" w:eastAsia="仿宋" w:cs="仿宋"/>
          <w:color w:val="auto"/>
          <w:sz w:val="24"/>
          <w:szCs w:val="24"/>
        </w:rPr>
        <w:t xml:space="preserve">1.1 </w:t>
      </w:r>
      <w:r>
        <w:rPr>
          <w:rFonts w:hint="eastAsia" w:ascii="仿宋" w:hAnsi="仿宋" w:eastAsia="仿宋" w:cs="仿宋"/>
          <w:color w:val="auto"/>
          <w:sz w:val="24"/>
          <w:szCs w:val="24"/>
        </w:rPr>
        <w:t>该设备所适用的国家标准（强制性或推荐性标准）、行业标准、地方标准。无论设备的生产地如何，上述标准系指该设备使用地的相关标准。</w:t>
      </w:r>
    </w:p>
    <w:p w14:paraId="2D1B3CF2">
      <w:pPr>
        <w:spacing w:line="360" w:lineRule="auto"/>
        <w:ind w:firstLine="480" w:firstLineChars="200"/>
        <w:rPr>
          <w:rFonts w:hint="eastAsia" w:ascii="仿宋" w:hAnsi="仿宋" w:eastAsia="仿宋" w:cs="仿宋"/>
          <w:color w:val="auto"/>
          <w:sz w:val="24"/>
          <w:szCs w:val="24"/>
        </w:rPr>
      </w:pPr>
      <w:r>
        <w:rPr>
          <w:rFonts w:hint="default" w:ascii="仿宋" w:hAnsi="仿宋" w:eastAsia="仿宋" w:cs="仿宋"/>
          <w:color w:val="auto"/>
          <w:sz w:val="24"/>
          <w:szCs w:val="24"/>
        </w:rPr>
        <w:t xml:space="preserve">1.2 </w:t>
      </w:r>
      <w:r>
        <w:rPr>
          <w:rFonts w:hint="eastAsia" w:ascii="仿宋" w:hAnsi="仿宋" w:eastAsia="仿宋" w:cs="仿宋"/>
          <w:color w:val="auto"/>
          <w:sz w:val="24"/>
          <w:szCs w:val="24"/>
        </w:rPr>
        <w:t>设备生产企业的标准。</w:t>
      </w:r>
    </w:p>
    <w:p w14:paraId="3A7C5EB4">
      <w:pPr>
        <w:spacing w:line="360" w:lineRule="auto"/>
        <w:ind w:firstLine="480" w:firstLineChars="200"/>
        <w:rPr>
          <w:rFonts w:hint="eastAsia" w:ascii="仿宋" w:hAnsi="仿宋" w:eastAsia="仿宋" w:cs="仿宋"/>
          <w:color w:val="auto"/>
          <w:sz w:val="24"/>
          <w:szCs w:val="24"/>
        </w:rPr>
      </w:pPr>
      <w:r>
        <w:rPr>
          <w:rFonts w:hint="default" w:ascii="仿宋" w:hAnsi="仿宋" w:eastAsia="仿宋" w:cs="仿宋"/>
          <w:color w:val="auto"/>
          <w:sz w:val="24"/>
          <w:szCs w:val="24"/>
        </w:rPr>
        <w:t xml:space="preserve">1.3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所提供的产品说明书或相关说明文档中所列明的标准。</w:t>
      </w:r>
    </w:p>
    <w:p w14:paraId="1B56BA90">
      <w:pPr>
        <w:spacing w:line="360" w:lineRule="auto"/>
        <w:ind w:firstLine="480" w:firstLineChars="200"/>
        <w:rPr>
          <w:rFonts w:hint="eastAsia" w:ascii="仿宋" w:hAnsi="仿宋" w:eastAsia="仿宋" w:cs="仿宋"/>
          <w:color w:val="auto"/>
          <w:sz w:val="24"/>
          <w:szCs w:val="24"/>
        </w:rPr>
      </w:pPr>
      <w:r>
        <w:rPr>
          <w:rFonts w:hint="default" w:ascii="仿宋" w:hAnsi="仿宋" w:eastAsia="仿宋" w:cs="仿宋"/>
          <w:color w:val="auto"/>
          <w:sz w:val="24"/>
          <w:szCs w:val="24"/>
        </w:rPr>
        <w:t xml:space="preserve">1.4 </w:t>
      </w:r>
      <w:r>
        <w:rPr>
          <w:rFonts w:hint="eastAsia" w:ascii="仿宋" w:hAnsi="仿宋" w:eastAsia="仿宋" w:cs="仿宋"/>
          <w:color w:val="auto"/>
          <w:sz w:val="24"/>
          <w:szCs w:val="24"/>
        </w:rPr>
        <w:t>多项标准不一致的，按最高的标准执行；虽有上述标准，但双方对质量有特别要求的，应按特别要求执行。 </w:t>
      </w:r>
    </w:p>
    <w:p w14:paraId="1A1C460D">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保证其出售的设备是原厂生产的、全新的、未使用过的（包括零部件），生产日期应在自合同签署之日往前推算6个月内</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符合原厂质量检测标准（以说明书为准）。</w:t>
      </w:r>
    </w:p>
    <w:p w14:paraId="702BD961">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配套材料</w:t>
      </w:r>
    </w:p>
    <w:p w14:paraId="0FEB130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.1</w:t>
      </w:r>
      <w:r>
        <w:rPr>
          <w:rFonts w:hint="default" w:ascii="仿宋" w:hAnsi="仿宋" w:eastAsia="仿宋" w:cs="仿宋"/>
          <w:color w:val="auto"/>
          <w:sz w:val="24"/>
          <w:szCs w:val="24"/>
        </w:rPr>
        <w:t xml:space="preserve">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交货时应同时提交设备的下列配套材料：</w:t>
      </w:r>
    </w:p>
    <w:p w14:paraId="68672F6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.1.1 </w:t>
      </w:r>
      <w:r>
        <w:rPr>
          <w:rFonts w:hint="eastAsia" w:ascii="仿宋" w:hAnsi="仿宋" w:eastAsia="仿宋" w:cs="仿宋"/>
          <w:color w:val="auto"/>
          <w:sz w:val="24"/>
          <w:szCs w:val="24"/>
        </w:rPr>
        <w:t>原厂出厂证明</w:t>
      </w:r>
    </w:p>
    <w:p w14:paraId="3077D6C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.1.2 </w:t>
      </w:r>
      <w:r>
        <w:rPr>
          <w:rFonts w:hint="eastAsia" w:ascii="仿宋" w:hAnsi="仿宋" w:eastAsia="仿宋" w:cs="仿宋"/>
          <w:color w:val="auto"/>
          <w:sz w:val="24"/>
          <w:szCs w:val="24"/>
        </w:rPr>
        <w:t>产品合格证书</w:t>
      </w:r>
    </w:p>
    <w:p w14:paraId="3B6738FC">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.1.3 </w:t>
      </w:r>
      <w:r>
        <w:rPr>
          <w:rFonts w:hint="eastAsia" w:ascii="仿宋" w:hAnsi="仿宋" w:eastAsia="仿宋" w:cs="仿宋"/>
          <w:color w:val="auto"/>
          <w:sz w:val="24"/>
          <w:szCs w:val="24"/>
        </w:rPr>
        <w:t>保修单</w:t>
      </w:r>
    </w:p>
    <w:p w14:paraId="6E3DB969">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.1.4 </w:t>
      </w:r>
      <w:r>
        <w:rPr>
          <w:rFonts w:hint="eastAsia" w:ascii="仿宋" w:hAnsi="仿宋" w:eastAsia="仿宋" w:cs="仿宋"/>
          <w:color w:val="auto"/>
          <w:sz w:val="24"/>
          <w:szCs w:val="24"/>
        </w:rPr>
        <w:t>使用与维护说明书（中文版）</w:t>
      </w:r>
    </w:p>
    <w:p w14:paraId="3428674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.1.5 </w:t>
      </w:r>
      <w:r>
        <w:rPr>
          <w:rFonts w:hint="eastAsia" w:ascii="仿宋" w:hAnsi="仿宋" w:eastAsia="仿宋" w:cs="仿宋"/>
          <w:color w:val="auto"/>
          <w:sz w:val="24"/>
          <w:szCs w:val="24"/>
        </w:rPr>
        <w:t>设备物料清单</w:t>
      </w:r>
    </w:p>
    <w:p w14:paraId="3D68F3E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.1.6 </w:t>
      </w:r>
      <w:r>
        <w:rPr>
          <w:rFonts w:hint="eastAsia" w:ascii="仿宋" w:hAnsi="仿宋" w:eastAsia="仿宋" w:cs="仿宋"/>
          <w:color w:val="auto"/>
          <w:sz w:val="24"/>
          <w:szCs w:val="24"/>
        </w:rPr>
        <w:t>其他应当具备的随附单证。</w:t>
      </w:r>
    </w:p>
    <w:p w14:paraId="69AFC97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 xml:space="preserve">.1.7 </w:t>
      </w:r>
      <w:r>
        <w:rPr>
          <w:rFonts w:hint="eastAsia" w:ascii="仿宋" w:hAnsi="仿宋" w:eastAsia="仿宋" w:cs="仿宋"/>
          <w:color w:val="auto"/>
          <w:sz w:val="24"/>
          <w:szCs w:val="24"/>
        </w:rPr>
        <w:t>若产品为进口产品，还应当附有产品的装箱单、报关单、产品进出口检疫书等有关文件。</w:t>
      </w:r>
    </w:p>
    <w:p w14:paraId="1E27A552">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default" w:ascii="仿宋" w:hAnsi="仿宋" w:eastAsia="仿宋" w:cs="仿宋"/>
          <w:color w:val="auto"/>
          <w:sz w:val="24"/>
          <w:szCs w:val="24"/>
        </w:rPr>
        <w:t>.1.8 配</w:t>
      </w:r>
      <w:r>
        <w:rPr>
          <w:rFonts w:hint="eastAsia" w:ascii="仿宋" w:hAnsi="仿宋" w:eastAsia="仿宋" w:cs="仿宋"/>
          <w:color w:val="auto"/>
          <w:sz w:val="24"/>
          <w:szCs w:val="24"/>
        </w:rPr>
        <w:t>套材料应用防水袋包装并放在设备包装中，并在设备安装调试完成之后移交</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w:t>
      </w:r>
    </w:p>
    <w:p w14:paraId="1204D123">
      <w:pPr>
        <w:spacing w:line="360" w:lineRule="auto"/>
        <w:rPr>
          <w:rFonts w:hint="eastAsia" w:ascii="仿宋" w:hAnsi="仿宋" w:eastAsia="仿宋" w:cs="仿宋"/>
          <w:b/>
          <w:bCs/>
          <w:color w:val="auto"/>
          <w:sz w:val="24"/>
          <w:szCs w:val="24"/>
        </w:rPr>
      </w:pP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二</w:t>
      </w:r>
      <w:r>
        <w:rPr>
          <w:rFonts w:hint="eastAsia" w:ascii="仿宋" w:hAnsi="仿宋" w:eastAsia="仿宋" w:cs="仿宋"/>
          <w:b/>
          <w:bCs/>
          <w:color w:val="auto"/>
          <w:sz w:val="24"/>
          <w:szCs w:val="24"/>
          <w:lang w:eastAsia="zh-CN"/>
        </w:rPr>
        <w:t>）</w:t>
      </w:r>
      <w:r>
        <w:rPr>
          <w:rFonts w:hint="eastAsia" w:ascii="仿宋" w:hAnsi="仿宋" w:eastAsia="仿宋" w:cs="仿宋"/>
          <w:b/>
          <w:bCs/>
          <w:color w:val="auto"/>
          <w:sz w:val="24"/>
          <w:szCs w:val="24"/>
        </w:rPr>
        <w:t>交货方式</w:t>
      </w:r>
    </w:p>
    <w:p w14:paraId="7E8D9577">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 xml:space="preserve">1. </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交货时间：</w:t>
      </w:r>
      <w:r>
        <w:rPr>
          <w:rFonts w:hint="eastAsia" w:ascii="仿宋" w:hAnsi="仿宋" w:eastAsia="仿宋" w:cs="仿宋"/>
          <w:color w:val="auto"/>
          <w:sz w:val="24"/>
          <w:szCs w:val="24"/>
          <w:lang w:val="en-US" w:eastAsia="zh-CN"/>
        </w:rPr>
        <w:t>合同签订后国产设备30日内，进口设备60日内交付合同标的物设备。</w:t>
      </w:r>
    </w:p>
    <w:p w14:paraId="35DDD987">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交货地点：</w:t>
      </w:r>
      <w:r>
        <w:rPr>
          <w:rFonts w:hint="eastAsia" w:ascii="仿宋" w:hAnsi="仿宋" w:eastAsia="仿宋" w:cs="仿宋"/>
          <w:color w:val="auto"/>
          <w:sz w:val="24"/>
          <w:szCs w:val="24"/>
          <w:lang w:val="en-US" w:eastAsia="zh-CN"/>
        </w:rPr>
        <w:t>使用单位指定地点</w:t>
      </w:r>
      <w:r>
        <w:rPr>
          <w:rFonts w:hint="eastAsia" w:ascii="仿宋" w:hAnsi="仿宋" w:eastAsia="仿宋" w:cs="仿宋"/>
          <w:color w:val="auto"/>
          <w:sz w:val="24"/>
          <w:szCs w:val="24"/>
        </w:rPr>
        <w:t>。</w:t>
      </w:r>
    </w:p>
    <w:p w14:paraId="4BEDCBEB">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3. 供应商交货流程：在货物到</w:t>
      </w:r>
      <w:r>
        <w:rPr>
          <w:rFonts w:hint="eastAsia" w:ascii="仿宋" w:hAnsi="仿宋" w:eastAsia="仿宋" w:cs="仿宋"/>
          <w:color w:val="auto"/>
          <w:sz w:val="24"/>
          <w:szCs w:val="24"/>
          <w:lang w:val="en-US" w:eastAsia="zh-CN"/>
        </w:rPr>
        <w:t>使用单位指定地点后</w:t>
      </w:r>
      <w:r>
        <w:rPr>
          <w:rFonts w:hint="eastAsia" w:ascii="仿宋" w:hAnsi="仿宋" w:eastAsia="仿宋" w:cs="仿宋"/>
          <w:color w:val="auto"/>
          <w:sz w:val="24"/>
          <w:szCs w:val="24"/>
          <w:lang w:eastAsia="zh-CN"/>
        </w:rPr>
        <w:t>，供应商应在</w:t>
      </w: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lang w:eastAsia="zh-CN"/>
        </w:rPr>
        <w:t>天内派工程技术人员到达现场，在使用单位的技术人员在场的情况下开箱清点货物，组织安装调试，并承担因此发生的一切费用</w:t>
      </w:r>
      <w:r>
        <w:rPr>
          <w:rFonts w:hint="eastAsia" w:ascii="仿宋" w:hAnsi="仿宋" w:eastAsia="仿宋" w:cs="仿宋"/>
          <w:color w:val="auto"/>
          <w:sz w:val="24"/>
          <w:szCs w:val="24"/>
          <w:lang w:val="en-US" w:eastAsia="zh-CN"/>
        </w:rPr>
        <w:t>。</w:t>
      </w:r>
    </w:p>
    <w:p w14:paraId="00AF5245">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4. 运输</w:t>
      </w:r>
      <w:r>
        <w:rPr>
          <w:rFonts w:hint="eastAsia" w:ascii="仿宋" w:hAnsi="仿宋" w:eastAsia="仿宋" w:cs="仿宋"/>
          <w:color w:val="auto"/>
          <w:sz w:val="24"/>
          <w:szCs w:val="24"/>
          <w:lang w:val="en-US" w:eastAsia="zh-CN"/>
        </w:rPr>
        <w:t>及交付</w:t>
      </w:r>
    </w:p>
    <w:p w14:paraId="445F61A0">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4.1 运输包装：</w:t>
      </w:r>
    </w:p>
    <w:p w14:paraId="1E1568B2">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4.1.1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应按如下标准包装：必须进行妥善包装，并确保其适合长途运输、防潮、防湿、防锈、耐野蛮装卸，以确保货物不受损。包装费用由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自行承担。</w:t>
      </w:r>
    </w:p>
    <w:p w14:paraId="4CDDE649">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.1.2包装物回收：</w:t>
      </w:r>
      <w:r>
        <w:rPr>
          <w:rFonts w:hint="eastAsia" w:ascii="仿宋" w:hAnsi="仿宋" w:eastAsia="仿宋" w:cs="仿宋"/>
          <w:color w:val="auto"/>
          <w:sz w:val="24"/>
          <w:szCs w:val="24"/>
          <w:lang w:val="en-US" w:eastAsia="zh-CN"/>
        </w:rPr>
        <w:t>由供应商回收处置</w:t>
      </w:r>
      <w:r>
        <w:rPr>
          <w:rFonts w:hint="eastAsia" w:ascii="仿宋" w:hAnsi="仿宋" w:eastAsia="仿宋" w:cs="仿宋"/>
          <w:color w:val="auto"/>
          <w:sz w:val="24"/>
          <w:szCs w:val="24"/>
        </w:rPr>
        <w:t>。</w:t>
      </w:r>
    </w:p>
    <w:p w14:paraId="12E17F4B">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 xml:space="preserve">2 </w:t>
      </w:r>
      <w:r>
        <w:rPr>
          <w:rFonts w:hint="eastAsia" w:ascii="仿宋" w:hAnsi="仿宋" w:eastAsia="仿宋" w:cs="仿宋"/>
          <w:color w:val="auto"/>
          <w:sz w:val="24"/>
          <w:szCs w:val="24"/>
        </w:rPr>
        <w:t>运输方式：</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应选择最适合于保护货物的运输方式进行运输。如</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对运输方式有特别要求，</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应按</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要求运输。</w:t>
      </w:r>
    </w:p>
    <w:p w14:paraId="220A8DA5">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 xml:space="preserve">3 </w:t>
      </w:r>
      <w:r>
        <w:rPr>
          <w:rFonts w:hint="eastAsia" w:ascii="仿宋" w:hAnsi="仿宋" w:eastAsia="仿宋" w:cs="仿宋"/>
          <w:color w:val="auto"/>
          <w:sz w:val="24"/>
          <w:szCs w:val="24"/>
        </w:rPr>
        <w:t>运费承担：运输到交货地点的运输费用由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自行承担；本合同另有约定的除外。</w:t>
      </w:r>
    </w:p>
    <w:p w14:paraId="09B51DCE">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.4货物在途风险：货物在途风险由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承担。在设备安装调试完毕、通过验收并移交</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（即“正式交付”）之前，</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自行负责设备的保管并承担相关费用。非因</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原因导致设备在</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保护期间发生污染、损坏、失窃的，由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负责自行予以修复并承担相应费用。</w:t>
      </w:r>
    </w:p>
    <w:p w14:paraId="4779E303">
      <w:pPr>
        <w:spacing w:line="360" w:lineRule="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lang w:val="en-US" w:eastAsia="zh-CN"/>
        </w:rPr>
        <w:t>（三）</w:t>
      </w:r>
      <w:r>
        <w:rPr>
          <w:rFonts w:hint="eastAsia" w:ascii="仿宋" w:hAnsi="仿宋" w:eastAsia="仿宋" w:cs="仿宋"/>
          <w:b/>
          <w:bCs/>
          <w:color w:val="auto"/>
          <w:sz w:val="24"/>
          <w:szCs w:val="24"/>
          <w:lang w:eastAsia="zh-CN"/>
        </w:rPr>
        <w:t>安装验收</w:t>
      </w:r>
    </w:p>
    <w:p w14:paraId="27952C9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1.供应商和使用单位</w:t>
      </w:r>
      <w:r>
        <w:rPr>
          <w:rFonts w:hint="eastAsia" w:ascii="仿宋" w:hAnsi="仿宋" w:eastAsia="仿宋" w:cs="仿宋"/>
          <w:color w:val="auto"/>
          <w:sz w:val="24"/>
          <w:szCs w:val="24"/>
        </w:rPr>
        <w:t>双方按照如下设备验收流程进行。</w:t>
      </w:r>
    </w:p>
    <w:p w14:paraId="25D8755D">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1.1</w:t>
      </w:r>
      <w:r>
        <w:rPr>
          <w:rFonts w:hint="eastAsia" w:ascii="仿宋" w:hAnsi="仿宋" w:eastAsia="仿宋" w:cs="仿宋"/>
          <w:color w:val="auto"/>
          <w:sz w:val="24"/>
          <w:szCs w:val="24"/>
        </w:rPr>
        <w:t>开箱查验。</w:t>
      </w:r>
      <w:r>
        <w:rPr>
          <w:rFonts w:hint="eastAsia" w:ascii="仿宋" w:hAnsi="仿宋" w:eastAsia="仿宋" w:cs="仿宋"/>
          <w:color w:val="auto"/>
          <w:sz w:val="24"/>
          <w:szCs w:val="24"/>
          <w:lang w:val="en-US" w:eastAsia="zh-CN"/>
        </w:rPr>
        <w:t>供应商、使用单位</w:t>
      </w:r>
      <w:r>
        <w:rPr>
          <w:rFonts w:hint="eastAsia" w:ascii="仿宋" w:hAnsi="仿宋" w:eastAsia="仿宋" w:cs="仿宋"/>
          <w:color w:val="auto"/>
          <w:sz w:val="24"/>
          <w:szCs w:val="24"/>
        </w:rPr>
        <w:t>根据合同及招投标文件要求，共同对设备的包装、外观、设备品牌、原厂商、产地、规格型号、数量、生产日期（应在自合同签署之日往前推算6个月内）等进行查验。如有短缺、损坏、不合格产品等或与合同、招标文件不相符的情形，</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 xml:space="preserve">应 </w:t>
      </w:r>
      <w:r>
        <w:rPr>
          <w:rFonts w:hint="eastAsia" w:ascii="仿宋" w:hAnsi="仿宋" w:eastAsia="仿宋" w:cs="仿宋"/>
          <w:color w:val="auto"/>
          <w:sz w:val="24"/>
          <w:szCs w:val="24"/>
          <w:lang w:val="en-US" w:eastAsia="zh-CN"/>
        </w:rPr>
        <w:t>15</w:t>
      </w:r>
      <w:r>
        <w:rPr>
          <w:rFonts w:hint="eastAsia" w:ascii="仿宋" w:hAnsi="仿宋" w:eastAsia="仿宋" w:cs="仿宋"/>
          <w:color w:val="auto"/>
          <w:sz w:val="24"/>
          <w:szCs w:val="24"/>
        </w:rPr>
        <w:t xml:space="preserve"> 日内予以更换，并承担相应的费用以及赔偿海南省卫生健康委员会</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遭受的一切损失。该检验仅为初步检验，不作为最终质量验收合格的依据，不免除</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货物质量保证责任，不属于法律意义上的交付。</w:t>
      </w:r>
    </w:p>
    <w:p w14:paraId="7D11C0A7">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安装调试。</w:t>
      </w:r>
    </w:p>
    <w:p w14:paraId="1E754CF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2.1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应派专业工程师到现场进行安装、调试设备，保证各项性能正常，符合相关技术要求。在安装调试过程中，</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应全程配合，</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应当承担安装调试期间安全保卫工作及安装照明等工作并承担由此产生的一切费用。</w:t>
      </w:r>
    </w:p>
    <w:p w14:paraId="02D349CE">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2.2 安装调试期间发生的一切安全事故、人员、设备等的损伤损坏不良事件，均由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负责处理并承担相应的责任和费用。在安装调试过程中，如合同设备的一项或数项指标未达到规定要求，</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应于</w:t>
      </w:r>
      <w:r>
        <w:rPr>
          <w:rFonts w:hint="eastAsia" w:ascii="仿宋" w:hAnsi="仿宋" w:eastAsia="仿宋" w:cs="仿宋"/>
          <w:color w:val="auto"/>
          <w:sz w:val="24"/>
          <w:szCs w:val="24"/>
        </w:rPr>
        <w:softHyphen/>
      </w:r>
      <w:r>
        <w:rPr>
          <w:rFonts w:hint="eastAsia" w:ascii="仿宋" w:hAnsi="仿宋" w:eastAsia="仿宋" w:cs="仿宋"/>
          <w:color w:val="auto"/>
          <w:sz w:val="24"/>
          <w:szCs w:val="24"/>
        </w:rPr>
        <w:t xml:space="preserve"> </w:t>
      </w:r>
      <w:r>
        <w:rPr>
          <w:rFonts w:hint="eastAsia" w:ascii="仿宋" w:hAnsi="仿宋" w:eastAsia="仿宋" w:cs="仿宋"/>
          <w:color w:val="auto"/>
          <w:sz w:val="24"/>
          <w:szCs w:val="24"/>
          <w:lang w:val="en-US" w:eastAsia="zh-CN"/>
        </w:rPr>
        <w:t>15</w:t>
      </w:r>
      <w:r>
        <w:rPr>
          <w:rFonts w:hint="eastAsia" w:ascii="仿宋" w:hAnsi="仿宋" w:eastAsia="仿宋" w:cs="仿宋"/>
          <w:color w:val="auto"/>
          <w:sz w:val="24"/>
          <w:szCs w:val="24"/>
        </w:rPr>
        <w:t>日内予以更换设备，由此产生的费用由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承担</w:t>
      </w:r>
      <w:r>
        <w:rPr>
          <w:rFonts w:hint="eastAsia" w:ascii="仿宋" w:hAnsi="仿宋" w:eastAsia="仿宋" w:cs="仿宋"/>
          <w:color w:val="auto"/>
          <w:sz w:val="24"/>
          <w:szCs w:val="24"/>
          <w:lang w:val="en-US" w:eastAsia="zh-CN"/>
        </w:rPr>
        <w:t>,并赔偿海南省卫生健康委员会、使用单位遭受的一切损失</w:t>
      </w:r>
      <w:r>
        <w:rPr>
          <w:rFonts w:hint="eastAsia" w:ascii="仿宋" w:hAnsi="仿宋" w:eastAsia="仿宋" w:cs="仿宋"/>
          <w:color w:val="auto"/>
          <w:sz w:val="24"/>
          <w:szCs w:val="24"/>
        </w:rPr>
        <w:t>。</w:t>
      </w:r>
    </w:p>
    <w:p w14:paraId="526E570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2.3 供应商保证提供的设备必须为合法渠道销售的全新未使用过的设备，并保证设备不侵犯任何第三方的专利、商标等权利。否则，供应商须承担对第三方的侵权责任并承担因此而发生的所有费用，同时赔偿海南省卫生健康委员会、使用单位因此产生的损失。</w:t>
      </w:r>
    </w:p>
    <w:p w14:paraId="5FFF4BDC">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人员培训。</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负责对使用、保管、日常保养、清洗消毒和</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工程师等人员进行相应培训，保证</w:t>
      </w:r>
      <w:r>
        <w:rPr>
          <w:rFonts w:hint="eastAsia" w:ascii="仿宋" w:hAnsi="仿宋" w:eastAsia="仿宋" w:cs="仿宋"/>
          <w:color w:val="auto"/>
          <w:sz w:val="24"/>
          <w:szCs w:val="24"/>
          <w:lang w:val="en-US" w:eastAsia="zh-CN"/>
        </w:rPr>
        <w:t>各使用单位</w:t>
      </w:r>
      <w:r>
        <w:rPr>
          <w:rFonts w:hint="eastAsia" w:ascii="仿宋" w:hAnsi="仿宋" w:eastAsia="仿宋" w:cs="仿宋"/>
          <w:color w:val="auto"/>
          <w:sz w:val="24"/>
          <w:szCs w:val="24"/>
        </w:rPr>
        <w:t>能安全正常地使用设备。</w:t>
      </w:r>
    </w:p>
    <w:p w14:paraId="63B26109">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合格验收。安装调试完毕后</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根据招投标文件和产品说明书的功能配置、技术参数等进行检验、试用。试用的期限双方根据设备的具体情况另行确定。试用期间如合同设备的一项或数项指标未能达到规定要求，</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 xml:space="preserve">应于 </w:t>
      </w:r>
      <w:r>
        <w:rPr>
          <w:rFonts w:hint="eastAsia" w:ascii="仿宋" w:hAnsi="仿宋" w:eastAsia="仿宋" w:cs="仿宋"/>
          <w:color w:val="auto"/>
          <w:sz w:val="24"/>
          <w:szCs w:val="24"/>
          <w:lang w:val="en-US" w:eastAsia="zh-CN"/>
        </w:rPr>
        <w:t>15</w:t>
      </w:r>
      <w:r>
        <w:rPr>
          <w:rFonts w:hint="eastAsia" w:ascii="仿宋" w:hAnsi="仿宋" w:eastAsia="仿宋" w:cs="仿宋"/>
          <w:color w:val="auto"/>
          <w:sz w:val="24"/>
          <w:szCs w:val="24"/>
        </w:rPr>
        <w:t xml:space="preserve">  日内予以更换设备，</w:t>
      </w:r>
      <w:r>
        <w:rPr>
          <w:rFonts w:hint="eastAsia" w:ascii="仿宋" w:hAnsi="仿宋" w:eastAsia="仿宋" w:cs="仿宋"/>
          <w:color w:val="auto"/>
          <w:sz w:val="24"/>
          <w:szCs w:val="24"/>
          <w:lang w:val="en-US" w:eastAsia="zh-CN"/>
        </w:rPr>
        <w:t>并重新进行安装验收，</w:t>
      </w:r>
      <w:r>
        <w:rPr>
          <w:rFonts w:hint="eastAsia" w:ascii="仿宋" w:hAnsi="仿宋" w:eastAsia="仿宋" w:cs="仿宋"/>
          <w:color w:val="auto"/>
          <w:sz w:val="24"/>
          <w:szCs w:val="24"/>
        </w:rPr>
        <w:t>由此产生的费用由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承担</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rPr>
        <w:t>并赔偿海南省卫生健康委员会</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遭受的一切损失。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应向</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提供要求的验收资料（</w:t>
      </w:r>
      <w:r>
        <w:rPr>
          <w:rFonts w:hint="eastAsia" w:ascii="仿宋" w:hAnsi="仿宋" w:eastAsia="仿宋" w:cs="仿宋"/>
          <w:color w:val="auto"/>
          <w:sz w:val="24"/>
          <w:szCs w:val="24"/>
          <w:lang w:eastAsia="zh-CN"/>
        </w:rPr>
        <w:t>包括但不限于设备配套材料、相关手续、验收、检验报告等材料</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，并明确供应商负责该项目维护保养的负责人姓名、联系电话。</w:t>
      </w:r>
      <w:r>
        <w:rPr>
          <w:rFonts w:hint="eastAsia" w:ascii="仿宋" w:hAnsi="仿宋" w:eastAsia="仿宋" w:cs="仿宋"/>
          <w:color w:val="auto"/>
          <w:sz w:val="24"/>
          <w:szCs w:val="24"/>
          <w:lang w:val="en-US" w:eastAsia="zh-CN"/>
        </w:rPr>
        <w:t>使用单位应在收到完整的验收资料 10 日内，在验收报告上签字盖章。</w:t>
      </w:r>
    </w:p>
    <w:p w14:paraId="2FA2A45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资料提供。</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负责本设备安装调试工程全部档案资料的汇总、整理、归档，</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应按照</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验收要求，收集全部验收资料，加盖公章，并在安装验收通过后移交给</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w:t>
      </w:r>
    </w:p>
    <w:p w14:paraId="1D74FE6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交付后保管</w:t>
      </w:r>
    </w:p>
    <w:p w14:paraId="0B81D94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6.1</w:t>
      </w:r>
      <w:r>
        <w:rPr>
          <w:rFonts w:hint="eastAsia" w:ascii="仿宋" w:hAnsi="仿宋" w:eastAsia="仿宋" w:cs="仿宋"/>
          <w:color w:val="auto"/>
          <w:sz w:val="24"/>
          <w:szCs w:val="24"/>
        </w:rPr>
        <w:t>如</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提前到货，或者未经</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同意分批到货，则</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有权暂不予接收。如</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 xml:space="preserve">接收设备的，亦不承担设备的保管责任，不承担设备毁损、灭失的风险。 </w:t>
      </w:r>
    </w:p>
    <w:p w14:paraId="74C8E38A">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6.2</w:t>
      </w:r>
      <w:r>
        <w:rPr>
          <w:rFonts w:hint="eastAsia" w:ascii="仿宋" w:hAnsi="仿宋" w:eastAsia="仿宋" w:cs="仿宋"/>
          <w:color w:val="auto"/>
          <w:sz w:val="24"/>
          <w:szCs w:val="24"/>
          <w:lang w:eastAsia="zh-CN"/>
        </w:rPr>
        <w:t>设备正式</w:t>
      </w:r>
      <w:r>
        <w:rPr>
          <w:rFonts w:hint="eastAsia" w:ascii="仿宋" w:hAnsi="仿宋" w:eastAsia="仿宋" w:cs="仿宋"/>
          <w:color w:val="auto"/>
          <w:sz w:val="24"/>
          <w:szCs w:val="24"/>
          <w:lang w:val="en-US" w:eastAsia="zh-CN"/>
        </w:rPr>
        <w:t>交付</w:t>
      </w:r>
      <w:r>
        <w:rPr>
          <w:rFonts w:hint="eastAsia" w:ascii="仿宋" w:hAnsi="仿宋" w:eastAsia="仿宋" w:cs="仿宋"/>
          <w:color w:val="auto"/>
          <w:sz w:val="24"/>
          <w:szCs w:val="24"/>
          <w:lang w:eastAsia="zh-CN"/>
        </w:rPr>
        <w:t>使用单位后，设备由使用单位保管与运营，使用单位应承担设备毁损、灭失的风险（因设备质量问题造成的除外）。</w:t>
      </w:r>
    </w:p>
    <w:p w14:paraId="484A57FB">
      <w:pPr>
        <w:spacing w:line="360" w:lineRule="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（四）设备使用观察期</w:t>
      </w:r>
    </w:p>
    <w:p w14:paraId="6BDF5805">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供应商和使用单位</w:t>
      </w:r>
      <w:r>
        <w:rPr>
          <w:rFonts w:hint="eastAsia" w:ascii="仿宋" w:hAnsi="仿宋" w:eastAsia="仿宋" w:cs="仿宋"/>
          <w:color w:val="auto"/>
          <w:sz w:val="24"/>
          <w:szCs w:val="24"/>
        </w:rPr>
        <w:t>双方约定为从设备安装调试并通过验收合格之日起</w:t>
      </w:r>
      <w:r>
        <w:rPr>
          <w:rFonts w:hint="eastAsia" w:ascii="仿宋" w:hAnsi="仿宋" w:eastAsia="仿宋" w:cs="仿宋"/>
          <w:color w:val="auto"/>
          <w:sz w:val="24"/>
          <w:szCs w:val="24"/>
          <w:lang w:val="en-US" w:eastAsia="zh-CN"/>
        </w:rPr>
        <w:t>60</w:t>
      </w:r>
      <w:r>
        <w:rPr>
          <w:rFonts w:hint="eastAsia" w:ascii="仿宋" w:hAnsi="仿宋" w:eastAsia="仿宋" w:cs="仿宋"/>
          <w:color w:val="auto"/>
          <w:sz w:val="24"/>
          <w:szCs w:val="24"/>
          <w:lang w:eastAsia="zh-CN"/>
        </w:rPr>
        <w:t>日</w:t>
      </w:r>
      <w:r>
        <w:rPr>
          <w:rFonts w:hint="eastAsia" w:ascii="仿宋" w:hAnsi="仿宋" w:eastAsia="仿宋" w:cs="仿宋"/>
          <w:color w:val="auto"/>
          <w:sz w:val="24"/>
          <w:szCs w:val="24"/>
        </w:rPr>
        <w:t>为设备使用观察期。若设备在使用观察期内出现问题，按如下约定处理：</w:t>
      </w:r>
    </w:p>
    <w:p w14:paraId="4B557504">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 设备必须符合国家检测标准，符合招投标文件中确定的标准，不存在任何偏差。如设备的标准与约定不符，或设备存在缺陷，</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应接到</w:t>
      </w:r>
      <w:r>
        <w:rPr>
          <w:rFonts w:hint="eastAsia" w:ascii="仿宋" w:hAnsi="仿宋" w:eastAsia="仿宋" w:cs="仿宋"/>
          <w:color w:val="auto"/>
          <w:sz w:val="24"/>
          <w:szCs w:val="24"/>
          <w:lang w:val="en-US" w:eastAsia="zh-CN"/>
        </w:rPr>
        <w:t>使用单位</w:t>
      </w:r>
      <w:r>
        <w:rPr>
          <w:rFonts w:hint="eastAsia" w:ascii="仿宋" w:hAnsi="仿宋" w:eastAsia="仿宋" w:cs="仿宋"/>
          <w:color w:val="auto"/>
          <w:sz w:val="24"/>
          <w:szCs w:val="24"/>
        </w:rPr>
        <w:t>书面通知后 15 日内进行更换或修补，其费用由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承担。同时相应延长设备使用观察期。</w:t>
      </w:r>
    </w:p>
    <w:p w14:paraId="585B8425">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 如因设备的标准与约定不符，或设备存在缺陷，经更换或修补后仍然存在缺陷，</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可要求退货并终止合同，</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应按合同规定的货款退还给海南省卫生健康委员会</w:t>
      </w:r>
      <w:r>
        <w:rPr>
          <w:rFonts w:hint="eastAsia" w:ascii="仿宋" w:hAnsi="仿宋" w:eastAsia="仿宋" w:cs="仿宋"/>
          <w:color w:val="auto"/>
          <w:sz w:val="24"/>
          <w:szCs w:val="24"/>
          <w:lang w:val="en-US" w:eastAsia="zh-CN"/>
        </w:rPr>
        <w:t>和使用单位</w:t>
      </w:r>
      <w:r>
        <w:rPr>
          <w:rFonts w:hint="eastAsia" w:ascii="仿宋" w:hAnsi="仿宋" w:eastAsia="仿宋" w:cs="仿宋"/>
          <w:color w:val="auto"/>
          <w:sz w:val="24"/>
          <w:szCs w:val="24"/>
        </w:rPr>
        <w:t>，承担退货发生的费用，并支付合同金额20%的违约金。</w:t>
      </w:r>
    </w:p>
    <w:p w14:paraId="6C6A1B41">
      <w:pPr>
        <w:spacing w:line="360" w:lineRule="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（五）售后服务</w:t>
      </w:r>
    </w:p>
    <w:p w14:paraId="235CDF1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 保修期起始日期从设备验收合格移交</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使用之日起算，由</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负责维护维修（附厂家售后承诺书）。若本合同第四条约定的设备使用观察期未通过，出现换货情形的，保修期起始日期</w:t>
      </w:r>
      <w:r>
        <w:rPr>
          <w:rFonts w:hint="eastAsia" w:ascii="仿宋" w:hAnsi="仿宋" w:eastAsia="仿宋" w:cs="仿宋"/>
          <w:color w:val="auto"/>
          <w:sz w:val="24"/>
          <w:szCs w:val="24"/>
          <w:lang w:val="en-US" w:eastAsia="zh-CN"/>
        </w:rPr>
        <w:t>从</w:t>
      </w:r>
      <w:r>
        <w:rPr>
          <w:rFonts w:hint="eastAsia" w:ascii="仿宋" w:hAnsi="仿宋" w:eastAsia="仿宋" w:cs="仿宋"/>
          <w:color w:val="auto"/>
          <w:sz w:val="24"/>
          <w:szCs w:val="24"/>
          <w:lang w:eastAsia="zh-CN"/>
        </w:rPr>
        <w:t>新</w:t>
      </w:r>
      <w:r>
        <w:rPr>
          <w:rFonts w:hint="eastAsia" w:ascii="仿宋" w:hAnsi="仿宋" w:eastAsia="仿宋" w:cs="仿宋"/>
          <w:color w:val="auto"/>
          <w:sz w:val="24"/>
          <w:szCs w:val="24"/>
        </w:rPr>
        <w:t>设备通过验收合格</w:t>
      </w:r>
      <w:r>
        <w:rPr>
          <w:rFonts w:hint="eastAsia" w:ascii="仿宋" w:hAnsi="仿宋" w:eastAsia="仿宋" w:cs="仿宋"/>
          <w:color w:val="auto"/>
          <w:sz w:val="24"/>
          <w:szCs w:val="24"/>
          <w:lang w:val="en-US" w:eastAsia="zh-CN"/>
        </w:rPr>
        <w:t>交付</w:t>
      </w:r>
      <w:r>
        <w:rPr>
          <w:rFonts w:hint="eastAsia" w:ascii="仿宋" w:hAnsi="仿宋" w:eastAsia="仿宋" w:cs="仿宋"/>
          <w:color w:val="auto"/>
          <w:sz w:val="24"/>
          <w:szCs w:val="24"/>
          <w:lang w:eastAsia="zh-CN"/>
        </w:rPr>
        <w:t>使用单位</w:t>
      </w:r>
      <w:r>
        <w:rPr>
          <w:rFonts w:hint="eastAsia" w:ascii="仿宋" w:hAnsi="仿宋" w:eastAsia="仿宋" w:cs="仿宋"/>
          <w:color w:val="auto"/>
          <w:sz w:val="24"/>
          <w:szCs w:val="24"/>
        </w:rPr>
        <w:t>使用之日起算。</w:t>
      </w:r>
    </w:p>
    <w:p w14:paraId="5ADE48F8">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 xml:space="preserve">2. </w:t>
      </w:r>
      <w:r>
        <w:rPr>
          <w:rFonts w:hint="eastAsia" w:ascii="仿宋" w:hAnsi="仿宋" w:eastAsia="仿宋" w:cs="仿宋"/>
          <w:color w:val="auto"/>
          <w:sz w:val="24"/>
          <w:szCs w:val="24"/>
          <w:lang w:val="en-US" w:eastAsia="zh-CN"/>
        </w:rPr>
        <w:t>如配备软件系统</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w:t>
      </w:r>
      <w:r>
        <w:rPr>
          <w:rFonts w:hint="eastAsia" w:ascii="仿宋" w:hAnsi="仿宋" w:eastAsia="仿宋" w:cs="仿宋"/>
          <w:color w:val="auto"/>
          <w:sz w:val="24"/>
          <w:szCs w:val="24"/>
          <w:lang w:val="en-US" w:eastAsia="zh-CN"/>
        </w:rPr>
        <w:t>终身</w:t>
      </w:r>
      <w:r>
        <w:rPr>
          <w:rFonts w:hint="eastAsia" w:ascii="仿宋" w:hAnsi="仿宋" w:eastAsia="仿宋" w:cs="仿宋"/>
          <w:color w:val="auto"/>
          <w:sz w:val="24"/>
          <w:szCs w:val="24"/>
        </w:rPr>
        <w:t>提供软件升级，升级必须适配原厂软件，且不得影响设备的质保。</w:t>
      </w:r>
      <w:r>
        <w:rPr>
          <w:rFonts w:hint="eastAsia" w:ascii="仿宋" w:hAnsi="仿宋" w:eastAsia="仿宋" w:cs="仿宋"/>
          <w:color w:val="auto"/>
          <w:sz w:val="24"/>
          <w:szCs w:val="24"/>
          <w:lang w:val="en-US" w:eastAsia="zh-CN"/>
        </w:rPr>
        <w:t>保修期内，</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lang w:val="en-US" w:eastAsia="zh-CN"/>
        </w:rPr>
        <w:t>应</w:t>
      </w:r>
      <w:r>
        <w:rPr>
          <w:rFonts w:hint="eastAsia" w:ascii="仿宋" w:hAnsi="仿宋" w:eastAsia="仿宋" w:cs="仿宋"/>
          <w:color w:val="auto"/>
          <w:sz w:val="24"/>
          <w:szCs w:val="24"/>
        </w:rPr>
        <w:t>无偿指导和培训各使用单位维修及使用人员，主要内容为设备的基本结构、性能、主要部件的构造及修理，日常使用保养与管理，常见故障的排除、紧急情况的处理等，培训地点主要在设备安装现场或由</w:t>
      </w:r>
      <w:r>
        <w:rPr>
          <w:rFonts w:hint="eastAsia" w:ascii="仿宋" w:hAnsi="仿宋" w:eastAsia="仿宋" w:cs="仿宋"/>
          <w:color w:val="auto"/>
          <w:sz w:val="24"/>
          <w:szCs w:val="24"/>
          <w:lang w:val="en-US" w:eastAsia="zh-CN"/>
        </w:rPr>
        <w:t>各使用单位</w:t>
      </w:r>
      <w:r>
        <w:rPr>
          <w:rFonts w:hint="eastAsia" w:ascii="仿宋" w:hAnsi="仿宋" w:eastAsia="仿宋" w:cs="仿宋"/>
          <w:color w:val="auto"/>
          <w:sz w:val="24"/>
          <w:szCs w:val="24"/>
        </w:rPr>
        <w:t xml:space="preserve">安排。                                   </w:t>
      </w:r>
    </w:p>
    <w:p w14:paraId="165CF639">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3. 在保修期内，</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技术人员应至少每3个月上门对设备进行维护保养；接到</w:t>
      </w:r>
      <w:r>
        <w:rPr>
          <w:rFonts w:hint="eastAsia" w:ascii="仿宋" w:hAnsi="仿宋" w:eastAsia="仿宋" w:cs="仿宋"/>
          <w:color w:val="auto"/>
          <w:sz w:val="24"/>
          <w:szCs w:val="24"/>
          <w:lang w:val="en-US" w:eastAsia="zh-CN"/>
        </w:rPr>
        <w:t>各使用单位</w:t>
      </w:r>
      <w:r>
        <w:rPr>
          <w:rFonts w:hint="eastAsia" w:ascii="仿宋" w:hAnsi="仿宋" w:eastAsia="仿宋" w:cs="仿宋"/>
          <w:color w:val="auto"/>
          <w:sz w:val="24"/>
          <w:szCs w:val="24"/>
        </w:rPr>
        <w:t>设备故障报修后</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rPr>
        <w:t>技术人员应在</w:t>
      </w:r>
      <w:r>
        <w:rPr>
          <w:rFonts w:hint="eastAsia" w:ascii="仿宋" w:hAnsi="仿宋" w:eastAsia="仿宋" w:cs="仿宋"/>
          <w:color w:val="auto"/>
          <w:sz w:val="24"/>
          <w:szCs w:val="24"/>
          <w:lang w:val="en-US" w:eastAsia="zh-CN"/>
        </w:rPr>
        <w:t>2小时内响应并解决问题，未解决则48小时内到达现场，如未到达现场，则应按每逾期一日，向海南省卫生健康委员会、使用单位支付合同总金额的1‰违约金，直至设备修复正常使用。期间海南省卫生健康委员会、使用单位有权自行将设备委托给第三方进行维修，由此产生的费用由供应商承担，且供应商不得以此为理由终止维保方案。保修期内如有故障停机，每停机1天，保修期将顺延5天</w:t>
      </w:r>
      <w:r>
        <w:rPr>
          <w:rFonts w:hint="eastAsia" w:ascii="仿宋" w:hAnsi="仿宋" w:eastAsia="仿宋" w:cs="仿宋"/>
          <w:color w:val="auto"/>
          <w:sz w:val="24"/>
          <w:szCs w:val="24"/>
        </w:rPr>
        <w:t>。</w:t>
      </w:r>
    </w:p>
    <w:p w14:paraId="086B7B8F">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4. 在送货、安装、调试、培训、维修运维操作中，</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操作人员应严格遵守操作规程，并对自身人身财产安全负责。</w:t>
      </w:r>
    </w:p>
    <w:p w14:paraId="5C9C53FB">
      <w:pPr>
        <w:spacing w:line="360" w:lineRule="auto"/>
        <w:ind w:firstLine="480" w:firstLineChars="200"/>
        <w:rPr>
          <w:rFonts w:hint="eastAsia" w:ascii="仿宋" w:hAnsi="仿宋" w:eastAsia="仿宋" w:cs="仿宋"/>
          <w:b w:val="0"/>
          <w:bCs/>
          <w:color w:val="auto"/>
          <w:sz w:val="24"/>
          <w:szCs w:val="24"/>
          <w:lang w:eastAsia="zh-CN"/>
        </w:rPr>
      </w:pPr>
      <w:r>
        <w:rPr>
          <w:rFonts w:hint="eastAsia" w:ascii="仿宋" w:hAnsi="仿宋" w:eastAsia="仿宋" w:cs="仿宋"/>
          <w:color w:val="auto"/>
          <w:sz w:val="24"/>
          <w:szCs w:val="24"/>
        </w:rPr>
        <w:t xml:space="preserve">5. </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应做好每次维修运维保养内容或项目记录，并由各使用单位、</w:t>
      </w: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技术人员签字，交由各使用单位备案。</w:t>
      </w:r>
      <w:r>
        <w:rPr>
          <w:rFonts w:hint="eastAsia" w:ascii="仿宋" w:hAnsi="仿宋" w:eastAsia="仿宋" w:cs="仿宋"/>
          <w:b/>
          <w:bCs/>
          <w:color w:val="auto"/>
          <w:sz w:val="24"/>
          <w:szCs w:val="24"/>
          <w:lang w:val="en-US" w:eastAsia="zh-CN"/>
        </w:rPr>
        <w:br w:type="textWrapping"/>
      </w:r>
      <w:r>
        <w:rPr>
          <w:rFonts w:hint="eastAsia" w:ascii="仿宋" w:hAnsi="仿宋" w:eastAsia="仿宋" w:cs="仿宋"/>
          <w:b/>
          <w:bCs/>
          <w:color w:val="auto"/>
          <w:sz w:val="24"/>
          <w:szCs w:val="24"/>
          <w:lang w:val="en-US" w:eastAsia="zh-CN"/>
        </w:rPr>
        <w:t>（六）付款方式</w:t>
      </w:r>
      <w:r>
        <w:rPr>
          <w:rFonts w:hint="eastAsia" w:ascii="仿宋" w:hAnsi="仿宋" w:eastAsia="仿宋" w:cs="仿宋"/>
          <w:b/>
          <w:bCs/>
          <w:color w:val="auto"/>
          <w:sz w:val="24"/>
          <w:szCs w:val="24"/>
          <w:lang w:val="en-US" w:eastAsia="zh-CN"/>
        </w:rPr>
        <w:br w:type="textWrapping"/>
      </w:r>
      <w:r>
        <w:rPr>
          <w:rFonts w:hint="eastAsia" w:ascii="仿宋" w:hAnsi="仿宋" w:eastAsia="仿宋" w:cs="仿宋"/>
          <w:b/>
          <w:bCs/>
          <w:color w:val="auto"/>
          <w:sz w:val="24"/>
          <w:szCs w:val="24"/>
          <w:lang w:val="en-US" w:eastAsia="zh-CN"/>
        </w:rPr>
        <w:t xml:space="preserve">    </w:t>
      </w:r>
      <w:r>
        <w:rPr>
          <w:rFonts w:hint="eastAsia" w:ascii="仿宋" w:hAnsi="仿宋" w:eastAsia="仿宋" w:cs="仿宋"/>
          <w:b w:val="0"/>
          <w:bCs/>
          <w:color w:val="auto"/>
          <w:sz w:val="24"/>
          <w:szCs w:val="24"/>
          <w:lang w:eastAsia="zh-CN"/>
        </w:rPr>
        <w:t>1. 合同签订后，设备到货且</w:t>
      </w:r>
      <w:r>
        <w:rPr>
          <w:rFonts w:hint="eastAsia" w:ascii="仿宋" w:hAnsi="仿宋" w:eastAsia="仿宋" w:cs="仿宋"/>
          <w:b w:val="0"/>
          <w:bCs/>
          <w:color w:val="auto"/>
          <w:sz w:val="24"/>
          <w:szCs w:val="24"/>
          <w:lang w:val="en-US" w:eastAsia="zh-CN"/>
        </w:rPr>
        <w:t>供应商</w:t>
      </w:r>
      <w:r>
        <w:rPr>
          <w:rFonts w:hint="eastAsia" w:ascii="仿宋" w:hAnsi="仿宋" w:eastAsia="仿宋" w:cs="仿宋"/>
          <w:b w:val="0"/>
          <w:bCs/>
          <w:color w:val="auto"/>
          <w:sz w:val="24"/>
          <w:szCs w:val="24"/>
          <w:lang w:eastAsia="zh-CN"/>
        </w:rPr>
        <w:t>提供有效的合同总价款的80%税务发票及</w:t>
      </w:r>
      <w:r>
        <w:rPr>
          <w:rFonts w:hint="eastAsia" w:ascii="仿宋" w:hAnsi="仿宋" w:eastAsia="仿宋" w:cs="仿宋"/>
          <w:b w:val="0"/>
          <w:bCs/>
          <w:color w:val="auto"/>
          <w:sz w:val="24"/>
          <w:szCs w:val="24"/>
          <w:lang w:val="en-US" w:eastAsia="zh-CN"/>
        </w:rPr>
        <w:t>使用单位</w:t>
      </w:r>
      <w:r>
        <w:rPr>
          <w:rFonts w:hint="eastAsia" w:ascii="仿宋" w:hAnsi="仿宋" w:eastAsia="仿宋" w:cs="仿宋"/>
          <w:b w:val="0"/>
          <w:bCs/>
          <w:color w:val="auto"/>
          <w:sz w:val="24"/>
          <w:szCs w:val="24"/>
          <w:lang w:eastAsia="zh-CN"/>
        </w:rPr>
        <w:t>签字盖章的到货单等相关材料，海南省卫生健康委员会向</w:t>
      </w:r>
      <w:r>
        <w:rPr>
          <w:rFonts w:hint="eastAsia" w:ascii="仿宋" w:hAnsi="仿宋" w:eastAsia="仿宋" w:cs="仿宋"/>
          <w:b w:val="0"/>
          <w:bCs/>
          <w:color w:val="auto"/>
          <w:sz w:val="24"/>
          <w:szCs w:val="24"/>
          <w:lang w:val="en-US" w:eastAsia="zh-CN"/>
        </w:rPr>
        <w:t>供应商</w:t>
      </w:r>
      <w:r>
        <w:rPr>
          <w:rFonts w:hint="eastAsia" w:ascii="仿宋" w:hAnsi="仿宋" w:eastAsia="仿宋" w:cs="仿宋"/>
          <w:b w:val="0"/>
          <w:bCs/>
          <w:color w:val="auto"/>
          <w:sz w:val="24"/>
          <w:szCs w:val="24"/>
          <w:lang w:eastAsia="zh-CN"/>
        </w:rPr>
        <w:t>支付合同总价款的80%；设备通过验收合格后，</w:t>
      </w:r>
      <w:r>
        <w:rPr>
          <w:rFonts w:hint="eastAsia" w:ascii="仿宋" w:hAnsi="仿宋" w:eastAsia="仿宋" w:cs="仿宋"/>
          <w:b w:val="0"/>
          <w:bCs/>
          <w:color w:val="auto"/>
          <w:sz w:val="24"/>
          <w:szCs w:val="24"/>
          <w:lang w:val="en-US" w:eastAsia="zh-CN"/>
        </w:rPr>
        <w:t>供应商</w:t>
      </w:r>
      <w:r>
        <w:rPr>
          <w:rFonts w:hint="eastAsia" w:ascii="仿宋" w:hAnsi="仿宋" w:eastAsia="仿宋" w:cs="仿宋"/>
          <w:b w:val="0"/>
          <w:bCs/>
          <w:color w:val="auto"/>
          <w:sz w:val="24"/>
          <w:szCs w:val="24"/>
          <w:lang w:eastAsia="zh-CN"/>
        </w:rPr>
        <w:t>向</w:t>
      </w:r>
      <w:r>
        <w:rPr>
          <w:rFonts w:hint="eastAsia" w:ascii="仿宋" w:hAnsi="仿宋" w:eastAsia="仿宋" w:cs="仿宋"/>
          <w:b w:val="0"/>
          <w:bCs/>
          <w:color w:val="auto"/>
          <w:sz w:val="24"/>
          <w:szCs w:val="24"/>
          <w:lang w:val="en-US" w:eastAsia="zh-CN"/>
        </w:rPr>
        <w:t>使用单位</w:t>
      </w:r>
      <w:r>
        <w:rPr>
          <w:rFonts w:hint="eastAsia" w:ascii="仿宋" w:hAnsi="仿宋" w:eastAsia="仿宋" w:cs="仿宋"/>
          <w:b w:val="0"/>
          <w:bCs/>
          <w:color w:val="auto"/>
          <w:sz w:val="24"/>
          <w:szCs w:val="24"/>
          <w:lang w:eastAsia="zh-CN"/>
        </w:rPr>
        <w:t>提交有效的合同总价款的20%税务发票、设备使用说明书、维修手册、合格证、保修单和安装验收报告等全部材料，且提交合同总价款5%的银行保函原件（期限为设备验收合格之日起一年）（如付款单位为海南省卫生健康委员会，则需提供有效的合同总价款的20%税务发票</w:t>
      </w:r>
      <w:r>
        <w:rPr>
          <w:rFonts w:hint="eastAsia" w:ascii="仿宋" w:hAnsi="仿宋" w:eastAsia="仿宋" w:cs="仿宋"/>
          <w:b w:val="0"/>
          <w:bCs/>
          <w:color w:val="auto"/>
          <w:sz w:val="24"/>
          <w:szCs w:val="24"/>
          <w:lang w:val="en-US" w:eastAsia="zh-CN"/>
        </w:rPr>
        <w:t>使用单位</w:t>
      </w:r>
      <w:r>
        <w:rPr>
          <w:rFonts w:hint="eastAsia" w:ascii="仿宋" w:hAnsi="仿宋" w:eastAsia="仿宋" w:cs="仿宋"/>
          <w:b w:val="0"/>
          <w:bCs/>
          <w:color w:val="auto"/>
          <w:sz w:val="24"/>
          <w:szCs w:val="24"/>
          <w:lang w:eastAsia="zh-CN"/>
        </w:rPr>
        <w:t>签字盖章的验收报告，其余相关材料交付</w:t>
      </w:r>
      <w:r>
        <w:rPr>
          <w:rFonts w:hint="eastAsia" w:ascii="仿宋" w:hAnsi="仿宋" w:eastAsia="仿宋" w:cs="仿宋"/>
          <w:b w:val="0"/>
          <w:bCs/>
          <w:color w:val="auto"/>
          <w:sz w:val="24"/>
          <w:szCs w:val="24"/>
          <w:lang w:val="en-US" w:eastAsia="zh-CN"/>
        </w:rPr>
        <w:t>使用单位</w:t>
      </w:r>
      <w:r>
        <w:rPr>
          <w:rFonts w:hint="eastAsia" w:ascii="仿宋" w:hAnsi="仿宋" w:eastAsia="仿宋" w:cs="仿宋"/>
          <w:b w:val="0"/>
          <w:bCs/>
          <w:color w:val="auto"/>
          <w:sz w:val="24"/>
          <w:szCs w:val="24"/>
          <w:lang w:eastAsia="zh-CN"/>
        </w:rPr>
        <w:t>），</w:t>
      </w:r>
      <w:r>
        <w:rPr>
          <w:rFonts w:hint="eastAsia" w:ascii="仿宋" w:hAnsi="仿宋" w:eastAsia="仿宋" w:cs="仿宋"/>
          <w:b w:val="0"/>
          <w:bCs/>
          <w:color w:val="auto"/>
          <w:sz w:val="24"/>
          <w:szCs w:val="24"/>
          <w:lang w:val="en-US" w:eastAsia="zh-CN"/>
        </w:rPr>
        <w:t>使用单位</w:t>
      </w:r>
      <w:r>
        <w:rPr>
          <w:rFonts w:hint="eastAsia" w:ascii="仿宋" w:hAnsi="仿宋" w:eastAsia="仿宋" w:cs="仿宋"/>
          <w:b w:val="0"/>
          <w:bCs/>
          <w:color w:val="auto"/>
          <w:sz w:val="24"/>
          <w:szCs w:val="24"/>
          <w:lang w:eastAsia="zh-CN"/>
        </w:rPr>
        <w:t>（海南省卫生健康委员会）向</w:t>
      </w:r>
      <w:r>
        <w:rPr>
          <w:rFonts w:hint="eastAsia" w:ascii="仿宋" w:hAnsi="仿宋" w:eastAsia="仿宋" w:cs="仿宋"/>
          <w:b w:val="0"/>
          <w:bCs/>
          <w:color w:val="auto"/>
          <w:sz w:val="24"/>
          <w:szCs w:val="24"/>
          <w:lang w:val="en-US" w:eastAsia="zh-CN"/>
        </w:rPr>
        <w:t>供应商</w:t>
      </w:r>
      <w:r>
        <w:rPr>
          <w:rFonts w:hint="eastAsia" w:ascii="仿宋" w:hAnsi="仿宋" w:eastAsia="仿宋" w:cs="仿宋"/>
          <w:b w:val="0"/>
          <w:bCs/>
          <w:color w:val="auto"/>
          <w:sz w:val="24"/>
          <w:szCs w:val="24"/>
          <w:lang w:eastAsia="zh-CN"/>
        </w:rPr>
        <w:t>支付合同总价款的20%。（如使用单位为省级医疗机构则全部由海南省卫生健康委员会付款。）</w:t>
      </w:r>
    </w:p>
    <w:p w14:paraId="6D1B66FF">
      <w:pPr>
        <w:spacing w:line="360" w:lineRule="auto"/>
        <w:ind w:firstLine="480" w:firstLineChars="200"/>
        <w:rPr>
          <w:rFonts w:hint="eastAsia" w:ascii="仿宋" w:hAnsi="仿宋" w:eastAsia="仿宋" w:cs="仿宋"/>
          <w:color w:val="auto"/>
          <w:sz w:val="24"/>
          <w:szCs w:val="24"/>
          <w:lang w:eastAsia="zh-CN"/>
        </w:rPr>
      </w:pPr>
    </w:p>
    <w:p w14:paraId="6FA4CA7F">
      <w:pPr>
        <w:spacing w:line="360" w:lineRule="auto"/>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2. 设备验收合格之日起一年后，经确认</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lang w:eastAsia="zh-CN"/>
        </w:rPr>
        <w:t>所提供设备无任何产品质量、售后问题，使用单位退还</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lang w:eastAsia="zh-CN"/>
        </w:rPr>
        <w:t>合同总价款5%的银行保函原件。</w:t>
      </w:r>
    </w:p>
    <w:p w14:paraId="665A824C">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3. 见票付款，供应商应于付款前，按照海南省卫生健康委员会或使用单位要求，提供正规的税务发票，付款单位收到发票后支付相应款项。供应商未提供发票或其他付款所需材料的，付款单位有权暂时不予支付款项，且无需承担相应的违约责任。</w:t>
      </w:r>
    </w:p>
    <w:p w14:paraId="7B7AA288">
      <w:pPr>
        <w:spacing w:line="360" w:lineRule="auto"/>
        <w:ind w:firstLine="480" w:firstLineChars="200"/>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七）2024年超长期特别国债“以旧换新”项目医疗设备集中采购项目整体采购预算金额为145343.00万元，投标企业及产品要符合《财政部关于在政府采购活动中对自欧盟进口的医疗器械采取相关措施的通知》（财库〔2025〕19号）要求。(投标人须提供承诺函加盖公章，格式自拟)（适用于所投货物含进口产品的采购包）</w:t>
      </w:r>
    </w:p>
    <w:p w14:paraId="77437CCA">
      <w:pPr>
        <w:spacing w:line="360" w:lineRule="auto"/>
        <w:ind w:firstLine="480" w:firstLineChars="200"/>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具体详见附件：</w:t>
      </w:r>
    </w:p>
    <w:p w14:paraId="7A3422C8">
      <w:pPr>
        <w:spacing w:line="360" w:lineRule="auto"/>
        <w:ind w:firstLine="480" w:firstLineChars="200"/>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1.《财政部关于在政府采购活动中对自欧盟进口的医疗器械</w:t>
      </w:r>
    </w:p>
    <w:p w14:paraId="11FFF6FC">
      <w:pPr>
        <w:spacing w:line="360" w:lineRule="auto"/>
        <w:ind w:firstLine="480" w:firstLineChars="200"/>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采取相关措施的通知》（财库〔2025〕19号）</w:t>
      </w:r>
    </w:p>
    <w:p w14:paraId="3B1680F4">
      <w:pPr>
        <w:spacing w:line="360" w:lineRule="auto"/>
        <w:ind w:firstLine="480" w:firstLineChars="200"/>
        <w:rPr>
          <w:rFonts w:hint="default"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2.《关于在政府采购活动中对自欧盟进口的医疗器械采取相关措施的通知》政策问答</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东文宋体">
    <w:altName w:val="宋体"/>
    <w:panose1 w:val="00000000000000000000"/>
    <w:charset w:val="00"/>
    <w:family w:val="auto"/>
    <w:pitch w:val="default"/>
    <w:sig w:usb0="00000000" w:usb1="00000000" w:usb2="00000000" w:usb3="00000000" w:csb0="00040001"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kYzE2NzRhOGE1MDhmYzAzMzAyNGNmYjU4NWJiMzkifQ=="/>
  </w:docVars>
  <w:rsids>
    <w:rsidRoot w:val="611B1D68"/>
    <w:rsid w:val="006F6FD4"/>
    <w:rsid w:val="00B92A50"/>
    <w:rsid w:val="01730582"/>
    <w:rsid w:val="021877A9"/>
    <w:rsid w:val="026E7485"/>
    <w:rsid w:val="0271525A"/>
    <w:rsid w:val="03060030"/>
    <w:rsid w:val="040419BE"/>
    <w:rsid w:val="041E0CB2"/>
    <w:rsid w:val="04514C54"/>
    <w:rsid w:val="075F5104"/>
    <w:rsid w:val="08273E74"/>
    <w:rsid w:val="087921F6"/>
    <w:rsid w:val="08A307A1"/>
    <w:rsid w:val="09324C11"/>
    <w:rsid w:val="093E1C4A"/>
    <w:rsid w:val="09511055"/>
    <w:rsid w:val="0992531D"/>
    <w:rsid w:val="0AAB4284"/>
    <w:rsid w:val="0BAD4690"/>
    <w:rsid w:val="0BE24995"/>
    <w:rsid w:val="0C314A41"/>
    <w:rsid w:val="0C425831"/>
    <w:rsid w:val="0CE265BB"/>
    <w:rsid w:val="0DA970D9"/>
    <w:rsid w:val="0EFB0F3B"/>
    <w:rsid w:val="0FA20284"/>
    <w:rsid w:val="0FAF3BEE"/>
    <w:rsid w:val="10303AE2"/>
    <w:rsid w:val="1066466C"/>
    <w:rsid w:val="10FF681B"/>
    <w:rsid w:val="11867141"/>
    <w:rsid w:val="122955A6"/>
    <w:rsid w:val="12577A05"/>
    <w:rsid w:val="132B399F"/>
    <w:rsid w:val="13CE2549"/>
    <w:rsid w:val="144311A3"/>
    <w:rsid w:val="15153793"/>
    <w:rsid w:val="160D4DAD"/>
    <w:rsid w:val="169A3A63"/>
    <w:rsid w:val="16DB74FC"/>
    <w:rsid w:val="16F47617"/>
    <w:rsid w:val="17390F09"/>
    <w:rsid w:val="17E97970"/>
    <w:rsid w:val="19F54232"/>
    <w:rsid w:val="1A567412"/>
    <w:rsid w:val="1A773C92"/>
    <w:rsid w:val="1AA81C3A"/>
    <w:rsid w:val="1B122762"/>
    <w:rsid w:val="1C1B1D52"/>
    <w:rsid w:val="1D0E7263"/>
    <w:rsid w:val="1E104084"/>
    <w:rsid w:val="1E5141AB"/>
    <w:rsid w:val="1E635082"/>
    <w:rsid w:val="1EC02FC5"/>
    <w:rsid w:val="1F30778D"/>
    <w:rsid w:val="1FCF7439"/>
    <w:rsid w:val="20476A09"/>
    <w:rsid w:val="20CA13E8"/>
    <w:rsid w:val="21782A92"/>
    <w:rsid w:val="21AB4CE7"/>
    <w:rsid w:val="21F77FBB"/>
    <w:rsid w:val="22561E7E"/>
    <w:rsid w:val="228256F1"/>
    <w:rsid w:val="23046782"/>
    <w:rsid w:val="247F027C"/>
    <w:rsid w:val="24D46CDA"/>
    <w:rsid w:val="25314BC6"/>
    <w:rsid w:val="25756C7F"/>
    <w:rsid w:val="265C17BE"/>
    <w:rsid w:val="28051734"/>
    <w:rsid w:val="289335D2"/>
    <w:rsid w:val="28A23518"/>
    <w:rsid w:val="29507DCC"/>
    <w:rsid w:val="29672A4E"/>
    <w:rsid w:val="2A2102CB"/>
    <w:rsid w:val="2B6C37C8"/>
    <w:rsid w:val="2B7F7680"/>
    <w:rsid w:val="2BB1567F"/>
    <w:rsid w:val="2C0C3AC3"/>
    <w:rsid w:val="2D2B1897"/>
    <w:rsid w:val="2DB978C7"/>
    <w:rsid w:val="2E921798"/>
    <w:rsid w:val="306C37AE"/>
    <w:rsid w:val="306F4843"/>
    <w:rsid w:val="316136A3"/>
    <w:rsid w:val="318B2F5B"/>
    <w:rsid w:val="31AE1AC9"/>
    <w:rsid w:val="32C57973"/>
    <w:rsid w:val="335E457B"/>
    <w:rsid w:val="33D50DEC"/>
    <w:rsid w:val="341E587B"/>
    <w:rsid w:val="359E4EC6"/>
    <w:rsid w:val="35DA42E0"/>
    <w:rsid w:val="35E54D53"/>
    <w:rsid w:val="36301896"/>
    <w:rsid w:val="37E816C9"/>
    <w:rsid w:val="38066D52"/>
    <w:rsid w:val="38E635D7"/>
    <w:rsid w:val="3A86196F"/>
    <w:rsid w:val="3AAB2F41"/>
    <w:rsid w:val="3C357C06"/>
    <w:rsid w:val="3C433677"/>
    <w:rsid w:val="3CB9588E"/>
    <w:rsid w:val="3CD1792F"/>
    <w:rsid w:val="3CEA4F5E"/>
    <w:rsid w:val="3D7B4A63"/>
    <w:rsid w:val="3D9F3622"/>
    <w:rsid w:val="3DC306EC"/>
    <w:rsid w:val="3E5C2231"/>
    <w:rsid w:val="3E996A87"/>
    <w:rsid w:val="3FEC0F24"/>
    <w:rsid w:val="40311450"/>
    <w:rsid w:val="40EB11DB"/>
    <w:rsid w:val="41876612"/>
    <w:rsid w:val="41AB2740"/>
    <w:rsid w:val="424E2D8B"/>
    <w:rsid w:val="4395490F"/>
    <w:rsid w:val="44D77724"/>
    <w:rsid w:val="45485DD8"/>
    <w:rsid w:val="457F3B84"/>
    <w:rsid w:val="45B94944"/>
    <w:rsid w:val="4618222D"/>
    <w:rsid w:val="46AB1DCA"/>
    <w:rsid w:val="47F4078A"/>
    <w:rsid w:val="481A44CD"/>
    <w:rsid w:val="48375B97"/>
    <w:rsid w:val="48EC15BB"/>
    <w:rsid w:val="49A1038C"/>
    <w:rsid w:val="4AB64608"/>
    <w:rsid w:val="4B025C6E"/>
    <w:rsid w:val="4BED57D7"/>
    <w:rsid w:val="4BF747F7"/>
    <w:rsid w:val="4C311E9D"/>
    <w:rsid w:val="4C59349D"/>
    <w:rsid w:val="4D463A58"/>
    <w:rsid w:val="4DC86B2C"/>
    <w:rsid w:val="4E166732"/>
    <w:rsid w:val="4E6245F1"/>
    <w:rsid w:val="4E7A547F"/>
    <w:rsid w:val="4EB5389C"/>
    <w:rsid w:val="4FD44663"/>
    <w:rsid w:val="4FD931C4"/>
    <w:rsid w:val="50722D7F"/>
    <w:rsid w:val="51716F02"/>
    <w:rsid w:val="52232DA7"/>
    <w:rsid w:val="52A87AFF"/>
    <w:rsid w:val="52C847D6"/>
    <w:rsid w:val="539E472C"/>
    <w:rsid w:val="54D933CD"/>
    <w:rsid w:val="561A3C9D"/>
    <w:rsid w:val="566A71E8"/>
    <w:rsid w:val="568542F7"/>
    <w:rsid w:val="57403A2F"/>
    <w:rsid w:val="581E47A0"/>
    <w:rsid w:val="58C502CD"/>
    <w:rsid w:val="59BC4175"/>
    <w:rsid w:val="5A054748"/>
    <w:rsid w:val="5A5502D0"/>
    <w:rsid w:val="5AF076C2"/>
    <w:rsid w:val="5BBF02ED"/>
    <w:rsid w:val="5BE417EE"/>
    <w:rsid w:val="5C4F5FA6"/>
    <w:rsid w:val="5D202A76"/>
    <w:rsid w:val="5E0C530E"/>
    <w:rsid w:val="5E3F4D00"/>
    <w:rsid w:val="5EAF7B69"/>
    <w:rsid w:val="5F4D33EF"/>
    <w:rsid w:val="5FF90DC7"/>
    <w:rsid w:val="60234096"/>
    <w:rsid w:val="602902A5"/>
    <w:rsid w:val="607F58E6"/>
    <w:rsid w:val="610C68D8"/>
    <w:rsid w:val="611B1D68"/>
    <w:rsid w:val="61306A6A"/>
    <w:rsid w:val="62863B12"/>
    <w:rsid w:val="62E60A14"/>
    <w:rsid w:val="64997DE8"/>
    <w:rsid w:val="650724DA"/>
    <w:rsid w:val="651641C9"/>
    <w:rsid w:val="65AA0CD4"/>
    <w:rsid w:val="65BD79F3"/>
    <w:rsid w:val="6757025C"/>
    <w:rsid w:val="676A3BD3"/>
    <w:rsid w:val="680227E3"/>
    <w:rsid w:val="684A6664"/>
    <w:rsid w:val="68CD117F"/>
    <w:rsid w:val="69961435"/>
    <w:rsid w:val="69DD7DAF"/>
    <w:rsid w:val="6A031F7D"/>
    <w:rsid w:val="6A57411C"/>
    <w:rsid w:val="6A9C31CB"/>
    <w:rsid w:val="6B2421BE"/>
    <w:rsid w:val="6CA11A75"/>
    <w:rsid w:val="6CC8224D"/>
    <w:rsid w:val="6D515D0F"/>
    <w:rsid w:val="6D990373"/>
    <w:rsid w:val="6DE51650"/>
    <w:rsid w:val="6EED0713"/>
    <w:rsid w:val="6F36106F"/>
    <w:rsid w:val="6FF15617"/>
    <w:rsid w:val="715064EC"/>
    <w:rsid w:val="71803AC4"/>
    <w:rsid w:val="721C3954"/>
    <w:rsid w:val="74EF6935"/>
    <w:rsid w:val="7553307C"/>
    <w:rsid w:val="7662726E"/>
    <w:rsid w:val="77BC1142"/>
    <w:rsid w:val="784927A5"/>
    <w:rsid w:val="79F36830"/>
    <w:rsid w:val="7A171972"/>
    <w:rsid w:val="7A4D1FE3"/>
    <w:rsid w:val="7A624B2D"/>
    <w:rsid w:val="7A88663E"/>
    <w:rsid w:val="7B0D4774"/>
    <w:rsid w:val="7C9C4B5C"/>
    <w:rsid w:val="7D4B7A6B"/>
    <w:rsid w:val="7D5B40A3"/>
    <w:rsid w:val="7DDB16B4"/>
    <w:rsid w:val="7E167604"/>
    <w:rsid w:val="7E332F94"/>
    <w:rsid w:val="7EAF2C64"/>
    <w:rsid w:val="7F0826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59" w:lineRule="auto"/>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5" w:lineRule="auto"/>
      <w:outlineLvl w:val="1"/>
    </w:pPr>
    <w:rPr>
      <w:rFonts w:ascii="Arial" w:hAnsi="Arial" w:eastAsia="黑体"/>
      <w:b/>
      <w:bCs/>
      <w:sz w:val="32"/>
      <w:szCs w:val="32"/>
    </w:rPr>
  </w:style>
  <w:style w:type="paragraph" w:styleId="5">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200" w:firstLineChars="200"/>
    </w:pPr>
  </w:style>
  <w:style w:type="paragraph" w:styleId="6">
    <w:name w:val="annotation text"/>
    <w:basedOn w:val="1"/>
    <w:qFormat/>
    <w:uiPriority w:val="0"/>
    <w:pPr>
      <w:jc w:val="left"/>
    </w:pPr>
  </w:style>
  <w:style w:type="paragraph" w:styleId="7">
    <w:name w:val="Body Text"/>
    <w:basedOn w:val="1"/>
    <w:unhideWhenUsed/>
    <w:qFormat/>
    <w:uiPriority w:val="0"/>
    <w:pPr>
      <w:spacing w:after="120"/>
    </w:pPr>
    <w:rPr>
      <w:rFonts w:ascii="Times New Roman" w:hAnsi="Times New Roman"/>
    </w:rPr>
  </w:style>
  <w:style w:type="paragraph" w:styleId="8">
    <w:name w:val="footer"/>
    <w:basedOn w:val="1"/>
    <w:qFormat/>
    <w:uiPriority w:val="0"/>
    <w:pPr>
      <w:tabs>
        <w:tab w:val="center" w:pos="4153"/>
        <w:tab w:val="right" w:pos="8306"/>
      </w:tabs>
      <w:snapToGrid w:val="0"/>
      <w:jc w:val="left"/>
    </w:pPr>
    <w:rPr>
      <w:sz w:val="18"/>
      <w:szCs w:val="20"/>
    </w:rPr>
  </w:style>
  <w:style w:type="paragraph" w:styleId="9">
    <w:name w:val="footnote text"/>
    <w:basedOn w:val="1"/>
    <w:qFormat/>
    <w:uiPriority w:val="0"/>
    <w:pPr>
      <w:snapToGrid w:val="0"/>
      <w:jc w:val="left"/>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qFormat/>
    <w:uiPriority w:val="0"/>
  </w:style>
  <w:style w:type="character" w:customStyle="1" w:styleId="15">
    <w:name w:val="NormalCharacter"/>
    <w:semiHidden/>
    <w:qFormat/>
    <w:uiPriority w:val="99"/>
  </w:style>
  <w:style w:type="character" w:customStyle="1" w:styleId="16">
    <w:name w:val="font51"/>
    <w:basedOn w:val="13"/>
    <w:qFormat/>
    <w:uiPriority w:val="0"/>
    <w:rPr>
      <w:rFonts w:hint="eastAsia" w:ascii="仿宋" w:hAnsi="仿宋" w:eastAsia="仿宋" w:cs="仿宋"/>
      <w:color w:val="000000"/>
      <w:sz w:val="28"/>
      <w:szCs w:val="28"/>
      <w:u w:val="none"/>
    </w:rPr>
  </w:style>
  <w:style w:type="character" w:customStyle="1" w:styleId="17">
    <w:name w:val="font91"/>
    <w:basedOn w:val="13"/>
    <w:qFormat/>
    <w:uiPriority w:val="0"/>
    <w:rPr>
      <w:rFonts w:hint="eastAsia" w:ascii="仿宋" w:hAnsi="仿宋" w:eastAsia="仿宋" w:cs="仿宋"/>
      <w:color w:val="000000"/>
      <w:sz w:val="28"/>
      <w:szCs w:val="28"/>
      <w:u w:val="none"/>
    </w:rPr>
  </w:style>
  <w:style w:type="character" w:customStyle="1" w:styleId="18">
    <w:name w:val="font41"/>
    <w:basedOn w:val="13"/>
    <w:qFormat/>
    <w:uiPriority w:val="0"/>
    <w:rPr>
      <w:rFonts w:hint="eastAsia" w:ascii="宋体" w:hAnsi="宋体" w:eastAsia="宋体" w:cs="宋体"/>
      <w:color w:val="000000"/>
      <w:sz w:val="18"/>
      <w:szCs w:val="18"/>
      <w:u w:val="none"/>
    </w:rPr>
  </w:style>
  <w:style w:type="character" w:customStyle="1" w:styleId="19">
    <w:name w:val="font31"/>
    <w:basedOn w:val="13"/>
    <w:qFormat/>
    <w:uiPriority w:val="0"/>
    <w:rPr>
      <w:rFonts w:hint="default" w:ascii="东文宋体" w:hAnsi="东文宋体" w:eastAsia="东文宋体" w:cs="东文宋体"/>
      <w:color w:val="000000"/>
      <w:sz w:val="18"/>
      <w:szCs w:val="18"/>
      <w:u w:val="none"/>
    </w:rPr>
  </w:style>
  <w:style w:type="character" w:customStyle="1" w:styleId="20">
    <w:name w:val="font01"/>
    <w:basedOn w:val="13"/>
    <w:qFormat/>
    <w:uiPriority w:val="0"/>
    <w:rPr>
      <w:rFonts w:hint="eastAsia" w:ascii="宋体" w:hAnsi="宋体" w:eastAsia="宋体" w:cs="宋体"/>
      <w:color w:val="000000"/>
      <w:sz w:val="18"/>
      <w:szCs w:val="18"/>
      <w:u w:val="none"/>
    </w:rPr>
  </w:style>
  <w:style w:type="character" w:customStyle="1" w:styleId="21">
    <w:name w:val="font21"/>
    <w:basedOn w:val="13"/>
    <w:qFormat/>
    <w:uiPriority w:val="0"/>
    <w:rPr>
      <w:rFonts w:hint="eastAsia" w:ascii="宋体" w:hAnsi="宋体" w:eastAsia="宋体" w:cs="宋体"/>
      <w:color w:val="000000"/>
      <w:sz w:val="18"/>
      <w:szCs w:val="18"/>
      <w:u w:val="none"/>
    </w:rPr>
  </w:style>
  <w:style w:type="character" w:customStyle="1" w:styleId="22">
    <w:name w:val="font201"/>
    <w:basedOn w:val="13"/>
    <w:qFormat/>
    <w:uiPriority w:val="0"/>
    <w:rPr>
      <w:rFonts w:ascii="Arial" w:hAnsi="Arial" w:cs="Arial"/>
      <w:color w:val="000000"/>
      <w:sz w:val="18"/>
      <w:szCs w:val="18"/>
      <w:u w:val="none"/>
    </w:rPr>
  </w:style>
  <w:style w:type="character" w:customStyle="1" w:styleId="23">
    <w:name w:val="font161"/>
    <w:basedOn w:val="13"/>
    <w:qFormat/>
    <w:uiPriority w:val="0"/>
    <w:rPr>
      <w:rFonts w:hint="default" w:ascii="Arial" w:hAnsi="Arial" w:cs="Arial"/>
      <w:color w:val="000000"/>
      <w:sz w:val="18"/>
      <w:szCs w:val="18"/>
      <w:u w:val="none"/>
      <w:vertAlign w:val="superscript"/>
    </w:rPr>
  </w:style>
  <w:style w:type="character" w:customStyle="1" w:styleId="24">
    <w:name w:val="font81"/>
    <w:basedOn w:val="13"/>
    <w:qFormat/>
    <w:uiPriority w:val="0"/>
    <w:rPr>
      <w:rFonts w:hint="eastAsia" w:ascii="宋体" w:hAnsi="宋体" w:eastAsia="宋体" w:cs="宋体"/>
      <w:color w:val="000000"/>
      <w:sz w:val="18"/>
      <w:szCs w:val="18"/>
      <w:u w:val="none"/>
    </w:rPr>
  </w:style>
  <w:style w:type="character" w:customStyle="1" w:styleId="25">
    <w:name w:val="font151"/>
    <w:basedOn w:val="13"/>
    <w:qFormat/>
    <w:uiPriority w:val="0"/>
    <w:rPr>
      <w:rFonts w:hint="eastAsia" w:ascii="宋体" w:hAnsi="宋体" w:eastAsia="宋体" w:cs="宋体"/>
      <w:color w:val="000000"/>
      <w:sz w:val="18"/>
      <w:szCs w:val="18"/>
      <w:u w:val="none"/>
    </w:rPr>
  </w:style>
  <w:style w:type="character" w:customStyle="1" w:styleId="26">
    <w:name w:val="font181"/>
    <w:basedOn w:val="13"/>
    <w:qFormat/>
    <w:uiPriority w:val="0"/>
    <w:rPr>
      <w:rFonts w:ascii="等线" w:hAnsi="等线" w:eastAsia="等线" w:cs="等线"/>
      <w:color w:val="000000"/>
      <w:sz w:val="18"/>
      <w:szCs w:val="18"/>
      <w:u w:val="none"/>
    </w:rPr>
  </w:style>
  <w:style w:type="character" w:customStyle="1" w:styleId="27">
    <w:name w:val="font132"/>
    <w:basedOn w:val="13"/>
    <w:qFormat/>
    <w:uiPriority w:val="0"/>
    <w:rPr>
      <w:rFonts w:hint="default" w:ascii="等线" w:hAnsi="等线" w:eastAsia="等线" w:cs="等线"/>
      <w:color w:val="000000"/>
      <w:sz w:val="18"/>
      <w:szCs w:val="18"/>
      <w:u w:val="none"/>
      <w:vertAlign w:val="superscript"/>
    </w:rPr>
  </w:style>
  <w:style w:type="character" w:customStyle="1" w:styleId="28">
    <w:name w:val="font23"/>
    <w:basedOn w:val="13"/>
    <w:qFormat/>
    <w:uiPriority w:val="0"/>
    <w:rPr>
      <w:rFonts w:hint="default" w:ascii="Times New Roman" w:hAnsi="Times New Roman" w:cs="Times New Roman"/>
      <w:color w:val="000000"/>
      <w:sz w:val="18"/>
      <w:szCs w:val="18"/>
      <w:u w:val="none"/>
    </w:rPr>
  </w:style>
  <w:style w:type="character" w:customStyle="1" w:styleId="29">
    <w:name w:val="font13"/>
    <w:basedOn w:val="13"/>
    <w:qFormat/>
    <w:uiPriority w:val="0"/>
    <w:rPr>
      <w:rFonts w:hint="default" w:ascii="Arial" w:hAnsi="Arial" w:cs="Arial"/>
      <w:color w:val="000000"/>
      <w:sz w:val="18"/>
      <w:szCs w:val="18"/>
      <w:u w:val="none"/>
    </w:rPr>
  </w:style>
  <w:style w:type="character" w:customStyle="1" w:styleId="30">
    <w:name w:val="font121"/>
    <w:basedOn w:val="13"/>
    <w:qFormat/>
    <w:uiPriority w:val="0"/>
    <w:rPr>
      <w:rFonts w:hint="eastAsia" w:ascii="宋体" w:hAnsi="宋体" w:eastAsia="宋体" w:cs="宋体"/>
      <w:color w:val="000000"/>
      <w:sz w:val="18"/>
      <w:szCs w:val="18"/>
      <w:u w:val="none"/>
    </w:rPr>
  </w:style>
  <w:style w:type="character" w:customStyle="1" w:styleId="31">
    <w:name w:val="font71"/>
    <w:basedOn w:val="13"/>
    <w:qFormat/>
    <w:uiPriority w:val="0"/>
    <w:rPr>
      <w:rFonts w:hint="eastAsia" w:ascii="宋体" w:hAnsi="宋体" w:eastAsia="宋体" w:cs="宋体"/>
      <w:b/>
      <w:color w:val="000000"/>
      <w:sz w:val="18"/>
      <w:szCs w:val="18"/>
      <w:u w:val="none"/>
    </w:rPr>
  </w:style>
  <w:style w:type="character" w:customStyle="1" w:styleId="32">
    <w:name w:val="font101"/>
    <w:basedOn w:val="13"/>
    <w:qFormat/>
    <w:uiPriority w:val="0"/>
    <w:rPr>
      <w:rFonts w:hint="default" w:ascii="东文宋体" w:hAnsi="东文宋体" w:eastAsia="东文宋体" w:cs="东文宋体"/>
      <w:color w:val="000000"/>
      <w:sz w:val="18"/>
      <w:szCs w:val="18"/>
      <w:u w:val="none"/>
    </w:rPr>
  </w:style>
  <w:style w:type="character" w:customStyle="1" w:styleId="33">
    <w:name w:val="font131"/>
    <w:basedOn w:val="13"/>
    <w:qFormat/>
    <w:uiPriority w:val="0"/>
    <w:rPr>
      <w:rFonts w:hint="eastAsia" w:ascii="宋体" w:hAnsi="宋体" w:eastAsia="宋体" w:cs="宋体"/>
      <w:color w:val="000000"/>
      <w:sz w:val="18"/>
      <w:szCs w:val="18"/>
      <w:u w:val="none"/>
    </w:rPr>
  </w:style>
  <w:style w:type="character" w:customStyle="1" w:styleId="34">
    <w:name w:val="font16"/>
    <w:basedOn w:val="13"/>
    <w:qFormat/>
    <w:uiPriority w:val="0"/>
    <w:rPr>
      <w:rFonts w:hint="default" w:ascii="东文宋体" w:hAnsi="东文宋体" w:eastAsia="东文宋体" w:cs="东文宋体"/>
      <w:color w:val="000000"/>
      <w:sz w:val="18"/>
      <w:szCs w:val="18"/>
      <w:u w:val="none"/>
    </w:rPr>
  </w:style>
  <w:style w:type="character" w:customStyle="1" w:styleId="35">
    <w:name w:val="font61"/>
    <w:basedOn w:val="13"/>
    <w:qFormat/>
    <w:uiPriority w:val="0"/>
    <w:rPr>
      <w:rFonts w:hint="default" w:ascii="东文宋体" w:hAnsi="东文宋体" w:eastAsia="东文宋体" w:cs="东文宋体"/>
      <w:color w:val="000000"/>
      <w:sz w:val="18"/>
      <w:szCs w:val="18"/>
      <w:u w:val="none"/>
    </w:rPr>
  </w:style>
  <w:style w:type="character" w:customStyle="1" w:styleId="36">
    <w:name w:val="font12"/>
    <w:basedOn w:val="13"/>
    <w:qFormat/>
    <w:uiPriority w:val="0"/>
    <w:rPr>
      <w:rFonts w:ascii="东文宋体" w:hAnsi="东文宋体" w:eastAsia="东文宋体" w:cs="东文宋体"/>
      <w:color w:val="000000"/>
      <w:sz w:val="18"/>
      <w:szCs w:val="18"/>
      <w:u w:val="none"/>
    </w:rPr>
  </w:style>
  <w:style w:type="character" w:customStyle="1" w:styleId="37">
    <w:name w:val="font11"/>
    <w:basedOn w:val="13"/>
    <w:qFormat/>
    <w:uiPriority w:val="0"/>
    <w:rPr>
      <w:rFonts w:ascii="东文宋体" w:hAnsi="东文宋体" w:eastAsia="东文宋体" w:cs="东文宋体"/>
      <w:color w:val="000000"/>
      <w:sz w:val="18"/>
      <w:szCs w:val="18"/>
      <w:u w:val="none"/>
    </w:rPr>
  </w:style>
  <w:style w:type="character" w:customStyle="1" w:styleId="38">
    <w:name w:val="font14"/>
    <w:basedOn w:val="13"/>
    <w:qFormat/>
    <w:uiPriority w:val="0"/>
    <w:rPr>
      <w:rFonts w:hint="eastAsia" w:ascii="宋体" w:hAnsi="宋体" w:eastAsia="宋体" w:cs="宋体"/>
      <w:color w:val="000000"/>
      <w:sz w:val="18"/>
      <w:szCs w:val="18"/>
      <w:u w:val="none"/>
    </w:rPr>
  </w:style>
  <w:style w:type="character" w:customStyle="1" w:styleId="39">
    <w:name w:val="font111"/>
    <w:basedOn w:val="13"/>
    <w:qFormat/>
    <w:uiPriority w:val="0"/>
    <w:rPr>
      <w:rFonts w:ascii="Calibri" w:hAnsi="Calibri" w:cs="Calibri"/>
      <w:color w:val="000000"/>
      <w:sz w:val="24"/>
      <w:szCs w:val="24"/>
      <w:u w:val="none"/>
    </w:rPr>
  </w:style>
  <w:style w:type="character" w:customStyle="1" w:styleId="40">
    <w:name w:val="font112"/>
    <w:basedOn w:val="13"/>
    <w:qFormat/>
    <w:uiPriority w:val="0"/>
    <w:rPr>
      <w:rFonts w:ascii="东文宋体" w:hAnsi="东文宋体" w:eastAsia="东文宋体" w:cs="东文宋体"/>
      <w:color w:val="000000"/>
      <w:sz w:val="24"/>
      <w:szCs w:val="24"/>
      <w:u w:val="none"/>
    </w:rPr>
  </w:style>
  <w:style w:type="character" w:customStyle="1" w:styleId="41">
    <w:name w:val="font141"/>
    <w:basedOn w:val="13"/>
    <w:unhideWhenUsed/>
    <w:qFormat/>
    <w:uiPriority w:val="0"/>
    <w:rPr>
      <w:rFonts w:hint="default" w:ascii="东文宋体" w:hAnsi="东文宋体" w:eastAsia="东文宋体"/>
      <w:color w:val="000000"/>
      <w:sz w:val="32"/>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5827</Words>
  <Characters>6080</Characters>
  <Lines>0</Lines>
  <Paragraphs>0</Paragraphs>
  <TotalTime>41</TotalTime>
  <ScaleCrop>false</ScaleCrop>
  <LinksUpToDate>false</LinksUpToDate>
  <CharactersWithSpaces>6178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2024-11-24T12:44:00Z</dcterms:created>
  <dc:creator>川招—甘曼</dc:creator>
  <cp:lastModifiedBy>HNCZ</cp:lastModifiedBy>
  <cp:lastPrinted>2025-07-03T03:16:00Z</cp:lastPrinted>
  <dcterms:modified xsi:type="dcterms:W3CDTF">2025-09-02T02:45:16Z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CAA49C30FF2745E5BB749F7324028C49_13</vt:lpwstr>
  </property>
  <property fmtid="{D5CDD505-2E9C-101B-9397-08002B2CF9AE}" pid="4" name="KSOTemplateDocerSaveRecord">
    <vt:lpwstr>eyJoZGlkIjoiMWNlMmMwOGU5Y2I3MDYxZDA4ZDIzYTEzOGVkOWRkNDMiLCJ1c2VySWQiOiI2MzU0ODc5NTgifQ==</vt:lpwstr>
  </property>
</Properties>
</file>