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2024年超长期特别国债“以旧换新”项目医疗设备集中采购（三十二）(三次招标)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SCIT-HNZG-2025070001L2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2024年超长期特别国债“以旧换新”项目医疗设备集中采购（三十二）(三次招标)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SCIT-HNZG-2025070001L2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2024年超长期特别国债“以旧换新”项目医疗设备集中采购（三十二）(三次招标)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2,023,140.00元</w:t>
      </w:r>
      <w:r>
        <w:rPr>
          <w:rFonts w:ascii="仿宋_GB2312" w:hAnsi="仿宋_GB2312" w:cs="仿宋_GB2312" w:eastAsia="仿宋_GB2312"/>
        </w:rPr>
        <w:t>贰佰零贰万叁仟壹佰肆拾元整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合同签订后30日内交付合同标的物设备。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邢天赤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技术负责人（甘曼）、项目经理（蔡俊江）、项目助理（吴师娟）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18976346657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采购包1：900,000.00元</w:t>
            </w:r>
          </w:p>
          <w:p>
            <w:pPr>
              <w:pStyle w:val="null3"/>
              <w:jc w:val="left"/>
            </w:pPr>
            <w:r>
              <w:rPr>
                <w:rFonts w:ascii="仿宋_GB2312" w:hAnsi="仿宋_GB2312" w:cs="仿宋_GB2312" w:eastAsia="仿宋_GB2312"/>
              </w:rPr>
              <w:t>采购包2：217,600.00元</w:t>
            </w:r>
          </w:p>
          <w:p>
            <w:pPr>
              <w:pStyle w:val="null3"/>
              <w:jc w:val="left"/>
            </w:pPr>
            <w:r>
              <w:rPr>
                <w:rFonts w:ascii="仿宋_GB2312" w:hAnsi="仿宋_GB2312" w:cs="仿宋_GB2312" w:eastAsia="仿宋_GB2312"/>
              </w:rPr>
              <w:t>采购包3：552,540.00元</w:t>
            </w:r>
          </w:p>
          <w:p>
            <w:pPr>
              <w:pStyle w:val="null3"/>
              <w:jc w:val="left"/>
            </w:pPr>
            <w:r>
              <w:rPr>
                <w:rFonts w:ascii="仿宋_GB2312" w:hAnsi="仿宋_GB2312" w:cs="仿宋_GB2312" w:eastAsia="仿宋_GB2312"/>
              </w:rPr>
              <w:t>采购包4：353,000.00元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本项目可兼投4包，本项目可兼中4包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w:t>
      </w:r>
      <w:r>
        <w:rPr>
          <w:rFonts w:ascii="仿宋_GB2312" w:hAnsi="仿宋_GB2312" w:cs="仿宋_GB2312" w:eastAsia="仿宋_GB2312"/>
        </w:rPr>
        <w:t>（三十二）（三次招标）项目包含18套，预算金额合计202.314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900,000.00</w:t>
      </w:r>
    </w:p>
    <w:p>
      <w:pPr>
        <w:pStyle w:val="null3"/>
        <w:jc w:val="left"/>
      </w:pPr>
      <w:r>
        <w:rPr>
          <w:rFonts w:ascii="仿宋_GB2312" w:hAnsi="仿宋_GB2312" w:cs="仿宋_GB2312" w:eastAsia="仿宋_GB2312"/>
        </w:rPr>
        <w:t>采购包最高限价（元）: 900,000.00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手术动力装置（一）</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432,000.00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手术动力装置（二）</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468,000.00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217,600.00</w:t>
      </w:r>
    </w:p>
    <w:p>
      <w:pPr>
        <w:pStyle w:val="null3"/>
        <w:jc w:val="left"/>
      </w:pPr>
      <w:r>
        <w:rPr>
          <w:rFonts w:ascii="仿宋_GB2312" w:hAnsi="仿宋_GB2312" w:cs="仿宋_GB2312" w:eastAsia="仿宋_GB2312"/>
        </w:rPr>
        <w:t>采购包最高限价（元）: 217,600.00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可视喉镜</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麻醉喉镜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552,540.00</w:t>
      </w:r>
    </w:p>
    <w:p>
      <w:pPr>
        <w:pStyle w:val="null3"/>
        <w:jc w:val="left"/>
      </w:pPr>
      <w:r>
        <w:rPr>
          <w:rFonts w:ascii="仿宋_GB2312" w:hAnsi="仿宋_GB2312" w:cs="仿宋_GB2312" w:eastAsia="仿宋_GB2312"/>
        </w:rPr>
        <w:t>采购包最高限价（元）: 552,540.00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电动子宫切除器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121,940.00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多功能子宫操纵器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彩超可视人流诊疗系统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353,000.00</w:t>
      </w:r>
    </w:p>
    <w:p>
      <w:pPr>
        <w:pStyle w:val="null3"/>
        <w:jc w:val="left"/>
      </w:pPr>
      <w:r>
        <w:rPr>
          <w:rFonts w:ascii="仿宋_GB2312" w:hAnsi="仿宋_GB2312" w:cs="仿宋_GB2312" w:eastAsia="仿宋_GB2312"/>
        </w:rPr>
        <w:t>采购包最高限价（元）: 353,000.00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自动止血仪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自体血液回收机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278,000.00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骨科空心电钻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手术动力装置（一）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手术动力装置（二）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可视喉镜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麻醉喉镜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电动子宫切除器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121,940.00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多功能子宫操纵器</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彩超可视人流诊疗系统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自动止血仪</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自体血液回收机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骨科空心电钻</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标的名称：手术动力装置（一）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标的名称：手术动力装置（二）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标的名称：可视喉镜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标的名称：麻醉喉镜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标的名称：电动子宫切除器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标的名称：多功能子宫操纵器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标的名称：彩超可视人流诊疗系统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标的名称：自动止血仪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标的名称：自体血液回收机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标的名称：骨科空心电钻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环保类行政处罚记录声明函 封面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标“▲”条款（12分）：符合技术要求得12分；每负偏离1项扣2分，负偏离达6项的，此项得0分；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45条，按以下要求赋分：A：一般技术参数完全满足，得28分；B：一般技术参数不满足1-10项区间时，每不满足一条参数扣1分；C：一般技术参数不满足11-25项区间时，每不满足一条参数扣0.8分； D：一般技术参数不满足26-45项区间时， 每不满足一条参数扣0.3分。最低得0分，漏报技术条款视为不满足。注：上述1-10项、11-25项、26-45项与参数的不满足条款数量相关，不涉及参数所对应序号。示例：如负偏离15项，投标人扣分=10项×1分+（15项-10项）×0.8分=10×1+5×0.8=14分，得分=28分-14分=14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技术参数承诺函2</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15条，按以下要求赋分：A：一般技术参数完全满足，得40分；B：一般技术参数不满足1-4项区间时，每不满足一条参数扣6分；C：一般技术参数不满足5-9项区间时，每不满足一条参数扣2分； D：一般技术参数不满足10-15项区间时， 每不满足一条参数扣1分。最低得0分，漏报技术条款视为不满足。注：上述1-4项、5-9项、10-15项与参数的不满足条款数量相关，不涉及参数所对应序号。示例：如负偏离6项，投标人扣分=4项×6分+（6项-4项）×2分=4×6+2×2=28分，得分=40分-28分=12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29条，按以下要求赋分：A：一般技术参数完全满足，得40分；B：一般技术参数不满足1-9项区间时，每不满足一条参数扣2分；C：一般技术参数不满足10-19项区间时，每不满足一条参数扣1.4分； D：一般技术参数不满足20-29项区间时， 每不满足一条参数扣0.8分。最低得0分，漏报技术条款视为不满足。注：上述1-9项、10-19项、20-29项与参数的不满足条款数量相关，不涉及参数所对应序号。示例：如负偏离15项，投标人扣分=9项×2分+（15项-9项）×1.4分=9×2+6×1.4=26.4分，得分=40分-26.4分=13.6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标“▲”条款（5分）：符合技术要求得5分；每负偏离1项扣2.5分，负偏离达2项的，此项得0分；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46条，按以下要求赋分：A：一般技术参数完全满足，得35分；B：一般技术参数不满足1-10项区间时，每不满足一条参数扣1.5分；C：一般技术参数不满足11-26项区间时，每不满足一条参数扣1分； D：一般技术参数不满足27-46项区间时， 每不满足一条参数扣0.2分。最低得0分，漏报技术条款视为不满足。注：上述1-10项、11-26项、27-46项与参数的不满足条款数量相关，不涉及参数所对应序号。示例：如负偏离15项，投标人扣分=10项×1.5分+（15项-10项）×1分=10×1.5+5×1=20分，得分=35分-20分=15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2024年超长期特别国债“以旧换新”项目医疗设备集中采购（三十二）(三次招标)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手术动力装置（一）</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432000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手术动力装置（二）</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468000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2024年超长期特别国债“以旧换新”项目医疗设备集中采购（三十二）(三次招标)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可视喉镜</w:t>
            </w:r>
          </w:p>
        </w:tc>
        <w:tc>
          <w:tcPr>
            <w:tcW w:type="dxa" w:w="639"/>
          </w:tcPr>
          <w:p>
            <w:pPr>
              <w:pStyle w:val="null3"/>
              <w:jc w:val="left"/>
            </w:pPr>
            <w:r>
              <w:rPr>
                <w:rFonts w:ascii="仿宋_GB2312" w:hAnsi="仿宋_GB2312" w:cs="仿宋_GB2312" w:eastAsia="仿宋_GB2312"/>
              </w:rPr>
              <w:t xml:space="preserve"> 5.0000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208000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麻醉喉镜</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9600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2024年超长期特别国债“以旧换新”项目医疗设备集中采购（三十二）(三次招标)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电动子宫切除器</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121940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多功能子宫操纵器</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10600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彩超可视人流诊疗系统</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SCIT-HNZG-2025070001L2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2024年超长期特别国债“以旧换新”项目医疗设备集中采购（三十二）(三次招标)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自动止血仪</w:t>
            </w:r>
          </w:p>
        </w:tc>
        <w:tc>
          <w:tcPr>
            <w:tcW w:type="dxa" w:w="639"/>
          </w:tcPr>
          <w:p>
            <w:pPr>
              <w:pStyle w:val="null3"/>
              <w:jc w:val="left"/>
            </w:pPr>
            <w:r>
              <w:rPr>
                <w:rFonts w:ascii="仿宋_GB2312" w:hAnsi="仿宋_GB2312" w:cs="仿宋_GB2312" w:eastAsia="仿宋_GB2312"/>
              </w:rPr>
              <w:t xml:space="preserve"> 2.0000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自体血液回收机</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278000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3</w:t>
            </w:r>
          </w:p>
        </w:tc>
        <w:tc>
          <w:tcPr>
            <w:tcW w:type="dxa" w:w="639"/>
          </w:tcPr>
          <w:p>
            <w:pPr>
              <w:pStyle w:val="null3"/>
              <w:jc w:val="left"/>
            </w:pPr>
            <w:r>
              <w:rPr>
                <w:rFonts w:ascii="仿宋_GB2312" w:hAnsi="仿宋_GB2312" w:cs="仿宋_GB2312" w:eastAsia="仿宋_GB2312"/>
              </w:rPr>
              <w:t xml:space="preserve"> 骨科空心电钻</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详见附件：技术参数承诺函2</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详见附件：技术参数承诺函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